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61BC25A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55027D">
        <w:rPr>
          <w:rFonts w:hint="eastAsia"/>
          <w:b/>
          <w:sz w:val="24"/>
          <w:szCs w:val="24"/>
          <w:lang w:eastAsia="ko-KR"/>
        </w:rPr>
        <w:t>RAN WG1 NR Ad-Hoc#2</w:t>
      </w:r>
      <w:r w:rsidRPr="006E473F">
        <w:rPr>
          <w:rFonts w:hint="eastAsia"/>
          <w:b/>
          <w:sz w:val="24"/>
          <w:szCs w:val="24"/>
          <w:lang w:eastAsia="ko-KR"/>
        </w:rPr>
        <w:tab/>
      </w:r>
      <w:r w:rsidRPr="006E473F">
        <w:rPr>
          <w:rFonts w:hint="eastAsia"/>
          <w:b/>
          <w:i/>
          <w:sz w:val="24"/>
          <w:szCs w:val="24"/>
          <w:lang w:eastAsia="ko-KR"/>
        </w:rPr>
        <w:t>R1-</w:t>
      </w:r>
      <w:r w:rsidR="005360DA" w:rsidRPr="006E473F">
        <w:rPr>
          <w:rFonts w:hint="eastAsia"/>
          <w:b/>
          <w:i/>
          <w:noProof/>
          <w:sz w:val="24"/>
          <w:szCs w:val="24"/>
          <w:lang w:eastAsia="ko-KR"/>
        </w:rPr>
        <w:t>1</w:t>
      </w:r>
      <w:r w:rsidR="005360DA">
        <w:rPr>
          <w:b/>
          <w:i/>
          <w:noProof/>
          <w:sz w:val="24"/>
          <w:szCs w:val="24"/>
          <w:lang w:eastAsia="ko-KR"/>
        </w:rPr>
        <w:t>7</w:t>
      </w:r>
      <w:r w:rsidR="005360DA">
        <w:rPr>
          <w:b/>
          <w:i/>
          <w:noProof/>
          <w:sz w:val="24"/>
          <w:szCs w:val="24"/>
          <w:lang w:eastAsia="ko-KR"/>
        </w:rPr>
        <w:t>10654</w:t>
      </w:r>
    </w:p>
    <w:bookmarkEnd w:id="0"/>
    <w:bookmarkEnd w:id="1"/>
    <w:p w14:paraId="7E9A5EFF" w14:textId="0C582C98" w:rsidR="003D6F63" w:rsidRPr="003D6F63" w:rsidRDefault="0055027D" w:rsidP="003D6F63">
      <w:pPr>
        <w:tabs>
          <w:tab w:val="center" w:pos="4536"/>
          <w:tab w:val="right" w:pos="9072"/>
        </w:tabs>
        <w:rPr>
          <w:rFonts w:ascii="Arial" w:hAnsi="Arial" w:cs="Arial"/>
          <w:b/>
          <w:bCs/>
          <w:sz w:val="24"/>
          <w:szCs w:val="24"/>
        </w:rPr>
      </w:pPr>
      <w:r>
        <w:rPr>
          <w:rFonts w:ascii="Arial" w:hAnsi="Arial" w:cs="Arial"/>
          <w:b/>
          <w:bCs/>
          <w:sz w:val="24"/>
          <w:szCs w:val="24"/>
        </w:rPr>
        <w:t>Qingdao</w:t>
      </w:r>
      <w:r w:rsidR="003D6F63" w:rsidRPr="003D6F63">
        <w:rPr>
          <w:rFonts w:ascii="Arial" w:hAnsi="Arial" w:cs="Arial"/>
          <w:b/>
          <w:bCs/>
          <w:sz w:val="24"/>
          <w:szCs w:val="24"/>
        </w:rPr>
        <w:t xml:space="preserve">, </w:t>
      </w:r>
      <w:r w:rsidR="00A7379A">
        <w:rPr>
          <w:rFonts w:ascii="Arial" w:hAnsi="Arial" w:cs="Arial"/>
          <w:b/>
          <w:bCs/>
          <w:sz w:val="24"/>
          <w:szCs w:val="24"/>
        </w:rPr>
        <w:t>China</w:t>
      </w:r>
      <w:r w:rsidR="00614ED4" w:rsidRPr="00614ED4">
        <w:rPr>
          <w:rFonts w:ascii="Arial" w:hAnsi="Arial" w:cs="Arial"/>
          <w:b/>
          <w:bCs/>
          <w:sz w:val="32"/>
          <w:szCs w:val="24"/>
        </w:rPr>
        <w:t xml:space="preserve"> </w:t>
      </w:r>
      <w:r>
        <w:rPr>
          <w:rFonts w:ascii="Arial" w:hAnsi="Arial" w:cs="Arial"/>
          <w:b/>
          <w:bCs/>
          <w:sz w:val="24"/>
          <w:szCs w:val="24"/>
        </w:rPr>
        <w:t>27</w:t>
      </w:r>
      <w:r w:rsidR="00A7379A">
        <w:rPr>
          <w:rFonts w:ascii="Arial" w:hAnsi="Arial" w:cs="Arial"/>
          <w:b/>
          <w:bCs/>
          <w:sz w:val="24"/>
          <w:szCs w:val="24"/>
          <w:vertAlign w:val="superscript"/>
        </w:rPr>
        <w:t>th</w:t>
      </w:r>
      <w:r w:rsidR="00832B30">
        <w:rPr>
          <w:rFonts w:ascii="Arial" w:hAnsi="Arial" w:cs="Arial"/>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30</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June</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1003936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027D">
        <w:rPr>
          <w:rFonts w:ascii="Arial" w:hAnsi="Arial"/>
          <w:sz w:val="24"/>
          <w:lang w:eastAsia="ko-KR"/>
        </w:rPr>
        <w:t>5</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B12685">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1B59AB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32B30">
        <w:rPr>
          <w:rFonts w:ascii="Arial" w:hAnsi="Arial"/>
          <w:sz w:val="24"/>
        </w:rPr>
        <w:t xml:space="preserve">DL beam management </w:t>
      </w:r>
      <w:r w:rsidR="0055027D">
        <w:rPr>
          <w:rFonts w:ascii="Arial" w:hAnsi="Arial"/>
          <w:sz w:val="24"/>
        </w:rPr>
        <w:t>for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98A80CD" w14:textId="26DAC15D" w:rsidR="002D070A" w:rsidRDefault="005B7E9A" w:rsidP="001954A9">
      <w:pPr>
        <w:pStyle w:val="Style1"/>
      </w:pPr>
      <w:r w:rsidRPr="0012457E">
        <w:t xml:space="preserve">In this contribution, we present our </w:t>
      </w:r>
      <w:r w:rsidR="00C83CD9">
        <w:t xml:space="preserve">follow-up </w:t>
      </w:r>
      <w:r w:rsidRPr="0012457E">
        <w:t xml:space="preserve">views on </w:t>
      </w:r>
      <w:r>
        <w:t xml:space="preserve">the </w:t>
      </w:r>
      <w:r w:rsidR="00C83CD9">
        <w:t>DL beam management, in light of the new agreements reached in RAN1#89:</w:t>
      </w:r>
    </w:p>
    <w:p w14:paraId="29B01F9B" w14:textId="77777777" w:rsidR="002D070A" w:rsidRPr="00E52A6E" w:rsidRDefault="002D070A" w:rsidP="002D070A">
      <w:pPr>
        <w:rPr>
          <w:rFonts w:eastAsia="MS Mincho"/>
          <w:b/>
          <w:u w:val="single"/>
          <w:lang w:eastAsia="ja-JP"/>
        </w:rPr>
      </w:pPr>
      <w:r w:rsidRPr="00744338">
        <w:rPr>
          <w:rFonts w:eastAsia="MS Mincho" w:hint="eastAsia"/>
          <w:b/>
          <w:highlight w:val="green"/>
          <w:u w:val="single"/>
          <w:lang w:eastAsia="ja-JP"/>
        </w:rPr>
        <w:t>Agreements:</w:t>
      </w:r>
    </w:p>
    <w:p w14:paraId="64B9519A" w14:textId="77777777" w:rsidR="002D070A" w:rsidRPr="00E52A6E" w:rsidRDefault="002D070A" w:rsidP="002D070A">
      <w:pPr>
        <w:numPr>
          <w:ilvl w:val="0"/>
          <w:numId w:val="29"/>
        </w:numPr>
        <w:spacing w:after="0" w:line="259" w:lineRule="auto"/>
      </w:pPr>
      <w:r w:rsidRPr="00E52A6E">
        <w:t xml:space="preserve">Support spatial QCL assumption between antenna port(s) within a CSI-RS resource(s) and antenna port of an SS Block (or SS block time index) of a cell </w:t>
      </w:r>
    </w:p>
    <w:p w14:paraId="347C680C" w14:textId="77777777" w:rsidR="002D070A" w:rsidRPr="00E52A6E" w:rsidRDefault="002D070A" w:rsidP="002D070A">
      <w:pPr>
        <w:numPr>
          <w:ilvl w:val="1"/>
          <w:numId w:val="29"/>
        </w:numPr>
        <w:spacing w:after="0" w:line="259" w:lineRule="auto"/>
      </w:pPr>
      <w:r w:rsidRPr="00E52A6E">
        <w:t xml:space="preserve">The other QCL parameters not precluded </w:t>
      </w:r>
    </w:p>
    <w:p w14:paraId="23B06BCE" w14:textId="77777777" w:rsidR="002D070A" w:rsidRPr="00E52A6E" w:rsidRDefault="002D070A" w:rsidP="002D070A">
      <w:pPr>
        <w:numPr>
          <w:ilvl w:val="1"/>
          <w:numId w:val="29"/>
        </w:numPr>
        <w:spacing w:after="0" w:line="259" w:lineRule="auto"/>
      </w:pPr>
      <w:r w:rsidRPr="00E52A6E">
        <w:t>FFS: indication either explicit or implicit or  configurable or a default</w:t>
      </w:r>
    </w:p>
    <w:p w14:paraId="42247056" w14:textId="77777777" w:rsidR="002D070A" w:rsidRPr="00E52A6E" w:rsidRDefault="002D070A" w:rsidP="002D070A">
      <w:pPr>
        <w:numPr>
          <w:ilvl w:val="1"/>
          <w:numId w:val="29"/>
        </w:numPr>
        <w:spacing w:after="0" w:line="259" w:lineRule="auto"/>
      </w:pPr>
      <w:r w:rsidRPr="00E52A6E">
        <w:t>Note: default assumption may be no QCL</w:t>
      </w:r>
    </w:p>
    <w:p w14:paraId="0AF67D6B" w14:textId="77777777" w:rsidR="002D070A" w:rsidRPr="00D4173E" w:rsidRDefault="002D070A" w:rsidP="002D070A">
      <w:pPr>
        <w:numPr>
          <w:ilvl w:val="0"/>
          <w:numId w:val="30"/>
        </w:numPr>
        <w:spacing w:after="0" w:line="259" w:lineRule="auto"/>
      </w:pPr>
      <w:r w:rsidRPr="003D1FCA">
        <w:t>Configuration of QCL for UE specific NR-PDCCH</w:t>
      </w:r>
      <w:r w:rsidRPr="003D1FCA">
        <w:rPr>
          <w:rFonts w:eastAsia="MS Mincho" w:hint="eastAsia"/>
          <w:lang w:eastAsia="ja-JP"/>
        </w:rPr>
        <w:t xml:space="preserve"> is </w:t>
      </w:r>
      <w:r>
        <w:rPr>
          <w:rFonts w:eastAsia="MS Mincho" w:hint="eastAsia"/>
          <w:lang w:eastAsia="ja-JP"/>
        </w:rPr>
        <w:t xml:space="preserve">by </w:t>
      </w:r>
      <w:r w:rsidRPr="003D1FCA">
        <w:t>RRC and MAC-CE signalling</w:t>
      </w:r>
    </w:p>
    <w:p w14:paraId="2D36341C" w14:textId="77777777" w:rsidR="002D070A" w:rsidRPr="00E52A6E" w:rsidRDefault="002D070A" w:rsidP="002D070A">
      <w:pPr>
        <w:numPr>
          <w:ilvl w:val="1"/>
          <w:numId w:val="30"/>
        </w:numPr>
        <w:spacing w:after="0" w:line="259" w:lineRule="auto"/>
      </w:pPr>
      <w:r w:rsidRPr="009A4269">
        <w:rPr>
          <w:rFonts w:eastAsia="MS Mincho" w:hint="eastAsia"/>
          <w:lang w:eastAsia="ja-JP"/>
        </w:rPr>
        <w:t>Note that MAC-CE is not always needed</w:t>
      </w:r>
    </w:p>
    <w:p w14:paraId="1379DF88" w14:textId="77777777" w:rsidR="002D070A" w:rsidRPr="00A4709B" w:rsidRDefault="002D070A" w:rsidP="002D070A">
      <w:pPr>
        <w:pStyle w:val="ListParagraph"/>
        <w:numPr>
          <w:ilvl w:val="1"/>
          <w:numId w:val="30"/>
        </w:numPr>
        <w:spacing w:after="0"/>
        <w:ind w:leftChars="0"/>
      </w:pPr>
      <w:r w:rsidRPr="009A4269">
        <w:rPr>
          <w:rFonts w:eastAsia="MS Mincho" w:hint="eastAsia"/>
          <w:lang w:eastAsia="ja-JP"/>
        </w:rPr>
        <w:t>FFS: necessity of DCI signalling</w:t>
      </w:r>
    </w:p>
    <w:p w14:paraId="45811137" w14:textId="77777777" w:rsidR="002D070A" w:rsidRPr="00170260" w:rsidRDefault="002D070A" w:rsidP="002D070A">
      <w:pPr>
        <w:numPr>
          <w:ilvl w:val="1"/>
          <w:numId w:val="30"/>
        </w:numPr>
        <w:spacing w:after="0"/>
      </w:pPr>
      <w:r>
        <w:t>Note: For example</w:t>
      </w:r>
      <w:r w:rsidRPr="009A4269">
        <w:rPr>
          <w:rFonts w:eastAsia="MS Mincho" w:hint="eastAsia"/>
          <w:lang w:eastAsia="ja-JP"/>
        </w:rPr>
        <w:t xml:space="preserve">, </w:t>
      </w:r>
      <w:r w:rsidRPr="00170260">
        <w:t>DL RS QCLed with DMRS of PDCCH for delay spread, Doppler spread, Doppler shift, and average delay</w:t>
      </w:r>
      <w:r>
        <w:t xml:space="preserve"> parameters, spatial parameters</w:t>
      </w:r>
    </w:p>
    <w:p w14:paraId="217BE941" w14:textId="77777777" w:rsidR="002D070A" w:rsidRDefault="002D070A" w:rsidP="00002D75">
      <w:pPr>
        <w:pStyle w:val="Style1"/>
      </w:pPr>
    </w:p>
    <w:p w14:paraId="1EA9DC5E" w14:textId="77777777" w:rsidR="002D070A" w:rsidRPr="006F270B" w:rsidRDefault="002D070A" w:rsidP="002D070A">
      <w:pPr>
        <w:rPr>
          <w:rFonts w:eastAsia="MS Mincho"/>
          <w:b/>
          <w:u w:val="single"/>
          <w:lang w:eastAsia="ja-JP"/>
        </w:rPr>
      </w:pPr>
      <w:r w:rsidRPr="00850607">
        <w:rPr>
          <w:rFonts w:eastAsia="MS Mincho" w:hint="eastAsia"/>
          <w:b/>
          <w:highlight w:val="green"/>
          <w:u w:val="single"/>
          <w:lang w:eastAsia="ja-JP"/>
        </w:rPr>
        <w:t>Agreements:</w:t>
      </w:r>
    </w:p>
    <w:p w14:paraId="3ECB85C1" w14:textId="41C073A5" w:rsidR="002D070A" w:rsidRPr="002D070A" w:rsidRDefault="002D070A" w:rsidP="00C83CD9">
      <w:pPr>
        <w:numPr>
          <w:ilvl w:val="0"/>
          <w:numId w:val="30"/>
        </w:numPr>
        <w:spacing w:after="0" w:line="259" w:lineRule="auto"/>
      </w:pPr>
      <w:r w:rsidRPr="009A4269">
        <w:rPr>
          <w:rFonts w:eastAsia="MS Mincho" w:hint="eastAsia"/>
          <w:lang w:eastAsia="ja-JP"/>
        </w:rPr>
        <w:t>C</w:t>
      </w:r>
      <w:r>
        <w:t>ell</w:t>
      </w:r>
      <w:r w:rsidRPr="006F270B">
        <w:t>-specifically configured CSI-RS</w:t>
      </w:r>
      <w:r w:rsidRPr="009A4269">
        <w:rPr>
          <w:rFonts w:eastAsia="MS Mincho" w:hint="eastAsia"/>
          <w:lang w:eastAsia="ja-JP"/>
        </w:rPr>
        <w:t xml:space="preserve"> is not supported for beam management</w:t>
      </w:r>
    </w:p>
    <w:p w14:paraId="08018958" w14:textId="5713C0EB" w:rsidR="007019AB" w:rsidRDefault="009B57B8" w:rsidP="00E57A94">
      <w:pPr>
        <w:pStyle w:val="Heading1"/>
        <w:tabs>
          <w:tab w:val="num" w:pos="0"/>
        </w:tabs>
        <w:ind w:left="799" w:hanging="799"/>
      </w:pPr>
      <w:r>
        <w:t>DL beam management for NR</w:t>
      </w:r>
    </w:p>
    <w:p w14:paraId="6E0DFE77" w14:textId="5375BAD0" w:rsidR="00765BAE" w:rsidRPr="0012457E" w:rsidRDefault="00D17B84" w:rsidP="00765BAE">
      <w:pPr>
        <w:pStyle w:val="Style1"/>
      </w:pPr>
      <w:r>
        <w:t>NR-</w:t>
      </w:r>
      <w:r w:rsidR="00765BAE">
        <w:t>PDCCH</w:t>
      </w:r>
      <w:r w:rsidR="00765BAE" w:rsidRPr="0012457E">
        <w:t xml:space="preserve"> and </w:t>
      </w:r>
      <w:r>
        <w:t>NR-</w:t>
      </w:r>
      <w:r w:rsidR="00765BAE">
        <w:t>PDSCH</w:t>
      </w:r>
      <w:r w:rsidR="00765BAE" w:rsidRPr="0012457E">
        <w:t xml:space="preserve"> </w:t>
      </w:r>
      <w:r w:rsidR="00765BAE">
        <w:t xml:space="preserve">generally </w:t>
      </w:r>
      <w:r w:rsidR="00765BAE" w:rsidRPr="0012457E">
        <w:t>have different requirement</w:t>
      </w:r>
      <w:r w:rsidR="00765BAE">
        <w:t>s</w:t>
      </w:r>
      <w:r w:rsidR="00765BAE" w:rsidRPr="0012457E">
        <w:t xml:space="preserve"> on the</w:t>
      </w:r>
      <w:r w:rsidR="00765BAE">
        <w:t>ir</w:t>
      </w:r>
      <w:r w:rsidR="00765BAE" w:rsidRPr="0012457E">
        <w:t xml:space="preserve"> link performance</w:t>
      </w:r>
      <w:r w:rsidR="00765BAE">
        <w:t xml:space="preserve">s. </w:t>
      </w:r>
      <w:r>
        <w:t>NR-</w:t>
      </w:r>
      <w:r w:rsidR="00765BAE">
        <w:t>PDCCH</w:t>
      </w:r>
      <w:r w:rsidR="00765BAE" w:rsidRPr="0012457E">
        <w:t xml:space="preserve"> requires high relia</w:t>
      </w:r>
      <w:r w:rsidR="00765BAE">
        <w:t xml:space="preserve">bility and </w:t>
      </w:r>
      <w:r w:rsidR="00765BAE" w:rsidRPr="0012457E">
        <w:t xml:space="preserve">does not </w:t>
      </w:r>
      <w:r w:rsidR="00765BAE">
        <w:t>require</w:t>
      </w:r>
      <w:r w:rsidR="00765BAE" w:rsidRPr="0012457E">
        <w:t xml:space="preserve"> high data rate. </w:t>
      </w:r>
      <w:r>
        <w:t>NR-</w:t>
      </w:r>
      <w:r w:rsidR="00765BAE">
        <w:t>PDSCH</w:t>
      </w:r>
      <w:r w:rsidR="00047905">
        <w:t xml:space="preserve"> should support</w:t>
      </w:r>
      <w:r w:rsidR="00765BAE" w:rsidRPr="0012457E">
        <w:t xml:space="preserve"> high data rate and </w:t>
      </w:r>
      <w:r w:rsidR="00765BAE">
        <w:t xml:space="preserve">can </w:t>
      </w:r>
      <w:r w:rsidR="00765BAE" w:rsidRPr="0012457E">
        <w:t>utilize retransmission mecha</w:t>
      </w:r>
      <w:r w:rsidR="00765BAE">
        <w:t xml:space="preserve">nism to increase reliability. Thus, configuration of different beams used for </w:t>
      </w:r>
      <w:r>
        <w:t>NR-</w:t>
      </w:r>
      <w:r w:rsidR="00765BAE">
        <w:t xml:space="preserve">PDCCH and </w:t>
      </w:r>
      <w:r>
        <w:t>NR-</w:t>
      </w:r>
      <w:r w:rsidR="00765BAE">
        <w:t>PDSCH should</w:t>
      </w:r>
      <w:r w:rsidR="00893917">
        <w:t xml:space="preserve"> be supported (agreed since</w:t>
      </w:r>
      <w:r w:rsidR="00765BAE">
        <w:t xml:space="preserve"> RAN1#86bis)</w:t>
      </w:r>
      <w:r w:rsidR="00765BAE" w:rsidRPr="0012457E">
        <w:t>.</w:t>
      </w:r>
      <w:r w:rsidR="00765BAE">
        <w:t xml:space="preserve"> </w:t>
      </w:r>
      <w:r w:rsidR="00765BAE" w:rsidRPr="0012457E">
        <w:t xml:space="preserve">For example, the beams used for </w:t>
      </w:r>
      <w:r>
        <w:t>NR-</w:t>
      </w:r>
      <w:r w:rsidR="00765BAE">
        <w:t>PDCCH</w:t>
      </w:r>
      <w:r w:rsidR="00765BAE" w:rsidRPr="0012457E">
        <w:t xml:space="preserve"> can have wide</w:t>
      </w:r>
      <w:r w:rsidR="00765BAE">
        <w:t>r</w:t>
      </w:r>
      <w:r w:rsidR="00765BAE" w:rsidRPr="0012457E">
        <w:t xml:space="preserve"> beam width </w:t>
      </w:r>
      <w:r w:rsidR="00765BAE">
        <w:t xml:space="preserve">(compared to that for </w:t>
      </w:r>
      <w:r>
        <w:t>NR-</w:t>
      </w:r>
      <w:r w:rsidR="00765BAE">
        <w:t xml:space="preserve">PDSCH) </w:t>
      </w:r>
      <w:r w:rsidR="00765BAE" w:rsidRPr="0012457E">
        <w:t xml:space="preserve">so that the beams are robust with respect to UE mobility and signal blockage. </w:t>
      </w:r>
      <w:r w:rsidR="00765BAE">
        <w:t>For</w:t>
      </w:r>
      <w:r w:rsidR="00765BAE" w:rsidRPr="0012457E">
        <w:t xml:space="preserve"> </w:t>
      </w:r>
      <w:r>
        <w:t>NR-</w:t>
      </w:r>
      <w:r w:rsidR="00765BAE">
        <w:t>PDSCH</w:t>
      </w:r>
      <w:r w:rsidR="00765BAE" w:rsidRPr="0012457E">
        <w:t>, narrower beams can be used to deliver high beamforming gain so that high</w:t>
      </w:r>
      <w:r w:rsidR="00765BAE">
        <w:t>er</w:t>
      </w:r>
      <w:r w:rsidR="00765BAE" w:rsidRPr="0012457E">
        <w:t xml:space="preserve"> data rate can be supported. </w:t>
      </w:r>
    </w:p>
    <w:p w14:paraId="29E80AA7" w14:textId="7B94885E" w:rsidR="00765BAE" w:rsidRDefault="00765BAE" w:rsidP="00765BAE">
      <w:pPr>
        <w:pStyle w:val="Style1"/>
      </w:pPr>
      <w:r>
        <w:t>D</w:t>
      </w:r>
      <w:r w:rsidRPr="0012457E">
        <w:t>ifferent transmission scheme</w:t>
      </w:r>
      <w:r>
        <w:t xml:space="preserve">s can also be applied to </w:t>
      </w:r>
      <w:r w:rsidR="00D17B84">
        <w:t>NR-</w:t>
      </w:r>
      <w:r>
        <w:t xml:space="preserve">PDCCH and </w:t>
      </w:r>
      <w:r w:rsidR="00D17B84">
        <w:t>NR-</w:t>
      </w:r>
      <w:r>
        <w:t>PDSCH</w:t>
      </w:r>
      <w:r w:rsidRPr="0012457E">
        <w:t>.</w:t>
      </w:r>
      <w:r>
        <w:t xml:space="preserve"> For example, </w:t>
      </w:r>
      <w:r w:rsidR="00D17B84">
        <w:t>NR-</w:t>
      </w:r>
      <w:r>
        <w:t>PDCCH</w:t>
      </w:r>
      <w:r w:rsidRPr="0012457E">
        <w:t xml:space="preserve"> can use </w:t>
      </w:r>
      <w:r>
        <w:t xml:space="preserve">a </w:t>
      </w:r>
      <w:r w:rsidRPr="0012457E">
        <w:t>single port o</w:t>
      </w:r>
      <w:r>
        <w:t xml:space="preserve">r a transmission diversity scheme, whereas </w:t>
      </w:r>
      <w:r w:rsidR="00D17B84">
        <w:t>NR-</w:t>
      </w:r>
      <w:r>
        <w:t>PDSCH</w:t>
      </w:r>
      <w:r w:rsidRPr="0012457E">
        <w:t xml:space="preserve"> can use multi-layer MIMO or multi-point</w:t>
      </w:r>
      <w:r>
        <w:t xml:space="preserve"> transmissions</w:t>
      </w:r>
      <w:r w:rsidRPr="0012457E">
        <w:t>, e.g., non-coherent joint transmission (JT). Different transmission scheme</w:t>
      </w:r>
      <w:r>
        <w:t>s may</w:t>
      </w:r>
      <w:r w:rsidRPr="0012457E">
        <w:t xml:space="preserve"> require </w:t>
      </w:r>
      <w:r>
        <w:t xml:space="preserve">different set of </w:t>
      </w:r>
      <w:r w:rsidRPr="0012457E">
        <w:t>TRP Tx beams.</w:t>
      </w:r>
    </w:p>
    <w:p w14:paraId="3E8A4264" w14:textId="73948C9F" w:rsidR="00765BAE" w:rsidRDefault="00765BAE" w:rsidP="00765BAE">
      <w:pPr>
        <w:pStyle w:val="Style1"/>
      </w:pPr>
      <w:r>
        <w:t>When considering the beam management procedure for UE-common</w:t>
      </w:r>
      <w:r w:rsidR="00047905">
        <w:t xml:space="preserve"> (or UE-group common)</w:t>
      </w:r>
      <w:r>
        <w:t xml:space="preserve"> </w:t>
      </w:r>
      <w:r w:rsidR="00D17B84">
        <w:t>NR-</w:t>
      </w:r>
      <w:r>
        <w:t>PDCCH</w:t>
      </w:r>
      <w:r w:rsidR="009B57B8">
        <w:t xml:space="preserve"> or </w:t>
      </w:r>
      <w:r w:rsidR="00D17B84">
        <w:t>NR-</w:t>
      </w:r>
      <w:r w:rsidR="009B57B8">
        <w:t>PDSCH</w:t>
      </w:r>
      <w:r>
        <w:t xml:space="preserve">, it should be taken into account that such downlink channels need to be received by the UE during the initial access procedure, as well as during idle mode. As such, a beam management procedure that does not require active management by the network based on UE feedback is </w:t>
      </w:r>
      <w:r w:rsidR="00047905">
        <w:t>required</w:t>
      </w:r>
      <w:r>
        <w:t xml:space="preserve">. The network may need to transmit UE-common </w:t>
      </w:r>
      <w:r w:rsidR="00D17B84">
        <w:t>NR-</w:t>
      </w:r>
      <w:r>
        <w:t>PDCCHs</w:t>
      </w:r>
      <w:r w:rsidR="009B57B8">
        <w:t xml:space="preserve"> and </w:t>
      </w:r>
      <w:r w:rsidR="00D17B84">
        <w:t>NR-</w:t>
      </w:r>
      <w:r w:rsidR="009B57B8">
        <w:t>PDSCHs</w:t>
      </w:r>
      <w:r>
        <w:t xml:space="preserve"> on all its Tx beams in the same way as NR</w:t>
      </w:r>
      <w:r w:rsidR="00D17B84">
        <w:t xml:space="preserve"> synchronization signals and NR-</w:t>
      </w:r>
      <w:r>
        <w:t xml:space="preserve">PBCH. It follows that the RS </w:t>
      </w:r>
      <w:r w:rsidR="00047905">
        <w:t>as the QCL reference</w:t>
      </w:r>
      <w:r>
        <w:t xml:space="preserve"> </w:t>
      </w:r>
      <w:r w:rsidR="00A50C75">
        <w:t xml:space="preserve">(including spatial QCL) </w:t>
      </w:r>
      <w:r>
        <w:t>by the UE sho</w:t>
      </w:r>
      <w:r w:rsidR="009B57B8">
        <w:t xml:space="preserve">uld be based on </w:t>
      </w:r>
      <w:r w:rsidR="00E42B7D">
        <w:t>the SS block</w:t>
      </w:r>
      <w:r>
        <w:t>.</w:t>
      </w:r>
      <w:r w:rsidR="009B57B8">
        <w:t xml:space="preserve"> </w:t>
      </w:r>
    </w:p>
    <w:p w14:paraId="7DCC3ADD" w14:textId="24E3967E" w:rsidR="00765BAE" w:rsidRPr="001B5A6F" w:rsidRDefault="00047905" w:rsidP="005D5971">
      <w:pPr>
        <w:pStyle w:val="Style1"/>
        <w:ind w:firstLine="0"/>
        <w:rPr>
          <w:b/>
        </w:rPr>
      </w:pPr>
      <w:r>
        <w:rPr>
          <w:b/>
        </w:rPr>
        <w:lastRenderedPageBreak/>
        <w:t>Observation</w:t>
      </w:r>
      <w:r w:rsidR="00765BAE">
        <w:rPr>
          <w:b/>
        </w:rPr>
        <w:t xml:space="preserve"> 1</w:t>
      </w:r>
      <w:r w:rsidR="00765BAE" w:rsidRPr="000F6FE6">
        <w:rPr>
          <w:b/>
        </w:rPr>
        <w:t xml:space="preserve">: </w:t>
      </w:r>
      <w:r w:rsidR="00E42B7D">
        <w:rPr>
          <w:b/>
        </w:rPr>
        <w:t xml:space="preserve">SS block is </w:t>
      </w:r>
      <w:r w:rsidR="00DF198C">
        <w:rPr>
          <w:b/>
        </w:rPr>
        <w:t>the QCL reference</w:t>
      </w:r>
      <w:r w:rsidR="00B5581D">
        <w:rPr>
          <w:b/>
        </w:rPr>
        <w:t xml:space="preserve"> for receiving</w:t>
      </w:r>
      <w:r w:rsidR="00765BAE" w:rsidRPr="000F6FE6">
        <w:rPr>
          <w:b/>
        </w:rPr>
        <w:t xml:space="preserve"> UE-common </w:t>
      </w:r>
      <w:r w:rsidR="00C17437">
        <w:rPr>
          <w:b/>
        </w:rPr>
        <w:t xml:space="preserve">(or UE-group common) </w:t>
      </w:r>
      <w:r w:rsidR="00D17B84">
        <w:rPr>
          <w:b/>
        </w:rPr>
        <w:t>NR-</w:t>
      </w:r>
      <w:r w:rsidR="00765BAE">
        <w:rPr>
          <w:b/>
        </w:rPr>
        <w:t>PDCCH</w:t>
      </w:r>
      <w:r w:rsidR="00C17437">
        <w:rPr>
          <w:b/>
        </w:rPr>
        <w:t>/</w:t>
      </w:r>
      <w:r w:rsidR="009B57B8">
        <w:rPr>
          <w:b/>
        </w:rPr>
        <w:t>PDSCH</w:t>
      </w:r>
      <w:r w:rsidR="00765BAE">
        <w:rPr>
          <w:b/>
        </w:rPr>
        <w:t>.</w:t>
      </w:r>
    </w:p>
    <w:p w14:paraId="5342F0C9" w14:textId="2BBEFDE0" w:rsidR="004F60A5" w:rsidRDefault="00765BAE" w:rsidP="004F60A5">
      <w:pPr>
        <w:pStyle w:val="Style1"/>
        <w:ind w:firstLine="450"/>
      </w:pPr>
      <w:r>
        <w:t>For the UE-specific</w:t>
      </w:r>
      <w:r w:rsidR="00DF198C">
        <w:t xml:space="preserve"> </w:t>
      </w:r>
      <w:r w:rsidR="00D17B84">
        <w:t>NR-</w:t>
      </w:r>
      <w:r w:rsidR="00DF198C">
        <w:t>PDCCH</w:t>
      </w:r>
      <w:r w:rsidR="009E7140">
        <w:t xml:space="preserve"> and </w:t>
      </w:r>
      <w:r w:rsidR="00D17B84">
        <w:t>NR-</w:t>
      </w:r>
      <w:r w:rsidR="009E7140">
        <w:t>PDSCH</w:t>
      </w:r>
      <w:r w:rsidR="00DF198C">
        <w:t xml:space="preserve">, it would be beneficial </w:t>
      </w:r>
      <w:r>
        <w:t>for the UE to indicate to the network the best Tx beam to receive the PDCCH</w:t>
      </w:r>
      <w:r w:rsidR="009E7140">
        <w:t xml:space="preserve"> and PDSCH</w:t>
      </w:r>
      <w:r>
        <w:t>, as such UE feedback would allow the network</w:t>
      </w:r>
      <w:r w:rsidR="009E7140">
        <w:t xml:space="preserve"> to provide better link quality</w:t>
      </w:r>
      <w:r>
        <w:t xml:space="preserve"> and also to support MU-MIMO tra</w:t>
      </w:r>
      <w:r w:rsidR="009E7140">
        <w:t>nsmissions</w:t>
      </w:r>
      <w:r>
        <w:t xml:space="preserve">. </w:t>
      </w:r>
      <w:r w:rsidR="009123F0">
        <w:t>L1 b</w:t>
      </w:r>
      <w:r>
        <w:t xml:space="preserve">eam </w:t>
      </w:r>
      <w:r w:rsidR="007307BF">
        <w:t>measurement and reporting</w:t>
      </w:r>
      <w:r>
        <w:t xml:space="preserve"> </w:t>
      </w:r>
      <w:r w:rsidR="009E7140">
        <w:t xml:space="preserve">based </w:t>
      </w:r>
      <w:r>
        <w:t>on UE-specific CSI-RS can enable more refined beams to be used which can either increase the spectral efficiency or the range of the downlink channel</w:t>
      </w:r>
      <w:r w:rsidR="007307BF">
        <w:t>s</w:t>
      </w:r>
      <w:r>
        <w:t xml:space="preserve">. </w:t>
      </w:r>
      <w:r w:rsidR="007307BF">
        <w:t xml:space="preserve">Nevertheless, it should also be possible for the network to transmit UE-specific </w:t>
      </w:r>
      <w:r w:rsidR="00D17B84">
        <w:t>NR-</w:t>
      </w:r>
      <w:r w:rsidR="007307BF">
        <w:t xml:space="preserve">PDCCHs/PDSCHs on the same beam(s) as those used for UE-common </w:t>
      </w:r>
      <w:r w:rsidR="00D17B84">
        <w:t>NR-</w:t>
      </w:r>
      <w:r w:rsidR="007307BF">
        <w:t xml:space="preserve">PDCCHs, i.e. </w:t>
      </w:r>
      <w:r w:rsidR="00527939">
        <w:t xml:space="preserve">SS block can also be configured to be the QCL reference for receiving UE-specific </w:t>
      </w:r>
      <w:r w:rsidR="00D17B84">
        <w:t>NR-</w:t>
      </w:r>
      <w:r w:rsidR="00527939">
        <w:t xml:space="preserve">PDCCH and </w:t>
      </w:r>
      <w:r w:rsidR="00D17B84">
        <w:t>NR-</w:t>
      </w:r>
      <w:r w:rsidR="00527939">
        <w:t>PDSCH</w:t>
      </w:r>
      <w:r w:rsidR="007307BF">
        <w:t>.</w:t>
      </w:r>
      <w:r w:rsidR="000A0CD7">
        <w:t xml:space="preserve"> For the </w:t>
      </w:r>
      <w:r w:rsidR="00A47880">
        <w:t xml:space="preserve">unicast </w:t>
      </w:r>
      <w:r w:rsidR="00D17B84">
        <w:t>NR-</w:t>
      </w:r>
      <w:r w:rsidR="000A0CD7">
        <w:t xml:space="preserve">PDSCH, to be able to use the SS block as the QCL reference is useful for supporting </w:t>
      </w:r>
      <w:r w:rsidR="00A47880">
        <w:t xml:space="preserve">a ‘fall back’ unicast </w:t>
      </w:r>
      <w:r w:rsidR="00D17B84">
        <w:t>NR-</w:t>
      </w:r>
      <w:r w:rsidR="00A47880">
        <w:t>PDSCH that is more robust and is analogous to the PDSCH corresponding to DCI format 1A of LTE.</w:t>
      </w:r>
      <w:r w:rsidR="00F81854">
        <w:t xml:space="preserve"> </w:t>
      </w:r>
    </w:p>
    <w:p w14:paraId="6B8C2E90" w14:textId="3D5F8288" w:rsidR="00F81854" w:rsidRDefault="00F81854" w:rsidP="004F60A5">
      <w:pPr>
        <w:pStyle w:val="Style1"/>
        <w:ind w:firstLine="450"/>
      </w:pPr>
      <w:r>
        <w:t xml:space="preserve">The configuration of QCL reference can be either implicit or explicit. Implicit configuration applies when there is only one BPL configured by the network, in which case the ‘serving’ SS block and/or the CSI-RS that is QCL-ed with the ‘serving’ SS block naturally serves as the QCL reference for </w:t>
      </w:r>
      <w:r w:rsidR="00D17B84">
        <w:t>NR-</w:t>
      </w:r>
      <w:r>
        <w:t xml:space="preserve">PDCCH and </w:t>
      </w:r>
      <w:r w:rsidR="00D17B84">
        <w:t>NR-</w:t>
      </w:r>
      <w:r>
        <w:t xml:space="preserve">PDSCH. </w:t>
      </w:r>
      <w:r w:rsidRPr="00F81854">
        <w:t>For explicit QCL reference configuration, the set of SS blocks and CSI-RS resources that can be used as QCL reference are RRC configured by the network with the corresponding identifiers.</w:t>
      </w:r>
    </w:p>
    <w:p w14:paraId="3651FFC3" w14:textId="4C4C64E6" w:rsidR="00765BAE" w:rsidRDefault="00F81854" w:rsidP="004F60A5">
      <w:pPr>
        <w:pStyle w:val="Style1"/>
        <w:ind w:firstLine="450"/>
      </w:pPr>
      <w:r>
        <w:t>Based on the above discussion, we have the following proposals:</w:t>
      </w:r>
    </w:p>
    <w:p w14:paraId="46135D5D" w14:textId="178570AE" w:rsidR="00DF232F" w:rsidRDefault="00A47880" w:rsidP="005D5971">
      <w:pPr>
        <w:pStyle w:val="Style1"/>
        <w:ind w:firstLine="0"/>
        <w:rPr>
          <w:b/>
        </w:rPr>
      </w:pPr>
      <w:r>
        <w:rPr>
          <w:b/>
        </w:rPr>
        <w:t>Proposal 1</w:t>
      </w:r>
      <w:r w:rsidR="00765BAE" w:rsidRPr="000F6FE6">
        <w:rPr>
          <w:b/>
        </w:rPr>
        <w:t xml:space="preserve">: </w:t>
      </w:r>
      <w:r w:rsidR="00DF198C">
        <w:rPr>
          <w:b/>
        </w:rPr>
        <w:t xml:space="preserve">SS block or CSI-RS can be configured </w:t>
      </w:r>
      <w:r>
        <w:rPr>
          <w:b/>
        </w:rPr>
        <w:t xml:space="preserve">(implicitly/explicitly) </w:t>
      </w:r>
      <w:r w:rsidR="00DF198C">
        <w:rPr>
          <w:b/>
        </w:rPr>
        <w:t xml:space="preserve">as the QCL reference </w:t>
      </w:r>
      <w:r w:rsidR="007F359B">
        <w:rPr>
          <w:b/>
        </w:rPr>
        <w:t xml:space="preserve">for receiving UE-specific </w:t>
      </w:r>
      <w:r w:rsidR="00D17B84">
        <w:rPr>
          <w:b/>
        </w:rPr>
        <w:t>NR-</w:t>
      </w:r>
      <w:r w:rsidR="007F359B">
        <w:rPr>
          <w:b/>
        </w:rPr>
        <w:t>PDCCH</w:t>
      </w:r>
      <w:r w:rsidR="00A402EC">
        <w:rPr>
          <w:b/>
        </w:rPr>
        <w:t xml:space="preserve"> (as part of a CORESET configuration)</w:t>
      </w:r>
      <w:r w:rsidR="00DE241F">
        <w:rPr>
          <w:b/>
        </w:rPr>
        <w:t xml:space="preserve"> and UE-specific </w:t>
      </w:r>
      <w:r w:rsidR="00D17B84">
        <w:rPr>
          <w:b/>
        </w:rPr>
        <w:t>NR-</w:t>
      </w:r>
      <w:r w:rsidR="00DE241F">
        <w:rPr>
          <w:b/>
        </w:rPr>
        <w:t>PDSCH</w:t>
      </w:r>
      <w:r w:rsidR="00765BAE" w:rsidRPr="000F6FE6">
        <w:rPr>
          <w:b/>
        </w:rPr>
        <w:t>.</w:t>
      </w:r>
      <w:r w:rsidR="006E11A2">
        <w:rPr>
          <w:b/>
        </w:rPr>
        <w:t xml:space="preserve"> </w:t>
      </w:r>
    </w:p>
    <w:p w14:paraId="3D64191A" w14:textId="516957A3" w:rsidR="0010629E" w:rsidRDefault="0054785D" w:rsidP="005D5971">
      <w:pPr>
        <w:pStyle w:val="Style1"/>
        <w:ind w:firstLine="0"/>
        <w:rPr>
          <w:b/>
        </w:rPr>
      </w:pPr>
      <w:r>
        <w:rPr>
          <w:b/>
        </w:rPr>
        <w:t>Proposal 2</w:t>
      </w:r>
      <w:r w:rsidR="0010629E">
        <w:rPr>
          <w:b/>
        </w:rPr>
        <w:t xml:space="preserve">: </w:t>
      </w:r>
      <w:r w:rsidR="009123F0">
        <w:rPr>
          <w:b/>
        </w:rPr>
        <w:t>L1-</w:t>
      </w:r>
      <w:r w:rsidR="0010629E">
        <w:rPr>
          <w:b/>
        </w:rPr>
        <w:t xml:space="preserve">RSRP measurement and reporting based on SS block and/or CSI-RS allows the network to maintain one or more BPLs for </w:t>
      </w:r>
      <w:r w:rsidR="00D17B84">
        <w:rPr>
          <w:b/>
        </w:rPr>
        <w:t>NR-</w:t>
      </w:r>
      <w:r w:rsidR="0010629E">
        <w:rPr>
          <w:b/>
        </w:rPr>
        <w:t>PDCCH and PDSCH.</w:t>
      </w:r>
    </w:p>
    <w:p w14:paraId="21595863" w14:textId="46D67B6F" w:rsidR="00DF232F" w:rsidRDefault="00DF232F" w:rsidP="005D5971">
      <w:pPr>
        <w:pStyle w:val="Style1"/>
        <w:ind w:firstLine="0"/>
        <w:rPr>
          <w:b/>
        </w:rPr>
      </w:pPr>
      <w:r>
        <w:rPr>
          <w:b/>
        </w:rPr>
        <w:t>P</w:t>
      </w:r>
      <w:r w:rsidR="0054785D">
        <w:rPr>
          <w:b/>
        </w:rPr>
        <w:t>roposal 3</w:t>
      </w:r>
      <w:r>
        <w:rPr>
          <w:b/>
        </w:rPr>
        <w:t xml:space="preserve">: </w:t>
      </w:r>
      <w:r w:rsidR="00B16A8C">
        <w:rPr>
          <w:b/>
        </w:rPr>
        <w:t xml:space="preserve">For </w:t>
      </w:r>
      <w:r w:rsidR="00D17B84">
        <w:rPr>
          <w:b/>
        </w:rPr>
        <w:t>NR-</w:t>
      </w:r>
      <w:r w:rsidR="00B16A8C">
        <w:rPr>
          <w:b/>
        </w:rPr>
        <w:t>PDCCH/PDSCH, i</w:t>
      </w:r>
      <w:r>
        <w:rPr>
          <w:b/>
        </w:rPr>
        <w:t>mplicit QCL reference to the ‘serving SS block’</w:t>
      </w:r>
      <w:r w:rsidR="005A3ED9">
        <w:rPr>
          <w:b/>
        </w:rPr>
        <w:t xml:space="preserve"> </w:t>
      </w:r>
      <w:r w:rsidR="00B16A8C">
        <w:rPr>
          <w:b/>
        </w:rPr>
        <w:t xml:space="preserve">and/or the QCL-ed CSI-RS </w:t>
      </w:r>
      <w:r w:rsidR="005A3ED9">
        <w:rPr>
          <w:b/>
        </w:rPr>
        <w:t>is</w:t>
      </w:r>
      <w:r w:rsidR="00560063">
        <w:rPr>
          <w:b/>
        </w:rPr>
        <w:t xml:space="preserve"> supported when </w:t>
      </w:r>
      <w:r w:rsidR="00F11D79">
        <w:rPr>
          <w:b/>
        </w:rPr>
        <w:t>ther</w:t>
      </w:r>
      <w:r w:rsidR="00FD6AE8">
        <w:rPr>
          <w:b/>
        </w:rPr>
        <w:t>e is only one BPL configured</w:t>
      </w:r>
      <w:r w:rsidR="00B16A8C">
        <w:rPr>
          <w:b/>
        </w:rPr>
        <w:t>.</w:t>
      </w:r>
    </w:p>
    <w:p w14:paraId="0D639046" w14:textId="18F54F20" w:rsidR="00DF232F" w:rsidRDefault="0054785D" w:rsidP="005D5971">
      <w:pPr>
        <w:pStyle w:val="Style1"/>
        <w:ind w:firstLine="0"/>
        <w:rPr>
          <w:b/>
        </w:rPr>
      </w:pPr>
      <w:r>
        <w:rPr>
          <w:b/>
        </w:rPr>
        <w:t>Proposal 4</w:t>
      </w:r>
      <w:r w:rsidR="00DF232F">
        <w:rPr>
          <w:b/>
        </w:rPr>
        <w:t xml:space="preserve">: For explicit </w:t>
      </w:r>
      <w:r w:rsidR="005A3ED9">
        <w:rPr>
          <w:b/>
        </w:rPr>
        <w:t xml:space="preserve">QCL reference </w:t>
      </w:r>
      <w:r w:rsidR="00DF232F">
        <w:rPr>
          <w:b/>
        </w:rPr>
        <w:t xml:space="preserve">configuration, the set of SS blocks and CSI-RS </w:t>
      </w:r>
      <w:r w:rsidR="00BC4ABF">
        <w:rPr>
          <w:b/>
        </w:rPr>
        <w:t xml:space="preserve">resources </w:t>
      </w:r>
      <w:r w:rsidR="00DF232F">
        <w:rPr>
          <w:b/>
        </w:rPr>
        <w:t>that can be used as QCL reference ar</w:t>
      </w:r>
      <w:r w:rsidR="00D11293">
        <w:rPr>
          <w:b/>
        </w:rPr>
        <w:t xml:space="preserve">e RRC configured by the network with the </w:t>
      </w:r>
      <w:r w:rsidR="00F81854">
        <w:rPr>
          <w:b/>
        </w:rPr>
        <w:t>corresponding</w:t>
      </w:r>
      <w:r w:rsidR="00D11293">
        <w:rPr>
          <w:b/>
        </w:rPr>
        <w:t xml:space="preserve"> identifiers.</w:t>
      </w:r>
    </w:p>
    <w:p w14:paraId="601143A0" w14:textId="7C3A89CF" w:rsidR="00F81854" w:rsidRDefault="00E25875" w:rsidP="00F81854">
      <w:pPr>
        <w:pStyle w:val="Style1"/>
        <w:rPr>
          <w:lang w:eastAsia="ko-KR"/>
        </w:rPr>
      </w:pPr>
      <w:r>
        <w:rPr>
          <w:lang w:eastAsia="ko-KR"/>
        </w:rPr>
        <w:t xml:space="preserve">It has </w:t>
      </w:r>
      <w:r w:rsidR="0054785D">
        <w:rPr>
          <w:lang w:eastAsia="ko-KR"/>
        </w:rPr>
        <w:t>b</w:t>
      </w:r>
      <w:r>
        <w:rPr>
          <w:lang w:eastAsia="ko-KR"/>
        </w:rPr>
        <w:t xml:space="preserve">een agreed </w:t>
      </w:r>
      <w:r w:rsidR="0054785D">
        <w:rPr>
          <w:lang w:eastAsia="ko-KR"/>
        </w:rPr>
        <w:t xml:space="preserve">in RAN1#89 </w:t>
      </w:r>
      <w:r>
        <w:rPr>
          <w:lang w:eastAsia="ko-KR"/>
        </w:rPr>
        <w:t>that the RRC and MAC CE signalling is su</w:t>
      </w:r>
      <w:r w:rsidRPr="00E25875">
        <w:rPr>
          <w:lang w:eastAsia="ko-KR"/>
        </w:rPr>
        <w:t xml:space="preserve">pported for QCL </w:t>
      </w:r>
      <w:r w:rsidR="0054785D">
        <w:rPr>
          <w:lang w:eastAsia="ko-KR"/>
        </w:rPr>
        <w:t>indication for NR PDCCH, with FFS on the necessity of DCI signalling.</w:t>
      </w:r>
      <w:r w:rsidR="00F81854">
        <w:rPr>
          <w:lang w:eastAsia="ko-KR"/>
        </w:rPr>
        <w:t xml:space="preserve"> </w:t>
      </w:r>
      <w:r w:rsidR="004F60A5">
        <w:rPr>
          <w:lang w:eastAsia="ko-KR"/>
        </w:rPr>
        <w:t xml:space="preserve">RRC configuration provides the set of QCL references as mentioned before. To enable dynamic adaptation, MAC CE signalling provides a good balance between reliability and latency. </w:t>
      </w:r>
      <w:r w:rsidR="00D17B84">
        <w:rPr>
          <w:lang w:eastAsia="ko-KR"/>
        </w:rPr>
        <w:t>As for DCI signalling of QCL configuration for NR-PDCCH, a use case is when the NR-PDCCH</w:t>
      </w:r>
      <w:r w:rsidR="004F60A5">
        <w:rPr>
          <w:lang w:eastAsia="ko-KR"/>
        </w:rPr>
        <w:t xml:space="preserve"> </w:t>
      </w:r>
      <w:r w:rsidR="0077264B">
        <w:rPr>
          <w:lang w:eastAsia="ko-KR"/>
        </w:rPr>
        <w:t>is</w:t>
      </w:r>
      <w:r w:rsidR="00D17B84">
        <w:rPr>
          <w:lang w:eastAsia="ko-KR"/>
        </w:rPr>
        <w:t xml:space="preserve"> FDM-ed</w:t>
      </w:r>
      <w:r w:rsidR="0077264B">
        <w:rPr>
          <w:lang w:eastAsia="ko-KR"/>
        </w:rPr>
        <w:t xml:space="preserve"> (like LTE EPDCCH)</w:t>
      </w:r>
      <w:r w:rsidR="00D17B84">
        <w:rPr>
          <w:lang w:eastAsia="ko-KR"/>
        </w:rPr>
        <w:t xml:space="preserve"> with a NR-PDSCH </w:t>
      </w:r>
      <w:r w:rsidR="0077264B">
        <w:rPr>
          <w:lang w:eastAsia="ko-KR"/>
        </w:rPr>
        <w:t>transmitted on an analog beam, and the NR-PDSCH’s QCL reference</w:t>
      </w:r>
      <w:r w:rsidR="00D17B84">
        <w:rPr>
          <w:lang w:eastAsia="ko-KR"/>
        </w:rPr>
        <w:t xml:space="preserve"> is indicated with a DCI</w:t>
      </w:r>
      <w:r w:rsidR="0077264B">
        <w:rPr>
          <w:lang w:eastAsia="ko-KR"/>
        </w:rPr>
        <w:t xml:space="preserve"> signalling</w:t>
      </w:r>
      <w:r w:rsidR="00D17B84">
        <w:rPr>
          <w:lang w:eastAsia="ko-KR"/>
        </w:rPr>
        <w:t>.</w:t>
      </w:r>
      <w:r w:rsidR="0077264B">
        <w:rPr>
          <w:lang w:eastAsia="ko-KR"/>
        </w:rPr>
        <w:t xml:space="preserve"> LTE EPDCCH was defined as a particular frequency-domain ICIC method for the LTE DL control channel. Frequency-domain ICIC for NR PDCCH is built in the NR design, and the need for purely frequency multiplexing with NR PDSCH is not yet clear for NR. </w:t>
      </w:r>
      <w:r w:rsidR="00D71118">
        <w:rPr>
          <w:lang w:eastAsia="ko-KR"/>
        </w:rPr>
        <w:t xml:space="preserve">Considering the additional specification that would be required to support DCI signalling for QCL indication for NR-PDCCH, we propose not to support it unless the need for it is justified. </w:t>
      </w:r>
    </w:p>
    <w:p w14:paraId="6B6F2100" w14:textId="003B2888" w:rsidR="0054785D" w:rsidRPr="00F81854" w:rsidRDefault="00F81854" w:rsidP="0054785D">
      <w:pPr>
        <w:pStyle w:val="Style1"/>
        <w:ind w:firstLine="0"/>
        <w:rPr>
          <w:b/>
          <w:lang w:eastAsia="ko-KR"/>
        </w:rPr>
      </w:pPr>
      <w:r w:rsidRPr="00F81854">
        <w:rPr>
          <w:b/>
          <w:lang w:eastAsia="ko-KR"/>
        </w:rPr>
        <w:t>Proposal 5</w:t>
      </w:r>
      <w:r w:rsidR="0054785D" w:rsidRPr="00F81854">
        <w:rPr>
          <w:b/>
          <w:lang w:eastAsia="ko-KR"/>
        </w:rPr>
        <w:t xml:space="preserve">: DCI signalling </w:t>
      </w:r>
      <w:r w:rsidR="00D71118">
        <w:rPr>
          <w:b/>
          <w:lang w:eastAsia="ko-KR"/>
        </w:rPr>
        <w:t>for QCL indication for NR-</w:t>
      </w:r>
      <w:r w:rsidR="0054785D" w:rsidRPr="00F81854">
        <w:rPr>
          <w:b/>
          <w:lang w:eastAsia="ko-KR"/>
        </w:rPr>
        <w:t>PDCCH is not supported.</w:t>
      </w:r>
    </w:p>
    <w:p w14:paraId="48C6BD12" w14:textId="3F9660FE" w:rsidR="00B81BE2" w:rsidRDefault="009E7140" w:rsidP="00B81BE2">
      <w:pPr>
        <w:pStyle w:val="Style1"/>
        <w:rPr>
          <w:lang w:eastAsia="ko-KR"/>
        </w:rPr>
      </w:pPr>
      <w:r>
        <w:rPr>
          <w:lang w:eastAsia="ko-KR"/>
        </w:rPr>
        <w:t xml:space="preserve">Unlike the control beam management, more dynamic </w:t>
      </w:r>
      <w:r w:rsidR="00D71118">
        <w:rPr>
          <w:lang w:eastAsia="ko-KR"/>
        </w:rPr>
        <w:t>NR-</w:t>
      </w:r>
      <w:r>
        <w:rPr>
          <w:lang w:eastAsia="ko-KR"/>
        </w:rPr>
        <w:t>PDSCH beam management needs to be su</w:t>
      </w:r>
      <w:r w:rsidR="00D71118">
        <w:rPr>
          <w:lang w:eastAsia="ko-KR"/>
        </w:rPr>
        <w:t xml:space="preserve">pported in order to enable </w:t>
      </w:r>
      <w:r>
        <w:rPr>
          <w:lang w:eastAsia="ko-KR"/>
        </w:rPr>
        <w:t xml:space="preserve">transmission schemes, such as the dynamic point selection for CoMP. </w:t>
      </w:r>
      <w:r w:rsidR="00D71118">
        <w:rPr>
          <w:lang w:eastAsia="ko-KR"/>
        </w:rPr>
        <w:t xml:space="preserve">DCI </w:t>
      </w:r>
      <w:r w:rsidR="00913944">
        <w:rPr>
          <w:lang w:eastAsia="ko-KR"/>
        </w:rPr>
        <w:t>signalling</w:t>
      </w:r>
      <w:r w:rsidR="00D71118">
        <w:rPr>
          <w:lang w:eastAsia="ko-KR"/>
        </w:rPr>
        <w:t xml:space="preserve"> for QCL indication for NR-PDSCH has already been agreed for NR. </w:t>
      </w:r>
      <w:r w:rsidR="00B81BE2">
        <w:rPr>
          <w:lang w:eastAsia="ko-KR"/>
        </w:rPr>
        <w:t xml:space="preserve">The QCL reference signalled in the DCI format should point to one of the QCL references configured by RRC. </w:t>
      </w:r>
      <w:r w:rsidR="00DA1C90">
        <w:rPr>
          <w:lang w:eastAsia="ko-KR"/>
        </w:rPr>
        <w:t>If a QCL reference can be deactivated, the deactivated QCL reference should not be indicated by the DCI and this can be a useful mechanism to limit the bit field size in the DCI format in case the</w:t>
      </w:r>
      <w:r w:rsidR="00B81BE2">
        <w:rPr>
          <w:lang w:eastAsia="ko-KR"/>
        </w:rPr>
        <w:t xml:space="preserve"> set size of QCL references </w:t>
      </w:r>
      <w:r w:rsidR="00DA1C90">
        <w:rPr>
          <w:lang w:eastAsia="ko-KR"/>
        </w:rPr>
        <w:t>configured by RRC is large.</w:t>
      </w:r>
    </w:p>
    <w:p w14:paraId="62A06425" w14:textId="377A8428" w:rsidR="00DA1C90" w:rsidRPr="00DE2A42" w:rsidRDefault="00DA1C90" w:rsidP="00DE2A42">
      <w:pPr>
        <w:pStyle w:val="Style1"/>
        <w:ind w:firstLine="0"/>
        <w:rPr>
          <w:b/>
          <w:lang w:eastAsia="ko-KR"/>
        </w:rPr>
      </w:pPr>
      <w:r w:rsidRPr="00DE2A42">
        <w:rPr>
          <w:b/>
          <w:lang w:eastAsia="ko-KR"/>
        </w:rPr>
        <w:t xml:space="preserve">Proposal 6: </w:t>
      </w:r>
      <w:r w:rsidR="00DE2A42" w:rsidRPr="00DE2A42">
        <w:rPr>
          <w:b/>
          <w:lang w:eastAsia="ko-KR"/>
        </w:rPr>
        <w:t xml:space="preserve">If a QCL reference can be activated/deactivated, the DCI signalling for QCL indication for NR-PDSCH is only corresponding to the activated QCL reference. </w:t>
      </w:r>
    </w:p>
    <w:p w14:paraId="043D194C" w14:textId="1D7FC2FD" w:rsidR="00427C83" w:rsidRPr="00FA3CCC" w:rsidRDefault="00DE2A42" w:rsidP="00FA3CCC">
      <w:pPr>
        <w:pStyle w:val="Style1"/>
        <w:rPr>
          <w:lang w:eastAsia="ko-KR"/>
        </w:rPr>
      </w:pPr>
      <w:r>
        <w:rPr>
          <w:lang w:eastAsia="ko-KR"/>
        </w:rPr>
        <w:t xml:space="preserve">The overall beam indication (QCL reference) procedure for NR-PDCCH is illustrated in </w:t>
      </w:r>
      <w:r>
        <w:rPr>
          <w:lang w:eastAsia="ko-KR"/>
        </w:rPr>
        <w:fldChar w:fldCharType="begin"/>
      </w:r>
      <w:r>
        <w:rPr>
          <w:lang w:eastAsia="ko-KR"/>
        </w:rPr>
        <w:instrText xml:space="preserve"> REF _Ref485213244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Our views on f</w:t>
      </w:r>
      <w:r w:rsidRPr="00E25875">
        <w:rPr>
          <w:lang w:eastAsia="ko-KR"/>
        </w:rPr>
        <w:t xml:space="preserve">urther details of beam management for </w:t>
      </w:r>
      <w:r>
        <w:rPr>
          <w:lang w:eastAsia="ko-KR"/>
        </w:rPr>
        <w:t>NR-</w:t>
      </w:r>
      <w:r w:rsidRPr="00E25875">
        <w:rPr>
          <w:lang w:eastAsia="ko-KR"/>
        </w:rPr>
        <w:t>PDCCH</w:t>
      </w:r>
      <w:r>
        <w:rPr>
          <w:lang w:eastAsia="ko-KR"/>
        </w:rPr>
        <w:t xml:space="preserve"> and NR-PDSCH</w:t>
      </w:r>
      <w:r w:rsidRPr="00E25875">
        <w:rPr>
          <w:lang w:eastAsia="ko-KR"/>
        </w:rPr>
        <w:t xml:space="preserve"> can be found in our companion contribution</w:t>
      </w:r>
      <w:r>
        <w:rPr>
          <w:lang w:eastAsia="ko-KR"/>
        </w:rPr>
        <w:t>s</w:t>
      </w:r>
      <w:r w:rsidRPr="00E25875">
        <w:rPr>
          <w:lang w:eastAsia="ko-KR"/>
        </w:rPr>
        <w:t xml:space="preserve"> </w:t>
      </w:r>
      <w:r>
        <w:rPr>
          <w:lang w:eastAsia="ko-KR"/>
        </w:rPr>
        <w:fldChar w:fldCharType="begin"/>
      </w:r>
      <w:r>
        <w:rPr>
          <w:lang w:eastAsia="ko-KR"/>
        </w:rPr>
        <w:instrText xml:space="preserve"> REF _Ref485215026 \r \h </w:instrText>
      </w:r>
      <w:r>
        <w:rPr>
          <w:lang w:eastAsia="ko-KR"/>
        </w:rPr>
      </w:r>
      <w:r>
        <w:rPr>
          <w:lang w:eastAsia="ko-KR"/>
        </w:rPr>
        <w:fldChar w:fldCharType="separate"/>
      </w:r>
      <w:r>
        <w:rPr>
          <w:lang w:eastAsia="ko-KR"/>
        </w:rPr>
        <w:t>[1]</w:t>
      </w:r>
      <w:r>
        <w:rPr>
          <w:lang w:eastAsia="ko-KR"/>
        </w:rPr>
        <w:fldChar w:fldCharType="end"/>
      </w:r>
      <w:r>
        <w:rPr>
          <w:lang w:eastAsia="ko-KR"/>
        </w:rPr>
        <w:t xml:space="preserve"> </w:t>
      </w:r>
      <w:r>
        <w:rPr>
          <w:lang w:eastAsia="ko-KR"/>
        </w:rPr>
        <w:lastRenderedPageBreak/>
        <w:t xml:space="preserve">and </w:t>
      </w:r>
      <w:r w:rsidR="001D34EB">
        <w:rPr>
          <w:lang w:eastAsia="ko-KR"/>
        </w:rPr>
        <w:fldChar w:fldCharType="begin"/>
      </w:r>
      <w:r w:rsidR="001D34EB">
        <w:rPr>
          <w:lang w:eastAsia="ko-KR"/>
        </w:rPr>
        <w:instrText xml:space="preserve"> REF _Ref485216710 \n \h </w:instrText>
      </w:r>
      <w:r w:rsidR="001D34EB">
        <w:rPr>
          <w:lang w:eastAsia="ko-KR"/>
        </w:rPr>
      </w:r>
      <w:r w:rsidR="001D34EB">
        <w:rPr>
          <w:lang w:eastAsia="ko-KR"/>
        </w:rPr>
        <w:fldChar w:fldCharType="separate"/>
      </w:r>
      <w:r w:rsidR="001D34EB">
        <w:rPr>
          <w:lang w:eastAsia="ko-KR"/>
        </w:rPr>
        <w:t>[2]</w:t>
      </w:r>
      <w:r w:rsidR="001D34EB">
        <w:rPr>
          <w:lang w:eastAsia="ko-KR"/>
        </w:rPr>
        <w:fldChar w:fldCharType="end"/>
      </w:r>
      <w:r w:rsidR="001D34EB">
        <w:rPr>
          <w:lang w:eastAsia="ko-KR"/>
        </w:rPr>
        <w:t>, respectively</w:t>
      </w:r>
      <w:r w:rsidRPr="00E25875">
        <w:rPr>
          <w:lang w:eastAsia="ko-KR"/>
        </w:rPr>
        <w:t>.</w:t>
      </w:r>
      <w:r w:rsidR="009123F0">
        <w:rPr>
          <w:lang w:eastAsia="ko-KR"/>
        </w:rPr>
        <w:t xml:space="preserve"> Readers are referred to </w:t>
      </w:r>
      <w:r w:rsidR="009123F0">
        <w:rPr>
          <w:lang w:eastAsia="ko-KR"/>
        </w:rPr>
        <w:fldChar w:fldCharType="begin"/>
      </w:r>
      <w:r w:rsidR="009123F0">
        <w:rPr>
          <w:lang w:eastAsia="ko-KR"/>
        </w:rPr>
        <w:instrText xml:space="preserve"> REF _Ref485218390 \r \h </w:instrText>
      </w:r>
      <w:r w:rsidR="009123F0">
        <w:rPr>
          <w:lang w:eastAsia="ko-KR"/>
        </w:rPr>
      </w:r>
      <w:r w:rsidR="009123F0">
        <w:rPr>
          <w:lang w:eastAsia="ko-KR"/>
        </w:rPr>
        <w:fldChar w:fldCharType="separate"/>
      </w:r>
      <w:r w:rsidR="009123F0">
        <w:rPr>
          <w:lang w:eastAsia="ko-KR"/>
        </w:rPr>
        <w:t>[3]</w:t>
      </w:r>
      <w:r w:rsidR="009123F0">
        <w:rPr>
          <w:lang w:eastAsia="ko-KR"/>
        </w:rPr>
        <w:fldChar w:fldCharType="end"/>
      </w:r>
      <w:r w:rsidR="009123F0">
        <w:rPr>
          <w:lang w:eastAsia="ko-KR"/>
        </w:rPr>
        <w:fldChar w:fldCharType="begin"/>
      </w:r>
      <w:r w:rsidR="009123F0">
        <w:rPr>
          <w:lang w:eastAsia="ko-KR"/>
        </w:rPr>
        <w:instrText xml:space="preserve"> REF _Ref485218329 \r \h </w:instrText>
      </w:r>
      <w:r w:rsidR="009123F0">
        <w:rPr>
          <w:lang w:eastAsia="ko-KR"/>
        </w:rPr>
      </w:r>
      <w:r w:rsidR="009123F0">
        <w:rPr>
          <w:lang w:eastAsia="ko-KR"/>
        </w:rPr>
        <w:fldChar w:fldCharType="separate"/>
      </w:r>
      <w:r w:rsidR="009123F0">
        <w:rPr>
          <w:lang w:eastAsia="ko-KR"/>
        </w:rPr>
        <w:t>[4]</w:t>
      </w:r>
      <w:r w:rsidR="009123F0">
        <w:rPr>
          <w:lang w:eastAsia="ko-KR"/>
        </w:rPr>
        <w:fldChar w:fldCharType="end"/>
      </w:r>
      <w:r w:rsidR="009123F0">
        <w:rPr>
          <w:lang w:eastAsia="ko-KR"/>
        </w:rPr>
        <w:t xml:space="preserve"> for detailed discussions on beam measurement and reporting.</w:t>
      </w:r>
      <w:r w:rsidR="00E86F8A">
        <w:rPr>
          <w:lang w:eastAsia="ko-KR"/>
        </w:rPr>
        <w:t xml:space="preserve"> Readers are referred to </w:t>
      </w:r>
      <w:r w:rsidR="00281BC7">
        <w:rPr>
          <w:lang w:eastAsia="ko-KR"/>
        </w:rPr>
        <w:fldChar w:fldCharType="begin"/>
      </w:r>
      <w:r w:rsidR="00281BC7">
        <w:rPr>
          <w:lang w:eastAsia="ko-KR"/>
        </w:rPr>
        <w:instrText xml:space="preserve"> REF _Ref485365424 \n \h </w:instrText>
      </w:r>
      <w:r w:rsidR="00281BC7">
        <w:rPr>
          <w:lang w:eastAsia="ko-KR"/>
        </w:rPr>
      </w:r>
      <w:r w:rsidR="00281BC7">
        <w:rPr>
          <w:lang w:eastAsia="ko-KR"/>
        </w:rPr>
        <w:fldChar w:fldCharType="separate"/>
      </w:r>
      <w:r w:rsidR="00281BC7">
        <w:rPr>
          <w:lang w:eastAsia="ko-KR"/>
        </w:rPr>
        <w:t>[6]</w:t>
      </w:r>
      <w:r w:rsidR="00281BC7">
        <w:rPr>
          <w:lang w:eastAsia="ko-KR"/>
        </w:rPr>
        <w:fldChar w:fldCharType="end"/>
      </w:r>
      <w:r w:rsidR="00281BC7">
        <w:rPr>
          <w:lang w:eastAsia="ko-KR"/>
        </w:rPr>
        <w:t xml:space="preserve"> </w:t>
      </w:r>
      <w:r w:rsidR="00E86F8A">
        <w:rPr>
          <w:lang w:eastAsia="ko-KR"/>
        </w:rPr>
        <w:t xml:space="preserve">for more </w:t>
      </w:r>
      <w:r w:rsidR="00281BC7">
        <w:rPr>
          <w:lang w:eastAsia="ko-KR"/>
        </w:rPr>
        <w:t>discussions on beam management configuration framework.</w:t>
      </w:r>
    </w:p>
    <w:p w14:paraId="6A6BD972" w14:textId="430E1A20" w:rsidR="00A85135" w:rsidRDefault="00A85135" w:rsidP="00A85135">
      <w:pPr>
        <w:keepNext/>
        <w:jc w:val="center"/>
      </w:pPr>
    </w:p>
    <w:p w14:paraId="050A3267" w14:textId="17FAFD08" w:rsidR="00E86F8A" w:rsidRDefault="00E86F8A" w:rsidP="00A85135">
      <w:pPr>
        <w:keepNext/>
        <w:jc w:val="center"/>
      </w:pPr>
      <w:r>
        <w:rPr>
          <w:noProof/>
          <w:lang w:val="en-US" w:eastAsia="zh-CN"/>
        </w:rPr>
        <w:drawing>
          <wp:inline distT="0" distB="0" distL="0" distR="0" wp14:anchorId="3064871E" wp14:editId="124B7153">
            <wp:extent cx="4975143" cy="26477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2963" cy="2651928"/>
                    </a:xfrm>
                    <a:prstGeom prst="rect">
                      <a:avLst/>
                    </a:prstGeom>
                    <a:noFill/>
                  </pic:spPr>
                </pic:pic>
              </a:graphicData>
            </a:graphic>
          </wp:inline>
        </w:drawing>
      </w:r>
    </w:p>
    <w:p w14:paraId="015BF018" w14:textId="5A2DF891" w:rsidR="00427C83" w:rsidRDefault="00A85135" w:rsidP="00A85135">
      <w:pPr>
        <w:pStyle w:val="Caption"/>
        <w:jc w:val="center"/>
        <w:rPr>
          <w:b w:val="0"/>
          <w:lang w:eastAsia="ko-KR"/>
        </w:rPr>
      </w:pPr>
      <w:bookmarkStart w:id="4" w:name="_Ref485213244"/>
      <w:r>
        <w:t xml:space="preserve">Figure </w:t>
      </w:r>
      <w:r>
        <w:fldChar w:fldCharType="begin"/>
      </w:r>
      <w:r>
        <w:instrText xml:space="preserve"> SEQ Figure \* ARABIC </w:instrText>
      </w:r>
      <w:r>
        <w:fldChar w:fldCharType="separate"/>
      </w:r>
      <w:r>
        <w:rPr>
          <w:noProof/>
        </w:rPr>
        <w:t>1</w:t>
      </w:r>
      <w:r>
        <w:fldChar w:fldCharType="end"/>
      </w:r>
      <w:bookmarkEnd w:id="4"/>
      <w:r>
        <w:t>: NR beam indication framework</w:t>
      </w:r>
    </w:p>
    <w:p w14:paraId="6DD2D7FF" w14:textId="7425B30E" w:rsidR="00C6723F" w:rsidRDefault="00862327" w:rsidP="00C6723F">
      <w:pPr>
        <w:pStyle w:val="Heading1"/>
        <w:tabs>
          <w:tab w:val="num" w:pos="0"/>
        </w:tabs>
        <w:ind w:left="799" w:hanging="799"/>
      </w:pPr>
      <w:r>
        <w:t xml:space="preserve">On </w:t>
      </w:r>
      <w:r w:rsidR="00C6723F">
        <w:t xml:space="preserve">Beam-pair link </w:t>
      </w:r>
      <w:r>
        <w:t>definition and specification impact</w:t>
      </w:r>
    </w:p>
    <w:p w14:paraId="679C55DF" w14:textId="59F4DF65" w:rsidR="00AC11F6" w:rsidRDefault="009C3FE1" w:rsidP="00AC11F6">
      <w:pPr>
        <w:pStyle w:val="Style1"/>
        <w:rPr>
          <w:lang w:eastAsia="ko-KR"/>
        </w:rPr>
      </w:pPr>
      <w:r>
        <w:rPr>
          <w:lang w:eastAsia="ko-KR"/>
        </w:rPr>
        <w:t>There have</w:t>
      </w:r>
      <w:r w:rsidR="00AC11F6">
        <w:rPr>
          <w:lang w:eastAsia="ko-KR"/>
        </w:rPr>
        <w:t xml:space="preserve"> been several attempts to provide a concrete definition to the term “beam-pair link”</w:t>
      </w:r>
      <w:r w:rsidR="00BE0BE9">
        <w:rPr>
          <w:lang w:eastAsia="ko-KR"/>
        </w:rPr>
        <w:t xml:space="preserve">, </w:t>
      </w:r>
      <w:r w:rsidR="00AC11F6">
        <w:rPr>
          <w:lang w:eastAsia="ko-KR"/>
        </w:rPr>
        <w:t xml:space="preserve">see e.g. </w:t>
      </w:r>
      <w:r w:rsidR="00AC11F6">
        <w:rPr>
          <w:lang w:eastAsia="ko-KR"/>
        </w:rPr>
        <w:fldChar w:fldCharType="begin"/>
      </w:r>
      <w:r w:rsidR="00AC11F6">
        <w:rPr>
          <w:lang w:eastAsia="ko-KR"/>
        </w:rPr>
        <w:instrText xml:space="preserve"> REF _Ref485218221 \n \h </w:instrText>
      </w:r>
      <w:r w:rsidR="00AC11F6">
        <w:rPr>
          <w:lang w:eastAsia="ko-KR"/>
        </w:rPr>
      </w:r>
      <w:r w:rsidR="00AC11F6">
        <w:rPr>
          <w:lang w:eastAsia="ko-KR"/>
        </w:rPr>
        <w:fldChar w:fldCharType="separate"/>
      </w:r>
      <w:r w:rsidR="00281BC7">
        <w:rPr>
          <w:lang w:eastAsia="ko-KR"/>
        </w:rPr>
        <w:t>[7]</w:t>
      </w:r>
      <w:r w:rsidR="00AC11F6">
        <w:rPr>
          <w:lang w:eastAsia="ko-KR"/>
        </w:rPr>
        <w:fldChar w:fldCharType="end"/>
      </w:r>
      <w:r w:rsidR="00BE0BE9">
        <w:rPr>
          <w:lang w:eastAsia="ko-KR"/>
        </w:rPr>
        <w:t xml:space="preserve"> where a BPL has been defined as </w:t>
      </w:r>
      <w:r w:rsidR="00BE0BE9">
        <w:rPr>
          <w:i/>
        </w:rPr>
        <w:t>“</w:t>
      </w:r>
      <w:r w:rsidR="00BE0BE9" w:rsidRPr="000A6A66">
        <w:rPr>
          <w:i/>
        </w:rPr>
        <w:t>a UE or gNB measurement (e.g. RSRP/CSI) on a reference signal (e.g. CSI-RS, SS, SRS) transmitted/received according to a TX/RX spatial filtering configuration</w:t>
      </w:r>
      <w:r w:rsidR="00BE0BE9">
        <w:rPr>
          <w:i/>
        </w:rPr>
        <w:t>”</w:t>
      </w:r>
      <w:r w:rsidR="00AC11F6">
        <w:rPr>
          <w:lang w:eastAsia="ko-KR"/>
        </w:rPr>
        <w:t xml:space="preserve">. While BPL is a useful concept </w:t>
      </w:r>
      <w:r>
        <w:rPr>
          <w:lang w:eastAsia="ko-KR"/>
        </w:rPr>
        <w:t>which</w:t>
      </w:r>
      <w:r w:rsidR="00AC11F6">
        <w:rPr>
          <w:lang w:eastAsia="ko-KR"/>
        </w:rPr>
        <w:t xml:space="preserve"> has been used extensively in</w:t>
      </w:r>
      <w:r>
        <w:rPr>
          <w:lang w:eastAsia="ko-KR"/>
        </w:rPr>
        <w:t xml:space="preserve"> the beam management discussion, it is not yet clear if an official definition needs to be provided for the NR specification or the extent of its specification impact.</w:t>
      </w:r>
    </w:p>
    <w:p w14:paraId="10A91E40" w14:textId="518149E4" w:rsidR="009C3FE1" w:rsidRPr="00AC11F6" w:rsidRDefault="00BE0BE9" w:rsidP="00AC11F6">
      <w:pPr>
        <w:pStyle w:val="Style1"/>
        <w:rPr>
          <w:lang w:eastAsia="ko-KR"/>
        </w:rPr>
      </w:pPr>
      <w:r>
        <w:rPr>
          <w:lang w:eastAsia="ko-KR"/>
        </w:rPr>
        <w:t xml:space="preserve">As beam management progresses from P1 to P3, the BPL as understood at the gNB or at the UE </w:t>
      </w:r>
      <w:r w:rsidR="00A306C2">
        <w:rPr>
          <w:lang w:eastAsia="ko-KR"/>
        </w:rPr>
        <w:t>is</w:t>
      </w:r>
      <w:r>
        <w:rPr>
          <w:lang w:eastAsia="ko-KR"/>
        </w:rPr>
        <w:t xml:space="preserve"> updated as illustrated in </w:t>
      </w:r>
      <w:r>
        <w:rPr>
          <w:lang w:eastAsia="ko-KR"/>
        </w:rPr>
        <w:fldChar w:fldCharType="begin"/>
      </w:r>
      <w:r>
        <w:rPr>
          <w:lang w:eastAsia="ko-KR"/>
        </w:rPr>
        <w:instrText xml:space="preserve"> REF _Ref485218696 \h </w:instrText>
      </w:r>
      <w:r>
        <w:rPr>
          <w:lang w:eastAsia="ko-KR"/>
        </w:rPr>
      </w:r>
      <w:r>
        <w:rPr>
          <w:lang w:eastAsia="ko-KR"/>
        </w:rPr>
        <w:fldChar w:fldCharType="separate"/>
      </w:r>
      <w:r>
        <w:t xml:space="preserve">Figure </w:t>
      </w:r>
      <w:r>
        <w:rPr>
          <w:noProof/>
        </w:rPr>
        <w:t>2</w:t>
      </w:r>
      <w:r>
        <w:rPr>
          <w:lang w:eastAsia="ko-KR"/>
        </w:rPr>
        <w:fldChar w:fldCharType="end"/>
      </w:r>
      <w:r w:rsidR="00520D78">
        <w:rPr>
          <w:lang w:eastAsia="ko-KR"/>
        </w:rPr>
        <w:t xml:space="preserve">. </w:t>
      </w:r>
      <w:r w:rsidR="00BD72D1">
        <w:rPr>
          <w:lang w:eastAsia="ko-KR"/>
        </w:rPr>
        <w:t>A potential specification impact of the BPL concept is the explicit signalling of a</w:t>
      </w:r>
      <w:r w:rsidR="00F502F6">
        <w:rPr>
          <w:lang w:eastAsia="ko-KR"/>
        </w:rPr>
        <w:t xml:space="preserve"> refined Tx/</w:t>
      </w:r>
      <w:r w:rsidR="00BD72D1">
        <w:rPr>
          <w:lang w:eastAsia="ko-KR"/>
        </w:rPr>
        <w:t xml:space="preserve">Rx beam to receive a DL channel. </w:t>
      </w:r>
      <w:r w:rsidR="00E205FB">
        <w:rPr>
          <w:lang w:eastAsia="ko-KR"/>
        </w:rPr>
        <w:t xml:space="preserve">From the beam indication perspective, it </w:t>
      </w:r>
      <w:r w:rsidR="00E553C0">
        <w:rPr>
          <w:lang w:eastAsia="ko-KR"/>
        </w:rPr>
        <w:t>would</w:t>
      </w:r>
      <w:r w:rsidR="00E205FB">
        <w:rPr>
          <w:lang w:eastAsia="ko-KR"/>
        </w:rPr>
        <w:t xml:space="preserve"> be sufficient for the </w:t>
      </w:r>
      <w:r w:rsidR="00E553C0">
        <w:rPr>
          <w:lang w:eastAsia="ko-KR"/>
        </w:rPr>
        <w:t xml:space="preserve">DL </w:t>
      </w:r>
      <w:r w:rsidR="00E205FB">
        <w:rPr>
          <w:lang w:eastAsia="ko-KR"/>
        </w:rPr>
        <w:t>RS for beam management to be configured as a QCL reference candidate. The gNB or the UE can be expected to</w:t>
      </w:r>
      <w:r w:rsidR="00EB7D53">
        <w:rPr>
          <w:lang w:eastAsia="ko-KR"/>
        </w:rPr>
        <w:t xml:space="preserve"> use the appropriate Tx/Rx beam for receiving a NR-PDCCH or a NR-PDSCH. </w:t>
      </w:r>
      <w:r w:rsidR="009A14E4">
        <w:rPr>
          <w:lang w:eastAsia="ko-KR"/>
        </w:rPr>
        <w:t xml:space="preserve">For example, </w:t>
      </w:r>
      <w:r w:rsidR="00EB7D53">
        <w:rPr>
          <w:lang w:eastAsia="ko-KR"/>
        </w:rPr>
        <w:t>when receiving a NR-PDCCH</w:t>
      </w:r>
      <w:r w:rsidR="009A14E4">
        <w:rPr>
          <w:lang w:eastAsia="ko-KR"/>
        </w:rPr>
        <w:t>/PDSCH</w:t>
      </w:r>
      <w:r w:rsidR="00EB7D53">
        <w:rPr>
          <w:lang w:eastAsia="ko-KR"/>
        </w:rPr>
        <w:t xml:space="preserve"> with QCL reference of P1</w:t>
      </w:r>
      <w:r w:rsidR="009A14E4">
        <w:rPr>
          <w:lang w:eastAsia="ko-KR"/>
        </w:rPr>
        <w:t>/P2</w:t>
      </w:r>
      <w:r w:rsidR="00EB7D53">
        <w:rPr>
          <w:lang w:eastAsia="ko-KR"/>
        </w:rPr>
        <w:t xml:space="preserve"> CSI-RS, the UE is expected to use Rx beam 1, and when receiving a </w:t>
      </w:r>
      <w:r w:rsidR="009A14E4">
        <w:rPr>
          <w:lang w:eastAsia="ko-KR"/>
        </w:rPr>
        <w:t>NR-PDCCH/</w:t>
      </w:r>
      <w:r w:rsidR="00EB7D53">
        <w:rPr>
          <w:lang w:eastAsia="ko-KR"/>
        </w:rPr>
        <w:t xml:space="preserve">NR-PDSCH </w:t>
      </w:r>
      <w:r w:rsidR="00783D31">
        <w:rPr>
          <w:lang w:eastAsia="ko-KR"/>
        </w:rPr>
        <w:t xml:space="preserve">indicated </w:t>
      </w:r>
      <w:r w:rsidR="009A14E4">
        <w:rPr>
          <w:lang w:eastAsia="ko-KR"/>
        </w:rPr>
        <w:t>with QCL reference of P3</w:t>
      </w:r>
      <w:r w:rsidR="00EB7D53">
        <w:rPr>
          <w:lang w:eastAsia="ko-KR"/>
        </w:rPr>
        <w:t xml:space="preserve"> CSI-RS, the UE is expected to use Rx beam 2.</w:t>
      </w:r>
      <w:r w:rsidR="00E553C0">
        <w:rPr>
          <w:lang w:eastAsia="ko-KR"/>
        </w:rPr>
        <w:t xml:space="preserve"> The need for the network to explicitly indicate an Rx beam for the UE is not clear. </w:t>
      </w:r>
      <w:r w:rsidR="00757B5F">
        <w:rPr>
          <w:lang w:eastAsia="ko-KR"/>
        </w:rPr>
        <w:t xml:space="preserve"> </w:t>
      </w:r>
    </w:p>
    <w:p w14:paraId="6796A480" w14:textId="3CAD2A3F" w:rsidR="00C6723F" w:rsidRDefault="0069732C" w:rsidP="00C83CD9">
      <w:pPr>
        <w:jc w:val="center"/>
        <w:rPr>
          <w:lang w:eastAsia="ko-KR"/>
        </w:rPr>
      </w:pPr>
      <w:r>
        <w:rPr>
          <w:noProof/>
          <w:lang w:val="en-US" w:eastAsia="zh-CN"/>
        </w:rPr>
        <w:drawing>
          <wp:inline distT="0" distB="0" distL="0" distR="0" wp14:anchorId="5676E955" wp14:editId="3513338B">
            <wp:extent cx="4027095" cy="1675931"/>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9548" cy="1681113"/>
                    </a:xfrm>
                    <a:prstGeom prst="rect">
                      <a:avLst/>
                    </a:prstGeom>
                    <a:noFill/>
                  </pic:spPr>
                </pic:pic>
              </a:graphicData>
            </a:graphic>
          </wp:inline>
        </w:drawing>
      </w:r>
    </w:p>
    <w:p w14:paraId="0C96747D" w14:textId="3BAAEE9B" w:rsidR="00C83CD9" w:rsidRPr="00C83CD9" w:rsidRDefault="00C83CD9" w:rsidP="00C83CD9">
      <w:pPr>
        <w:pStyle w:val="Caption"/>
        <w:jc w:val="center"/>
        <w:rPr>
          <w:b w:val="0"/>
          <w:lang w:eastAsia="ko-KR"/>
        </w:rPr>
      </w:pPr>
      <w:bookmarkStart w:id="5" w:name="_Ref485218696"/>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00BE0BE9">
        <w:t>BPL updates at gNB and at UE</w:t>
      </w:r>
      <w:r w:rsidR="00AE4AE9">
        <w:t xml:space="preserve"> through P1-P3 beam management procedure</w:t>
      </w:r>
    </w:p>
    <w:p w14:paraId="5F43466D" w14:textId="60A7412A" w:rsidR="004000F3" w:rsidRPr="009A14E4" w:rsidRDefault="009A14E4" w:rsidP="00A47880">
      <w:pPr>
        <w:rPr>
          <w:b/>
          <w:lang w:eastAsia="ko-KR"/>
        </w:rPr>
      </w:pPr>
      <w:r w:rsidRPr="009A14E4">
        <w:rPr>
          <w:b/>
          <w:lang w:eastAsia="ko-KR"/>
        </w:rPr>
        <w:t>Observat</w:t>
      </w:r>
      <w:r w:rsidRPr="00E553C0">
        <w:rPr>
          <w:b/>
          <w:lang w:eastAsia="ko-KR"/>
        </w:rPr>
        <w:t xml:space="preserve">ion 2: </w:t>
      </w:r>
      <w:r w:rsidR="00E553C0" w:rsidRPr="00E553C0">
        <w:rPr>
          <w:b/>
          <w:lang w:eastAsia="ko-KR"/>
        </w:rPr>
        <w:t>From the beam indication perspective, it would be sufficient for the DL RS for beam management to be configured as a QCL reference candidate. The need for the network to explicitly indicate an Rx beam for the UE is not clear.</w:t>
      </w:r>
    </w:p>
    <w:p w14:paraId="01E8B4F0" w14:textId="73B5FDF4" w:rsidR="00643097" w:rsidRPr="009A14E4" w:rsidRDefault="00A47880" w:rsidP="009A14E4">
      <w:pPr>
        <w:pStyle w:val="Style1"/>
        <w:rPr>
          <w:lang w:eastAsia="ko-KR"/>
        </w:rPr>
      </w:pPr>
      <w:r w:rsidRPr="00C6723F">
        <w:rPr>
          <w:lang w:eastAsia="ko-KR"/>
        </w:rPr>
        <w:lastRenderedPageBreak/>
        <w:t xml:space="preserve">Further details of </w:t>
      </w:r>
      <w:r w:rsidR="00C6723F" w:rsidRPr="00C6723F">
        <w:rPr>
          <w:lang w:eastAsia="ko-KR"/>
        </w:rPr>
        <w:t>L1</w:t>
      </w:r>
      <w:r w:rsidR="00C6723F">
        <w:rPr>
          <w:lang w:eastAsia="ko-KR"/>
        </w:rPr>
        <w:t>-RSRP reporting can be found in our companion contributions</w:t>
      </w:r>
      <w:r w:rsidR="00C4031B">
        <w:rPr>
          <w:lang w:eastAsia="ko-KR"/>
        </w:rPr>
        <w:t xml:space="preserve"> </w:t>
      </w:r>
      <w:r w:rsidR="00C4031B">
        <w:rPr>
          <w:lang w:eastAsia="ko-KR"/>
        </w:rPr>
        <w:fldChar w:fldCharType="begin"/>
      </w:r>
      <w:r w:rsidR="00C4031B">
        <w:rPr>
          <w:lang w:eastAsia="ko-KR"/>
        </w:rPr>
        <w:instrText xml:space="preserve"> REF _Ref485218390 \n \h </w:instrText>
      </w:r>
      <w:r w:rsidR="003156B5">
        <w:rPr>
          <w:lang w:eastAsia="ko-KR"/>
        </w:rPr>
        <w:instrText xml:space="preserve"> \* MERGEFORMAT </w:instrText>
      </w:r>
      <w:r w:rsidR="00C4031B">
        <w:rPr>
          <w:lang w:eastAsia="ko-KR"/>
        </w:rPr>
      </w:r>
      <w:r w:rsidR="00C4031B">
        <w:rPr>
          <w:lang w:eastAsia="ko-KR"/>
        </w:rPr>
        <w:fldChar w:fldCharType="separate"/>
      </w:r>
      <w:r w:rsidR="00C4031B">
        <w:rPr>
          <w:lang w:eastAsia="ko-KR"/>
        </w:rPr>
        <w:t>[3]</w:t>
      </w:r>
      <w:r w:rsidR="00C4031B">
        <w:rPr>
          <w:lang w:eastAsia="ko-KR"/>
        </w:rPr>
        <w:fldChar w:fldCharType="end"/>
      </w:r>
      <w:r w:rsidR="00C4031B">
        <w:rPr>
          <w:lang w:eastAsia="ko-KR"/>
        </w:rPr>
        <w:t xml:space="preserve"> and</w:t>
      </w:r>
      <w:r w:rsidR="00C6723F">
        <w:rPr>
          <w:lang w:eastAsia="ko-KR"/>
        </w:rPr>
        <w:t xml:space="preserve"> </w:t>
      </w:r>
      <w:r w:rsidR="0002139B">
        <w:rPr>
          <w:lang w:eastAsia="ko-KR"/>
        </w:rPr>
        <w:fldChar w:fldCharType="begin"/>
      </w:r>
      <w:r w:rsidR="0002139B">
        <w:rPr>
          <w:lang w:eastAsia="ko-KR"/>
        </w:rPr>
        <w:instrText xml:space="preserve"> REF _Ref485218329 \n \h </w:instrText>
      </w:r>
      <w:r w:rsidR="003156B5">
        <w:rPr>
          <w:lang w:eastAsia="ko-KR"/>
        </w:rPr>
        <w:instrText xml:space="preserve"> \* MERGEFORMAT </w:instrText>
      </w:r>
      <w:r w:rsidR="0002139B">
        <w:rPr>
          <w:lang w:eastAsia="ko-KR"/>
        </w:rPr>
      </w:r>
      <w:r w:rsidR="0002139B">
        <w:rPr>
          <w:lang w:eastAsia="ko-KR"/>
        </w:rPr>
        <w:fldChar w:fldCharType="separate"/>
      </w:r>
      <w:r w:rsidR="00C4031B">
        <w:rPr>
          <w:lang w:eastAsia="ko-KR"/>
        </w:rPr>
        <w:t>[4]</w:t>
      </w:r>
      <w:r w:rsidR="0002139B">
        <w:rPr>
          <w:lang w:eastAsia="ko-KR"/>
        </w:rPr>
        <w:fldChar w:fldCharType="end"/>
      </w:r>
      <w:r w:rsidR="00C6723F">
        <w:rPr>
          <w:lang w:eastAsia="ko-KR"/>
        </w:rPr>
        <w:t xml:space="preserve">. The benefit of L1-RSRP reporting of SS block is further elaborated </w:t>
      </w:r>
      <w:r w:rsidR="00013DDC">
        <w:rPr>
          <w:lang w:eastAsia="ko-KR"/>
        </w:rPr>
        <w:t xml:space="preserve">in our companion contribution </w:t>
      </w:r>
      <w:r w:rsidR="00013DDC">
        <w:rPr>
          <w:lang w:eastAsia="ko-KR"/>
        </w:rPr>
        <w:fldChar w:fldCharType="begin"/>
      </w:r>
      <w:r w:rsidR="00013DDC">
        <w:rPr>
          <w:lang w:eastAsia="ko-KR"/>
        </w:rPr>
        <w:instrText xml:space="preserve"> REF _Ref485222844 \n \h </w:instrText>
      </w:r>
      <w:r w:rsidR="00013DDC">
        <w:rPr>
          <w:lang w:eastAsia="ko-KR"/>
        </w:rPr>
      </w:r>
      <w:r w:rsidR="00013DDC">
        <w:rPr>
          <w:lang w:eastAsia="ko-KR"/>
        </w:rPr>
        <w:fldChar w:fldCharType="separate"/>
      </w:r>
      <w:r w:rsidR="00013DDC">
        <w:rPr>
          <w:lang w:eastAsia="ko-KR"/>
        </w:rPr>
        <w:t>[5]</w:t>
      </w:r>
      <w:r w:rsidR="00013DDC">
        <w:rPr>
          <w:lang w:eastAsia="ko-KR"/>
        </w:rPr>
        <w:fldChar w:fldCharType="end"/>
      </w:r>
      <w:r w:rsidR="00C6723F">
        <w:rPr>
          <w:lang w:eastAsia="ko-KR"/>
        </w:rPr>
        <w:t>.</w:t>
      </w:r>
    </w:p>
    <w:p w14:paraId="5BEB6709" w14:textId="77777777" w:rsidR="00CD24CD" w:rsidRDefault="00CD24CD" w:rsidP="00CD24CD">
      <w:pPr>
        <w:pStyle w:val="Heading1"/>
        <w:tabs>
          <w:tab w:val="num" w:pos="0"/>
        </w:tabs>
        <w:ind w:left="799" w:hanging="799"/>
      </w:pPr>
      <w:r>
        <w:rPr>
          <w:rFonts w:hint="eastAsia"/>
        </w:rPr>
        <w:t>Conclusions</w:t>
      </w:r>
    </w:p>
    <w:p w14:paraId="062FE073" w14:textId="3B97F494" w:rsidR="007A6487" w:rsidRDefault="007A6487" w:rsidP="007A6487">
      <w:pPr>
        <w:pStyle w:val="Style1"/>
      </w:pPr>
      <w:r>
        <w:t>In this contribution, we discussed DL beam management details. Our observations and the corresponding proposals are given below.</w:t>
      </w:r>
    </w:p>
    <w:p w14:paraId="39C6B7F9" w14:textId="07162429" w:rsidR="00013DDC" w:rsidRDefault="00013DDC" w:rsidP="00013DDC">
      <w:pPr>
        <w:pStyle w:val="Style1"/>
        <w:ind w:firstLine="0"/>
        <w:rPr>
          <w:b/>
        </w:rPr>
      </w:pPr>
      <w:r>
        <w:rPr>
          <w:b/>
        </w:rPr>
        <w:t>Observation 1</w:t>
      </w:r>
      <w:r w:rsidRPr="000F6FE6">
        <w:rPr>
          <w:b/>
        </w:rPr>
        <w:t xml:space="preserve">: </w:t>
      </w:r>
      <w:r>
        <w:rPr>
          <w:b/>
        </w:rPr>
        <w:t>SS block is the QCL reference for receiving</w:t>
      </w:r>
      <w:r w:rsidRPr="000F6FE6">
        <w:rPr>
          <w:b/>
        </w:rPr>
        <w:t xml:space="preserve"> UE-common </w:t>
      </w:r>
      <w:r>
        <w:rPr>
          <w:b/>
        </w:rPr>
        <w:t>(or UE-group common) NR-PDCCH/PDSCH.</w:t>
      </w:r>
    </w:p>
    <w:p w14:paraId="22DB427D" w14:textId="77777777" w:rsidR="001411F4" w:rsidRDefault="001411F4" w:rsidP="001411F4">
      <w:pPr>
        <w:pStyle w:val="Style1"/>
        <w:ind w:firstLine="0"/>
        <w:rPr>
          <w:b/>
        </w:rPr>
      </w:pPr>
      <w:r>
        <w:rPr>
          <w:b/>
        </w:rPr>
        <w:t>Proposal 1</w:t>
      </w:r>
      <w:r w:rsidRPr="000F6FE6">
        <w:rPr>
          <w:b/>
        </w:rPr>
        <w:t xml:space="preserve">: </w:t>
      </w:r>
      <w:r>
        <w:rPr>
          <w:b/>
        </w:rPr>
        <w:t>SS block or CSI-RS can be configured (implicitly/explicitly) as the QCL reference for receiving UE-specific NR-PDCCH (as part of a CORESET configuration) and UE-specific NR-PDSCH</w:t>
      </w:r>
      <w:r w:rsidRPr="000F6FE6">
        <w:rPr>
          <w:b/>
        </w:rPr>
        <w:t>.</w:t>
      </w:r>
      <w:r>
        <w:rPr>
          <w:b/>
        </w:rPr>
        <w:t xml:space="preserve"> </w:t>
      </w:r>
    </w:p>
    <w:p w14:paraId="509282F6" w14:textId="6D2D200E" w:rsidR="001411F4" w:rsidRDefault="001411F4" w:rsidP="001411F4">
      <w:pPr>
        <w:pStyle w:val="Style1"/>
        <w:ind w:firstLine="0"/>
        <w:rPr>
          <w:b/>
        </w:rPr>
      </w:pPr>
      <w:r>
        <w:rPr>
          <w:b/>
        </w:rPr>
        <w:t xml:space="preserve">Proposal 2: </w:t>
      </w:r>
      <w:r w:rsidR="006F711B">
        <w:rPr>
          <w:b/>
        </w:rPr>
        <w:t>L1-</w:t>
      </w:r>
      <w:bookmarkStart w:id="6" w:name="_GoBack"/>
      <w:bookmarkEnd w:id="6"/>
      <w:r>
        <w:rPr>
          <w:b/>
        </w:rPr>
        <w:t>RSRP measurement and reporting based on SS block and/or CSI-RS allows the network to maintain one or more BPLs for NR-PDCCH and PDSCH.</w:t>
      </w:r>
    </w:p>
    <w:p w14:paraId="1FB6F122" w14:textId="77777777" w:rsidR="001411F4" w:rsidRDefault="001411F4" w:rsidP="001411F4">
      <w:pPr>
        <w:pStyle w:val="Style1"/>
        <w:ind w:firstLine="0"/>
        <w:rPr>
          <w:b/>
        </w:rPr>
      </w:pPr>
      <w:r>
        <w:rPr>
          <w:b/>
        </w:rPr>
        <w:t>Proposal 3: For NR-PDCCH/PDSCH, implicit QCL reference to the ‘serving SS block’ and/or the QCL-ed CSI-RS is supported when there is only one BPL configured.</w:t>
      </w:r>
    </w:p>
    <w:p w14:paraId="751CC966" w14:textId="5DD0A698" w:rsidR="001411F4" w:rsidRDefault="001411F4" w:rsidP="00013DDC">
      <w:pPr>
        <w:pStyle w:val="Style1"/>
        <w:ind w:firstLine="0"/>
        <w:rPr>
          <w:b/>
        </w:rPr>
      </w:pPr>
      <w:r>
        <w:rPr>
          <w:b/>
        </w:rPr>
        <w:t>Proposal 4: For explicit QCL reference configuration, the set of SS blocks and CSI-RS resources that can be used as QCL reference are RRC configured by the network with the corresponding identifiers.</w:t>
      </w:r>
    </w:p>
    <w:p w14:paraId="6C673454" w14:textId="4E4F7878" w:rsidR="001411F4" w:rsidRDefault="001411F4" w:rsidP="00013DDC">
      <w:pPr>
        <w:pStyle w:val="Style1"/>
        <w:ind w:firstLine="0"/>
        <w:rPr>
          <w:b/>
          <w:lang w:eastAsia="ko-KR"/>
        </w:rPr>
      </w:pPr>
      <w:r w:rsidRPr="00F81854">
        <w:rPr>
          <w:b/>
          <w:lang w:eastAsia="ko-KR"/>
        </w:rPr>
        <w:t xml:space="preserve">Proposal 5: DCI signalling </w:t>
      </w:r>
      <w:r>
        <w:rPr>
          <w:b/>
          <w:lang w:eastAsia="ko-KR"/>
        </w:rPr>
        <w:t>for QCL indication for NR-</w:t>
      </w:r>
      <w:r w:rsidRPr="00F81854">
        <w:rPr>
          <w:b/>
          <w:lang w:eastAsia="ko-KR"/>
        </w:rPr>
        <w:t>PDCCH is not supported.</w:t>
      </w:r>
    </w:p>
    <w:p w14:paraId="4DA8E2E8" w14:textId="45608498" w:rsidR="00013DDC" w:rsidRDefault="001411F4" w:rsidP="00013DDC">
      <w:pPr>
        <w:pStyle w:val="Style1"/>
        <w:ind w:firstLine="0"/>
        <w:rPr>
          <w:b/>
          <w:lang w:eastAsia="ko-KR"/>
        </w:rPr>
      </w:pPr>
      <w:r w:rsidRPr="00DE2A42">
        <w:rPr>
          <w:b/>
          <w:lang w:eastAsia="ko-KR"/>
        </w:rPr>
        <w:t xml:space="preserve">Proposal 6: If a QCL reference can be activated/deactivated, the DCI signalling for QCL indication for NR-PDSCH is only corresponding to the activated QCL reference. </w:t>
      </w:r>
    </w:p>
    <w:p w14:paraId="6315B63F" w14:textId="6011A8F2" w:rsidR="00013DDC" w:rsidRPr="00013DDC" w:rsidRDefault="00013DDC" w:rsidP="00013DDC">
      <w:pPr>
        <w:rPr>
          <w:b/>
          <w:lang w:eastAsia="ko-KR"/>
        </w:rPr>
      </w:pPr>
      <w:r w:rsidRPr="009A14E4">
        <w:rPr>
          <w:b/>
          <w:lang w:eastAsia="ko-KR"/>
        </w:rPr>
        <w:t>Observat</w:t>
      </w:r>
      <w:r w:rsidRPr="00E553C0">
        <w:rPr>
          <w:b/>
          <w:lang w:eastAsia="ko-KR"/>
        </w:rPr>
        <w:t>ion 2: From the beam indication perspective, it would be sufficient for the DL RS for beam management to be configured as a QCL reference candidate. The need for the network to explicitly indicate an Rx beam for the UE is not clear.</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774A00FB" w14:textId="08371841" w:rsidR="007213C4" w:rsidRDefault="00607671" w:rsidP="00A85135">
      <w:pPr>
        <w:pStyle w:val="ListParagraph"/>
        <w:numPr>
          <w:ilvl w:val="0"/>
          <w:numId w:val="9"/>
        </w:numPr>
        <w:spacing w:after="0" w:line="360" w:lineRule="auto"/>
        <w:ind w:leftChars="0"/>
        <w:jc w:val="both"/>
        <w:rPr>
          <w:rFonts w:eastAsia="MS Mincho"/>
          <w:lang w:eastAsia="ja-JP"/>
        </w:rPr>
      </w:pPr>
      <w:bookmarkStart w:id="7" w:name="_Ref477961836"/>
      <w:bookmarkStart w:id="8" w:name="_Ref485215026"/>
      <w:r>
        <w:rPr>
          <w:rFonts w:eastAsia="MS Mincho"/>
          <w:lang w:eastAsia="ja-JP"/>
        </w:rPr>
        <w:t>R1-17</w:t>
      </w:r>
      <w:bookmarkEnd w:id="7"/>
      <w:r w:rsidR="005360DA">
        <w:rPr>
          <w:rFonts w:eastAsia="MS Mincho"/>
          <w:lang w:eastAsia="ja-JP"/>
        </w:rPr>
        <w:t xml:space="preserve">10666 Beam Management for </w:t>
      </w:r>
      <w:r w:rsidR="00E25875">
        <w:rPr>
          <w:rFonts w:eastAsia="MS Mincho"/>
          <w:lang w:eastAsia="ja-JP"/>
        </w:rPr>
        <w:t>PDCCH, Samsung</w:t>
      </w:r>
      <w:bookmarkEnd w:id="8"/>
    </w:p>
    <w:p w14:paraId="6320B619" w14:textId="4CD221BA" w:rsidR="001D34EB" w:rsidRDefault="005360DA" w:rsidP="00A85135">
      <w:pPr>
        <w:pStyle w:val="ListParagraph"/>
        <w:numPr>
          <w:ilvl w:val="0"/>
          <w:numId w:val="9"/>
        </w:numPr>
        <w:spacing w:after="0" w:line="360" w:lineRule="auto"/>
        <w:ind w:leftChars="0"/>
        <w:jc w:val="both"/>
        <w:rPr>
          <w:rFonts w:eastAsia="MS Mincho"/>
          <w:lang w:eastAsia="ja-JP"/>
        </w:rPr>
      </w:pPr>
      <w:bookmarkStart w:id="9" w:name="_Ref485216710"/>
      <w:r>
        <w:rPr>
          <w:rFonts w:eastAsia="MS Mincho"/>
          <w:lang w:eastAsia="ja-JP"/>
        </w:rPr>
        <w:t>R1-1710659</w:t>
      </w:r>
      <w:r w:rsidR="00DE2A42">
        <w:rPr>
          <w:rFonts w:eastAsia="MS Mincho"/>
          <w:lang w:eastAsia="ja-JP"/>
        </w:rPr>
        <w:t xml:space="preserve"> Discussion on beam indication for PDSCH, Samsung</w:t>
      </w:r>
      <w:bookmarkEnd w:id="9"/>
    </w:p>
    <w:p w14:paraId="61B61DED" w14:textId="199F2A53" w:rsidR="0002139B" w:rsidRDefault="005360DA" w:rsidP="0002139B">
      <w:pPr>
        <w:pStyle w:val="ListParagraph"/>
        <w:numPr>
          <w:ilvl w:val="0"/>
          <w:numId w:val="9"/>
        </w:numPr>
        <w:spacing w:after="0" w:line="360" w:lineRule="auto"/>
        <w:ind w:leftChars="0"/>
        <w:jc w:val="both"/>
        <w:rPr>
          <w:rFonts w:eastAsia="MS Mincho"/>
          <w:lang w:eastAsia="ja-JP"/>
        </w:rPr>
      </w:pPr>
      <w:bookmarkStart w:id="10" w:name="_Ref485218390"/>
      <w:r>
        <w:rPr>
          <w:rFonts w:eastAsia="MS Mincho"/>
          <w:lang w:eastAsia="ja-JP"/>
        </w:rPr>
        <w:t>R1-1710656</w:t>
      </w:r>
      <w:r w:rsidR="0002139B">
        <w:rPr>
          <w:rFonts w:eastAsia="MS Mincho"/>
          <w:lang w:eastAsia="ja-JP"/>
        </w:rPr>
        <w:t xml:space="preserve"> </w:t>
      </w:r>
      <w:r w:rsidR="0002139B" w:rsidRPr="0002139B">
        <w:rPr>
          <w:rFonts w:eastAsia="MS Mincho"/>
          <w:lang w:eastAsia="ja-JP"/>
        </w:rPr>
        <w:t>Measurement and reporting for beam management</w:t>
      </w:r>
      <w:r w:rsidR="0002139B">
        <w:rPr>
          <w:rFonts w:eastAsia="MS Mincho"/>
          <w:lang w:eastAsia="ja-JP"/>
        </w:rPr>
        <w:t>, Samsung</w:t>
      </w:r>
      <w:bookmarkEnd w:id="10"/>
    </w:p>
    <w:p w14:paraId="2959C532" w14:textId="2566F82B" w:rsidR="00EA3F95" w:rsidRDefault="005360DA" w:rsidP="00A85135">
      <w:pPr>
        <w:pStyle w:val="ListParagraph"/>
        <w:numPr>
          <w:ilvl w:val="0"/>
          <w:numId w:val="9"/>
        </w:numPr>
        <w:spacing w:after="0" w:line="360" w:lineRule="auto"/>
        <w:ind w:leftChars="0"/>
        <w:jc w:val="both"/>
        <w:rPr>
          <w:rFonts w:eastAsia="MS Mincho"/>
          <w:lang w:eastAsia="ja-JP"/>
        </w:rPr>
      </w:pPr>
      <w:bookmarkStart w:id="11" w:name="_Ref485218329"/>
      <w:r>
        <w:rPr>
          <w:rFonts w:eastAsia="MS Mincho"/>
          <w:lang w:eastAsia="ja-JP"/>
        </w:rPr>
        <w:t>R1-1710660</w:t>
      </w:r>
      <w:r w:rsidR="00EA3F95">
        <w:rPr>
          <w:rFonts w:eastAsia="MS Mincho"/>
          <w:lang w:eastAsia="ja-JP"/>
        </w:rPr>
        <w:t xml:space="preserve"> L1 RSRP reporting for beam management, Samsung</w:t>
      </w:r>
      <w:bookmarkEnd w:id="11"/>
    </w:p>
    <w:p w14:paraId="5F050BB3" w14:textId="3861A0FB" w:rsidR="00A85135" w:rsidRDefault="005360DA" w:rsidP="00EA3F95">
      <w:pPr>
        <w:pStyle w:val="ListParagraph"/>
        <w:numPr>
          <w:ilvl w:val="0"/>
          <w:numId w:val="9"/>
        </w:numPr>
        <w:spacing w:after="0" w:line="360" w:lineRule="auto"/>
        <w:ind w:leftChars="0"/>
        <w:jc w:val="both"/>
        <w:rPr>
          <w:rFonts w:eastAsia="MS Mincho"/>
          <w:lang w:eastAsia="ja-JP"/>
        </w:rPr>
      </w:pPr>
      <w:bookmarkStart w:id="12" w:name="_Ref485222844"/>
      <w:r>
        <w:rPr>
          <w:rFonts w:eastAsia="MS Mincho"/>
          <w:lang w:eastAsia="ja-JP"/>
        </w:rPr>
        <w:t>R1-1710662</w:t>
      </w:r>
      <w:r w:rsidR="00EA3F95">
        <w:rPr>
          <w:rFonts w:eastAsia="MS Mincho"/>
          <w:lang w:eastAsia="ja-JP"/>
        </w:rPr>
        <w:t xml:space="preserve"> On SS-block based beam management, Samsung</w:t>
      </w:r>
      <w:bookmarkEnd w:id="12"/>
    </w:p>
    <w:p w14:paraId="2A9F37B7" w14:textId="30DC5DFA" w:rsidR="00281BC7" w:rsidRPr="00EA3F95" w:rsidRDefault="005360DA" w:rsidP="00EA3F95">
      <w:pPr>
        <w:pStyle w:val="ListParagraph"/>
        <w:numPr>
          <w:ilvl w:val="0"/>
          <w:numId w:val="9"/>
        </w:numPr>
        <w:spacing w:after="0" w:line="360" w:lineRule="auto"/>
        <w:ind w:leftChars="0"/>
        <w:jc w:val="both"/>
        <w:rPr>
          <w:rFonts w:eastAsia="MS Mincho"/>
          <w:lang w:eastAsia="ja-JP"/>
        </w:rPr>
      </w:pPr>
      <w:bookmarkStart w:id="13" w:name="_Ref485365424"/>
      <w:r>
        <w:rPr>
          <w:rFonts w:eastAsia="MS Mincho"/>
          <w:lang w:eastAsia="ja-JP"/>
        </w:rPr>
        <w:t>R1-1710663</w:t>
      </w:r>
      <w:r w:rsidR="00281BC7">
        <w:rPr>
          <w:rFonts w:eastAsia="MS Mincho"/>
          <w:lang w:eastAsia="ja-JP"/>
        </w:rPr>
        <w:t xml:space="preserve"> DL beam management configuration, Samsung</w:t>
      </w:r>
      <w:bookmarkEnd w:id="13"/>
    </w:p>
    <w:p w14:paraId="3E37F65E" w14:textId="3C3A0231" w:rsidR="00EA3F95" w:rsidRPr="00A85135" w:rsidRDefault="00EA3F95" w:rsidP="00A85135">
      <w:pPr>
        <w:pStyle w:val="ListParagraph"/>
        <w:numPr>
          <w:ilvl w:val="0"/>
          <w:numId w:val="9"/>
        </w:numPr>
        <w:spacing w:after="0" w:line="360" w:lineRule="auto"/>
        <w:ind w:leftChars="0"/>
        <w:jc w:val="both"/>
        <w:rPr>
          <w:rFonts w:eastAsia="MS Mincho"/>
          <w:lang w:eastAsia="ja-JP"/>
        </w:rPr>
      </w:pPr>
      <w:bookmarkStart w:id="14" w:name="_Ref485218221"/>
      <w:r w:rsidRPr="00A841B5">
        <w:t>R1-1708680</w:t>
      </w:r>
      <w:r>
        <w:t xml:space="preserve"> WF on BPL definition, Nokia</w:t>
      </w:r>
      <w:bookmarkEnd w:id="14"/>
    </w:p>
    <w:p w14:paraId="1A90E001" w14:textId="12B24F6E" w:rsidR="00AC414E" w:rsidRDefault="00AC414E" w:rsidP="00C733EA">
      <w:pPr>
        <w:pStyle w:val="2222"/>
        <w:spacing w:after="120" w:line="288" w:lineRule="auto"/>
        <w:ind w:left="357" w:firstLineChars="0" w:firstLine="0"/>
        <w:rPr>
          <w:rFonts w:cs="Times New Roman"/>
          <w:lang w:eastAsia="ko-KR"/>
        </w:rPr>
      </w:pPr>
    </w:p>
    <w:sectPr w:rsidR="00AC414E"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85E3E" w14:textId="77777777" w:rsidR="007D17EF" w:rsidRDefault="007D17EF">
      <w:r>
        <w:separator/>
      </w:r>
    </w:p>
  </w:endnote>
  <w:endnote w:type="continuationSeparator" w:id="0">
    <w:p w14:paraId="569CC9AE" w14:textId="77777777" w:rsidR="007D17EF" w:rsidRDefault="007D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DA2D5" w14:textId="77777777" w:rsidR="007D17EF" w:rsidRDefault="007D17EF">
      <w:r>
        <w:separator/>
      </w:r>
    </w:p>
  </w:footnote>
  <w:footnote w:type="continuationSeparator" w:id="0">
    <w:p w14:paraId="3D6A363A" w14:textId="77777777" w:rsidR="007D17EF" w:rsidRDefault="007D1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9"/>
  </w:num>
  <w:num w:numId="4">
    <w:abstractNumId w:val="28"/>
  </w:num>
  <w:num w:numId="5">
    <w:abstractNumId w:val="3"/>
  </w:num>
  <w:num w:numId="6">
    <w:abstractNumId w:val="22"/>
  </w:num>
  <w:num w:numId="7">
    <w:abstractNumId w:val="17"/>
  </w:num>
  <w:num w:numId="8">
    <w:abstractNumId w:val="26"/>
  </w:num>
  <w:num w:numId="9">
    <w:abstractNumId w:val="25"/>
  </w:num>
  <w:num w:numId="10">
    <w:abstractNumId w:val="10"/>
  </w:num>
  <w:num w:numId="11">
    <w:abstractNumId w:val="15"/>
  </w:num>
  <w:num w:numId="12">
    <w:abstractNumId w:val="23"/>
  </w:num>
  <w:num w:numId="13">
    <w:abstractNumId w:val="9"/>
  </w:num>
  <w:num w:numId="14">
    <w:abstractNumId w:val="1"/>
  </w:num>
  <w:num w:numId="15">
    <w:abstractNumId w:val="20"/>
  </w:num>
  <w:num w:numId="16">
    <w:abstractNumId w:val="18"/>
  </w:num>
  <w:num w:numId="17">
    <w:abstractNumId w:val="8"/>
  </w:num>
  <w:num w:numId="18">
    <w:abstractNumId w:val="27"/>
  </w:num>
  <w:num w:numId="19">
    <w:abstractNumId w:val="4"/>
  </w:num>
  <w:num w:numId="20">
    <w:abstractNumId w:val="16"/>
  </w:num>
  <w:num w:numId="21">
    <w:abstractNumId w:val="7"/>
  </w:num>
  <w:num w:numId="22">
    <w:abstractNumId w:val="5"/>
  </w:num>
  <w:num w:numId="23">
    <w:abstractNumId w:val="0"/>
  </w:num>
  <w:num w:numId="24">
    <w:abstractNumId w:val="12"/>
  </w:num>
  <w:num w:numId="25">
    <w:abstractNumId w:val="30"/>
  </w:num>
  <w:num w:numId="26">
    <w:abstractNumId w:val="11"/>
  </w:num>
  <w:num w:numId="27">
    <w:abstractNumId w:val="2"/>
  </w:num>
  <w:num w:numId="28">
    <w:abstractNumId w:val="13"/>
  </w:num>
  <w:num w:numId="29">
    <w:abstractNumId w:val="21"/>
  </w:num>
  <w:num w:numId="30">
    <w:abstractNumId w:val="24"/>
  </w:num>
  <w:num w:numId="3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4C12"/>
    <w:rsid w:val="00005774"/>
    <w:rsid w:val="00010921"/>
    <w:rsid w:val="00011005"/>
    <w:rsid w:val="00011A53"/>
    <w:rsid w:val="00011FB1"/>
    <w:rsid w:val="00012357"/>
    <w:rsid w:val="00012D3C"/>
    <w:rsid w:val="00013DDC"/>
    <w:rsid w:val="0001401B"/>
    <w:rsid w:val="000147F7"/>
    <w:rsid w:val="00014A78"/>
    <w:rsid w:val="000167DF"/>
    <w:rsid w:val="0001695D"/>
    <w:rsid w:val="00016A7B"/>
    <w:rsid w:val="000172F4"/>
    <w:rsid w:val="000210FF"/>
    <w:rsid w:val="0002139B"/>
    <w:rsid w:val="00021CA4"/>
    <w:rsid w:val="00022194"/>
    <w:rsid w:val="00022677"/>
    <w:rsid w:val="00022C4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905"/>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0CD7"/>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29E"/>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1F4"/>
    <w:rsid w:val="0014141E"/>
    <w:rsid w:val="0014343A"/>
    <w:rsid w:val="00143869"/>
    <w:rsid w:val="00146DE6"/>
    <w:rsid w:val="00146EEE"/>
    <w:rsid w:val="001471E4"/>
    <w:rsid w:val="00147305"/>
    <w:rsid w:val="001503B7"/>
    <w:rsid w:val="0015445A"/>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3B4C"/>
    <w:rsid w:val="0019499E"/>
    <w:rsid w:val="001954A9"/>
    <w:rsid w:val="00196998"/>
    <w:rsid w:val="00197BA4"/>
    <w:rsid w:val="001A2884"/>
    <w:rsid w:val="001A3681"/>
    <w:rsid w:val="001A3AFD"/>
    <w:rsid w:val="001A3EC6"/>
    <w:rsid w:val="001A53DF"/>
    <w:rsid w:val="001A56C7"/>
    <w:rsid w:val="001A5E65"/>
    <w:rsid w:val="001B010D"/>
    <w:rsid w:val="001B0196"/>
    <w:rsid w:val="001B1FAD"/>
    <w:rsid w:val="001B2E6A"/>
    <w:rsid w:val="001B3004"/>
    <w:rsid w:val="001B4387"/>
    <w:rsid w:val="001B5A6F"/>
    <w:rsid w:val="001B5CFD"/>
    <w:rsid w:val="001B5D33"/>
    <w:rsid w:val="001B620C"/>
    <w:rsid w:val="001B7896"/>
    <w:rsid w:val="001B7B86"/>
    <w:rsid w:val="001B7FB7"/>
    <w:rsid w:val="001C06AA"/>
    <w:rsid w:val="001C3694"/>
    <w:rsid w:val="001C46E4"/>
    <w:rsid w:val="001C64AB"/>
    <w:rsid w:val="001C6890"/>
    <w:rsid w:val="001C76C5"/>
    <w:rsid w:val="001C7CCA"/>
    <w:rsid w:val="001D04EE"/>
    <w:rsid w:val="001D07C2"/>
    <w:rsid w:val="001D0D60"/>
    <w:rsid w:val="001D0FD7"/>
    <w:rsid w:val="001D1B10"/>
    <w:rsid w:val="001D2861"/>
    <w:rsid w:val="001D34EB"/>
    <w:rsid w:val="001D4091"/>
    <w:rsid w:val="001D49D1"/>
    <w:rsid w:val="001D4F6C"/>
    <w:rsid w:val="001D524E"/>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74C"/>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17DAB"/>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29"/>
    <w:rsid w:val="0025287D"/>
    <w:rsid w:val="00252A55"/>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BC7"/>
    <w:rsid w:val="002823A4"/>
    <w:rsid w:val="00282DB7"/>
    <w:rsid w:val="00283135"/>
    <w:rsid w:val="002831F2"/>
    <w:rsid w:val="00284524"/>
    <w:rsid w:val="002852BE"/>
    <w:rsid w:val="00287951"/>
    <w:rsid w:val="00287E78"/>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D070A"/>
    <w:rsid w:val="002D225B"/>
    <w:rsid w:val="002D233C"/>
    <w:rsid w:val="002D2EF7"/>
    <w:rsid w:val="002D3A4A"/>
    <w:rsid w:val="002D488B"/>
    <w:rsid w:val="002D53AF"/>
    <w:rsid w:val="002D5B2B"/>
    <w:rsid w:val="002D6FEE"/>
    <w:rsid w:val="002E11B9"/>
    <w:rsid w:val="002E2CB4"/>
    <w:rsid w:val="002E315D"/>
    <w:rsid w:val="002E333E"/>
    <w:rsid w:val="002E5EC2"/>
    <w:rsid w:val="002E60AB"/>
    <w:rsid w:val="002F00C5"/>
    <w:rsid w:val="002F28D8"/>
    <w:rsid w:val="002F2D1F"/>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2857"/>
    <w:rsid w:val="00313316"/>
    <w:rsid w:val="00313945"/>
    <w:rsid w:val="00313DC6"/>
    <w:rsid w:val="00314E63"/>
    <w:rsid w:val="003155DC"/>
    <w:rsid w:val="003156B5"/>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730C"/>
    <w:rsid w:val="003B0AC6"/>
    <w:rsid w:val="003B33FB"/>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00F3"/>
    <w:rsid w:val="00401F93"/>
    <w:rsid w:val="0040329D"/>
    <w:rsid w:val="00403956"/>
    <w:rsid w:val="00404B4A"/>
    <w:rsid w:val="0040633D"/>
    <w:rsid w:val="004107E6"/>
    <w:rsid w:val="00420853"/>
    <w:rsid w:val="00421BBF"/>
    <w:rsid w:val="00421E04"/>
    <w:rsid w:val="004239D8"/>
    <w:rsid w:val="004240D5"/>
    <w:rsid w:val="00424A72"/>
    <w:rsid w:val="00424A97"/>
    <w:rsid w:val="00424D6E"/>
    <w:rsid w:val="004254DF"/>
    <w:rsid w:val="00427387"/>
    <w:rsid w:val="00427C83"/>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3D3A"/>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4F60A5"/>
    <w:rsid w:val="004F6845"/>
    <w:rsid w:val="00501E42"/>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0D78"/>
    <w:rsid w:val="0052348B"/>
    <w:rsid w:val="00526A64"/>
    <w:rsid w:val="00526BC4"/>
    <w:rsid w:val="00526FD1"/>
    <w:rsid w:val="00527339"/>
    <w:rsid w:val="00527939"/>
    <w:rsid w:val="00527FA8"/>
    <w:rsid w:val="0053211B"/>
    <w:rsid w:val="00533D37"/>
    <w:rsid w:val="00534DF6"/>
    <w:rsid w:val="00535E8C"/>
    <w:rsid w:val="00535EE7"/>
    <w:rsid w:val="005360DA"/>
    <w:rsid w:val="00536EC3"/>
    <w:rsid w:val="00537F42"/>
    <w:rsid w:val="00540BAC"/>
    <w:rsid w:val="00541207"/>
    <w:rsid w:val="005434F9"/>
    <w:rsid w:val="0054367D"/>
    <w:rsid w:val="005436CD"/>
    <w:rsid w:val="00544654"/>
    <w:rsid w:val="00544D62"/>
    <w:rsid w:val="00545B0A"/>
    <w:rsid w:val="0054785D"/>
    <w:rsid w:val="0055027D"/>
    <w:rsid w:val="0055167A"/>
    <w:rsid w:val="00553AF5"/>
    <w:rsid w:val="00555F2F"/>
    <w:rsid w:val="00556DAA"/>
    <w:rsid w:val="00560063"/>
    <w:rsid w:val="00561E3D"/>
    <w:rsid w:val="00567B39"/>
    <w:rsid w:val="00570100"/>
    <w:rsid w:val="00573586"/>
    <w:rsid w:val="005742D7"/>
    <w:rsid w:val="005744E6"/>
    <w:rsid w:val="00574BBA"/>
    <w:rsid w:val="00574D57"/>
    <w:rsid w:val="00574E7C"/>
    <w:rsid w:val="005750FD"/>
    <w:rsid w:val="00575276"/>
    <w:rsid w:val="00576688"/>
    <w:rsid w:val="00576ADB"/>
    <w:rsid w:val="00576F91"/>
    <w:rsid w:val="00577052"/>
    <w:rsid w:val="00577108"/>
    <w:rsid w:val="005808CD"/>
    <w:rsid w:val="00581B33"/>
    <w:rsid w:val="00581EBB"/>
    <w:rsid w:val="00581F09"/>
    <w:rsid w:val="00582473"/>
    <w:rsid w:val="0058443F"/>
    <w:rsid w:val="0058463D"/>
    <w:rsid w:val="005849C2"/>
    <w:rsid w:val="005858F0"/>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3ED9"/>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7473"/>
    <w:rsid w:val="005D7BC7"/>
    <w:rsid w:val="005E2034"/>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3D78"/>
    <w:rsid w:val="0063477E"/>
    <w:rsid w:val="00640F56"/>
    <w:rsid w:val="00641D77"/>
    <w:rsid w:val="00642A83"/>
    <w:rsid w:val="00643083"/>
    <w:rsid w:val="00643097"/>
    <w:rsid w:val="006443F6"/>
    <w:rsid w:val="006458B7"/>
    <w:rsid w:val="00645E63"/>
    <w:rsid w:val="00647880"/>
    <w:rsid w:val="0065003C"/>
    <w:rsid w:val="00650595"/>
    <w:rsid w:val="006515BC"/>
    <w:rsid w:val="00651A61"/>
    <w:rsid w:val="0065247C"/>
    <w:rsid w:val="006525D2"/>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32C"/>
    <w:rsid w:val="00697A04"/>
    <w:rsid w:val="006A0925"/>
    <w:rsid w:val="006A25EB"/>
    <w:rsid w:val="006A2D38"/>
    <w:rsid w:val="006A4C3A"/>
    <w:rsid w:val="006A6FAD"/>
    <w:rsid w:val="006B1826"/>
    <w:rsid w:val="006B2332"/>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D03"/>
    <w:rsid w:val="006D6D52"/>
    <w:rsid w:val="006D6E7F"/>
    <w:rsid w:val="006D6F16"/>
    <w:rsid w:val="006D716D"/>
    <w:rsid w:val="006D75D9"/>
    <w:rsid w:val="006D7619"/>
    <w:rsid w:val="006E0232"/>
    <w:rsid w:val="006E02D0"/>
    <w:rsid w:val="006E11A2"/>
    <w:rsid w:val="006E1EC6"/>
    <w:rsid w:val="006E270A"/>
    <w:rsid w:val="006E5428"/>
    <w:rsid w:val="006E6697"/>
    <w:rsid w:val="006E6A76"/>
    <w:rsid w:val="006F199F"/>
    <w:rsid w:val="006F1D35"/>
    <w:rsid w:val="006F204A"/>
    <w:rsid w:val="006F3944"/>
    <w:rsid w:val="006F4BD2"/>
    <w:rsid w:val="006F4D44"/>
    <w:rsid w:val="006F4D8E"/>
    <w:rsid w:val="006F6EF9"/>
    <w:rsid w:val="006F711B"/>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07BF"/>
    <w:rsid w:val="00732EEB"/>
    <w:rsid w:val="00735463"/>
    <w:rsid w:val="00736A60"/>
    <w:rsid w:val="00737F4D"/>
    <w:rsid w:val="00741392"/>
    <w:rsid w:val="00741A81"/>
    <w:rsid w:val="00741B82"/>
    <w:rsid w:val="00744138"/>
    <w:rsid w:val="00746D48"/>
    <w:rsid w:val="00750E72"/>
    <w:rsid w:val="0075378D"/>
    <w:rsid w:val="00753A41"/>
    <w:rsid w:val="00755AD7"/>
    <w:rsid w:val="00756864"/>
    <w:rsid w:val="00757B5F"/>
    <w:rsid w:val="00760CE8"/>
    <w:rsid w:val="00761697"/>
    <w:rsid w:val="007625EC"/>
    <w:rsid w:val="007658A6"/>
    <w:rsid w:val="00765BAE"/>
    <w:rsid w:val="00766BA8"/>
    <w:rsid w:val="00766C80"/>
    <w:rsid w:val="00771A1E"/>
    <w:rsid w:val="00771F90"/>
    <w:rsid w:val="0077264B"/>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3D31"/>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3ED7"/>
    <w:rsid w:val="007B49B4"/>
    <w:rsid w:val="007B6146"/>
    <w:rsid w:val="007C1FEB"/>
    <w:rsid w:val="007C25EB"/>
    <w:rsid w:val="007C28D0"/>
    <w:rsid w:val="007C5842"/>
    <w:rsid w:val="007C6231"/>
    <w:rsid w:val="007C68BA"/>
    <w:rsid w:val="007C7CD0"/>
    <w:rsid w:val="007D113F"/>
    <w:rsid w:val="007D17EF"/>
    <w:rsid w:val="007D3572"/>
    <w:rsid w:val="007D3B92"/>
    <w:rsid w:val="007D3E81"/>
    <w:rsid w:val="007D4FD7"/>
    <w:rsid w:val="007D7A62"/>
    <w:rsid w:val="007E0659"/>
    <w:rsid w:val="007E151A"/>
    <w:rsid w:val="007E1D9C"/>
    <w:rsid w:val="007E42C7"/>
    <w:rsid w:val="007E57D0"/>
    <w:rsid w:val="007E63F4"/>
    <w:rsid w:val="007E721D"/>
    <w:rsid w:val="007E7FB0"/>
    <w:rsid w:val="007F0D2B"/>
    <w:rsid w:val="007F359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17BB1"/>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2327"/>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0C4"/>
    <w:rsid w:val="00891393"/>
    <w:rsid w:val="00891EC2"/>
    <w:rsid w:val="00892EF8"/>
    <w:rsid w:val="00893197"/>
    <w:rsid w:val="00893917"/>
    <w:rsid w:val="00895684"/>
    <w:rsid w:val="00895A0D"/>
    <w:rsid w:val="00895E5D"/>
    <w:rsid w:val="008A026C"/>
    <w:rsid w:val="008A0FFB"/>
    <w:rsid w:val="008A3312"/>
    <w:rsid w:val="008A3EE6"/>
    <w:rsid w:val="008A4260"/>
    <w:rsid w:val="008A4B3A"/>
    <w:rsid w:val="008A4D2F"/>
    <w:rsid w:val="008A4E83"/>
    <w:rsid w:val="008A60FF"/>
    <w:rsid w:val="008A6641"/>
    <w:rsid w:val="008A7736"/>
    <w:rsid w:val="008B2121"/>
    <w:rsid w:val="008B2920"/>
    <w:rsid w:val="008B494B"/>
    <w:rsid w:val="008B5987"/>
    <w:rsid w:val="008B6030"/>
    <w:rsid w:val="008B668C"/>
    <w:rsid w:val="008B7A5C"/>
    <w:rsid w:val="008C2FD9"/>
    <w:rsid w:val="008C3FDD"/>
    <w:rsid w:val="008C5D63"/>
    <w:rsid w:val="008C7A40"/>
    <w:rsid w:val="008D27B4"/>
    <w:rsid w:val="008D324A"/>
    <w:rsid w:val="008D4209"/>
    <w:rsid w:val="008D5A50"/>
    <w:rsid w:val="008D5B3E"/>
    <w:rsid w:val="008D5BAB"/>
    <w:rsid w:val="008D7D8C"/>
    <w:rsid w:val="008E0543"/>
    <w:rsid w:val="008E0BE4"/>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23F0"/>
    <w:rsid w:val="0091365E"/>
    <w:rsid w:val="00913944"/>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7D6D"/>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14E4"/>
    <w:rsid w:val="009A20C6"/>
    <w:rsid w:val="009A2B5A"/>
    <w:rsid w:val="009A4121"/>
    <w:rsid w:val="009A546A"/>
    <w:rsid w:val="009A5FD2"/>
    <w:rsid w:val="009B0AB2"/>
    <w:rsid w:val="009B245D"/>
    <w:rsid w:val="009B40B4"/>
    <w:rsid w:val="009B4837"/>
    <w:rsid w:val="009B57B8"/>
    <w:rsid w:val="009B78C4"/>
    <w:rsid w:val="009B7F8D"/>
    <w:rsid w:val="009C09A4"/>
    <w:rsid w:val="009C179A"/>
    <w:rsid w:val="009C2DD9"/>
    <w:rsid w:val="009C368E"/>
    <w:rsid w:val="009C3A0D"/>
    <w:rsid w:val="009C3FE1"/>
    <w:rsid w:val="009C43E2"/>
    <w:rsid w:val="009C614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7140"/>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6C2"/>
    <w:rsid w:val="00A30EB8"/>
    <w:rsid w:val="00A31043"/>
    <w:rsid w:val="00A31E66"/>
    <w:rsid w:val="00A328DA"/>
    <w:rsid w:val="00A33E4A"/>
    <w:rsid w:val="00A368E9"/>
    <w:rsid w:val="00A371FA"/>
    <w:rsid w:val="00A37A66"/>
    <w:rsid w:val="00A402EC"/>
    <w:rsid w:val="00A4034A"/>
    <w:rsid w:val="00A40AD6"/>
    <w:rsid w:val="00A41899"/>
    <w:rsid w:val="00A42DD2"/>
    <w:rsid w:val="00A4626E"/>
    <w:rsid w:val="00A4697B"/>
    <w:rsid w:val="00A471C4"/>
    <w:rsid w:val="00A47880"/>
    <w:rsid w:val="00A47A1D"/>
    <w:rsid w:val="00A47A54"/>
    <w:rsid w:val="00A50C75"/>
    <w:rsid w:val="00A51FC5"/>
    <w:rsid w:val="00A5697C"/>
    <w:rsid w:val="00A60EBA"/>
    <w:rsid w:val="00A61895"/>
    <w:rsid w:val="00A6241F"/>
    <w:rsid w:val="00A62ADF"/>
    <w:rsid w:val="00A62E71"/>
    <w:rsid w:val="00A633D7"/>
    <w:rsid w:val="00A63D53"/>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1F6"/>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4AE9"/>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6A8C"/>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7F16"/>
    <w:rsid w:val="00B51895"/>
    <w:rsid w:val="00B52B53"/>
    <w:rsid w:val="00B53B8E"/>
    <w:rsid w:val="00B53D62"/>
    <w:rsid w:val="00B5581D"/>
    <w:rsid w:val="00B608DB"/>
    <w:rsid w:val="00B60F97"/>
    <w:rsid w:val="00B60FD5"/>
    <w:rsid w:val="00B61D56"/>
    <w:rsid w:val="00B6315E"/>
    <w:rsid w:val="00B641E5"/>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1BE2"/>
    <w:rsid w:val="00B836ED"/>
    <w:rsid w:val="00B848C9"/>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4ABF"/>
    <w:rsid w:val="00BC5ECA"/>
    <w:rsid w:val="00BC6B61"/>
    <w:rsid w:val="00BD123B"/>
    <w:rsid w:val="00BD215F"/>
    <w:rsid w:val="00BD30BD"/>
    <w:rsid w:val="00BD33B2"/>
    <w:rsid w:val="00BD4050"/>
    <w:rsid w:val="00BD433E"/>
    <w:rsid w:val="00BD4462"/>
    <w:rsid w:val="00BD72D1"/>
    <w:rsid w:val="00BD7DAB"/>
    <w:rsid w:val="00BE0BE9"/>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17437"/>
    <w:rsid w:val="00C20C78"/>
    <w:rsid w:val="00C215D0"/>
    <w:rsid w:val="00C232F1"/>
    <w:rsid w:val="00C23C48"/>
    <w:rsid w:val="00C25BE3"/>
    <w:rsid w:val="00C2617F"/>
    <w:rsid w:val="00C27490"/>
    <w:rsid w:val="00C311DA"/>
    <w:rsid w:val="00C32284"/>
    <w:rsid w:val="00C328DB"/>
    <w:rsid w:val="00C32AC2"/>
    <w:rsid w:val="00C33BE7"/>
    <w:rsid w:val="00C34682"/>
    <w:rsid w:val="00C34AE5"/>
    <w:rsid w:val="00C359D2"/>
    <w:rsid w:val="00C37ED2"/>
    <w:rsid w:val="00C4031B"/>
    <w:rsid w:val="00C42ED0"/>
    <w:rsid w:val="00C43D0A"/>
    <w:rsid w:val="00C44D97"/>
    <w:rsid w:val="00C44FE3"/>
    <w:rsid w:val="00C470BA"/>
    <w:rsid w:val="00C50936"/>
    <w:rsid w:val="00C50CC2"/>
    <w:rsid w:val="00C511E0"/>
    <w:rsid w:val="00C516E6"/>
    <w:rsid w:val="00C52045"/>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23F"/>
    <w:rsid w:val="00C6771C"/>
    <w:rsid w:val="00C70F99"/>
    <w:rsid w:val="00C712FF"/>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3CD9"/>
    <w:rsid w:val="00C852E7"/>
    <w:rsid w:val="00C8628A"/>
    <w:rsid w:val="00C865CD"/>
    <w:rsid w:val="00C865E0"/>
    <w:rsid w:val="00C877FD"/>
    <w:rsid w:val="00C87E29"/>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A74"/>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293"/>
    <w:rsid w:val="00D11A6D"/>
    <w:rsid w:val="00D132E0"/>
    <w:rsid w:val="00D133AD"/>
    <w:rsid w:val="00D147F5"/>
    <w:rsid w:val="00D14C5D"/>
    <w:rsid w:val="00D154BD"/>
    <w:rsid w:val="00D15929"/>
    <w:rsid w:val="00D15A2A"/>
    <w:rsid w:val="00D16868"/>
    <w:rsid w:val="00D169AC"/>
    <w:rsid w:val="00D17B84"/>
    <w:rsid w:val="00D21563"/>
    <w:rsid w:val="00D2719E"/>
    <w:rsid w:val="00D27B3D"/>
    <w:rsid w:val="00D3051E"/>
    <w:rsid w:val="00D32097"/>
    <w:rsid w:val="00D33009"/>
    <w:rsid w:val="00D33ACD"/>
    <w:rsid w:val="00D348E4"/>
    <w:rsid w:val="00D34C4C"/>
    <w:rsid w:val="00D40DAB"/>
    <w:rsid w:val="00D4171F"/>
    <w:rsid w:val="00D41C47"/>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118"/>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1C90"/>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241F"/>
    <w:rsid w:val="00DE2A42"/>
    <w:rsid w:val="00DE31AD"/>
    <w:rsid w:val="00DE4CAC"/>
    <w:rsid w:val="00DE6006"/>
    <w:rsid w:val="00DE6BCA"/>
    <w:rsid w:val="00DE714A"/>
    <w:rsid w:val="00DF1019"/>
    <w:rsid w:val="00DF198C"/>
    <w:rsid w:val="00DF232F"/>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5FB"/>
    <w:rsid w:val="00E20EC0"/>
    <w:rsid w:val="00E21452"/>
    <w:rsid w:val="00E216E5"/>
    <w:rsid w:val="00E237D1"/>
    <w:rsid w:val="00E2410B"/>
    <w:rsid w:val="00E244B4"/>
    <w:rsid w:val="00E2520C"/>
    <w:rsid w:val="00E254F3"/>
    <w:rsid w:val="00E25875"/>
    <w:rsid w:val="00E2793E"/>
    <w:rsid w:val="00E32EDF"/>
    <w:rsid w:val="00E3384C"/>
    <w:rsid w:val="00E34E86"/>
    <w:rsid w:val="00E35478"/>
    <w:rsid w:val="00E359CA"/>
    <w:rsid w:val="00E3673D"/>
    <w:rsid w:val="00E40768"/>
    <w:rsid w:val="00E40FD7"/>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3C0"/>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6F8A"/>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3F95"/>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D53"/>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FE5"/>
    <w:rsid w:val="00EE12C1"/>
    <w:rsid w:val="00EE2AC1"/>
    <w:rsid w:val="00EE442B"/>
    <w:rsid w:val="00EE4827"/>
    <w:rsid w:val="00EE725A"/>
    <w:rsid w:val="00EE7ACE"/>
    <w:rsid w:val="00EF0DBD"/>
    <w:rsid w:val="00EF12AC"/>
    <w:rsid w:val="00EF15DD"/>
    <w:rsid w:val="00EF21E2"/>
    <w:rsid w:val="00EF2C8E"/>
    <w:rsid w:val="00EF2D06"/>
    <w:rsid w:val="00EF2E76"/>
    <w:rsid w:val="00EF5990"/>
    <w:rsid w:val="00EF692D"/>
    <w:rsid w:val="00EF6A09"/>
    <w:rsid w:val="00EF72A1"/>
    <w:rsid w:val="00EF738B"/>
    <w:rsid w:val="00EF7ABD"/>
    <w:rsid w:val="00F001CA"/>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1D79"/>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2F6"/>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854"/>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3CCC"/>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AE8"/>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B2DCF-3089-45A0-ACE3-72D43B2F7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1723</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9</cp:revision>
  <cp:lastPrinted>2012-03-15T10:36:00Z</cp:lastPrinted>
  <dcterms:created xsi:type="dcterms:W3CDTF">2017-06-16T13:15:00Z</dcterms:created>
  <dcterms:modified xsi:type="dcterms:W3CDTF">2017-06-16T14:02:00Z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B4736284F7ABDF2F00EE30C250C935647CBC14677A188FFF409BBECAF1636069</vt:lpwstr>
  </property>
  <property fmtid="{D5CDD505-2E9C-101B-9397-08002B2CF9AE}" pid="2" name="NSCPROP">
    <vt:lpwstr>NSCCustomProperty</vt:lpwstr>
  </property>
</Properties>
</file>