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ABE" w:rsidRPr="00BF0ABE" w:rsidRDefault="00BF0ABE" w:rsidP="00BF0ABE">
      <w:pPr>
        <w:pStyle w:val="a5"/>
        <w:tabs>
          <w:tab w:val="left" w:pos="1800"/>
        </w:tabs>
        <w:ind w:left="1800" w:hanging="1800"/>
        <w:rPr>
          <w:bCs/>
          <w:sz w:val="24"/>
          <w:szCs w:val="24"/>
        </w:rPr>
      </w:pPr>
      <w:r w:rsidRPr="00BF0ABE">
        <w:rPr>
          <w:bCs/>
          <w:sz w:val="24"/>
          <w:szCs w:val="24"/>
        </w:rPr>
        <w:t xml:space="preserve">3GPP TSG RAN WG1 NR Ad Hoc#2                                 </w:t>
      </w:r>
      <w:r>
        <w:rPr>
          <w:bCs/>
          <w:sz w:val="24"/>
          <w:szCs w:val="24"/>
        </w:rPr>
        <w:t xml:space="preserve">                         </w:t>
      </w:r>
      <w:r>
        <w:rPr>
          <w:bCs/>
          <w:sz w:val="24"/>
          <w:szCs w:val="24"/>
        </w:rPr>
        <w:tab/>
        <w:t xml:space="preserve">     </w:t>
      </w:r>
      <w:r w:rsidRPr="00BF0ABE">
        <w:rPr>
          <w:bCs/>
          <w:sz w:val="24"/>
          <w:szCs w:val="24"/>
        </w:rPr>
        <w:t>R1-</w:t>
      </w:r>
      <w:r>
        <w:rPr>
          <w:bCs/>
          <w:sz w:val="24"/>
          <w:szCs w:val="24"/>
        </w:rPr>
        <w:t>1</w:t>
      </w:r>
      <w:r w:rsidR="00DA4ED5">
        <w:rPr>
          <w:bCs/>
          <w:sz w:val="24"/>
          <w:szCs w:val="24"/>
        </w:rPr>
        <w:t>710023</w:t>
      </w:r>
    </w:p>
    <w:p w:rsidR="00BF0ABE" w:rsidRDefault="00BF0ABE" w:rsidP="00BF0ABE">
      <w:pPr>
        <w:pStyle w:val="a5"/>
        <w:tabs>
          <w:tab w:val="left" w:pos="1800"/>
        </w:tabs>
        <w:ind w:left="1800" w:hanging="1800"/>
        <w:rPr>
          <w:bCs/>
          <w:sz w:val="24"/>
          <w:szCs w:val="24"/>
        </w:rPr>
      </w:pPr>
      <w:r w:rsidRPr="00BF0ABE">
        <w:rPr>
          <w:bCs/>
          <w:sz w:val="24"/>
          <w:szCs w:val="24"/>
        </w:rPr>
        <w:t>Qingdao, China 27th  – 30th  June 2017</w:t>
      </w:r>
    </w:p>
    <w:p w:rsidR="00466EAB" w:rsidRDefault="00466EAB" w:rsidP="00DF1CB7">
      <w:pPr>
        <w:tabs>
          <w:tab w:val="right" w:pos="9630"/>
        </w:tabs>
        <w:spacing w:after="0"/>
        <w:rPr>
          <w:rFonts w:ascii="Arial" w:hAnsi="Arial" w:cs="Arial"/>
          <w:b/>
          <w:sz w:val="24"/>
        </w:rPr>
      </w:pP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BF0ABE">
        <w:rPr>
          <w:rFonts w:ascii="Arial" w:hAnsi="Arial"/>
          <w:sz w:val="24"/>
        </w:rPr>
        <w:tab/>
        <w:t>5</w:t>
      </w:r>
      <w:r w:rsidR="007E01A9">
        <w:rPr>
          <w:rFonts w:ascii="Arial" w:hAnsi="Arial"/>
          <w:sz w:val="24"/>
        </w:rPr>
        <w:t>.1.</w:t>
      </w:r>
      <w:r w:rsidR="00080061">
        <w:rPr>
          <w:rFonts w:ascii="Arial" w:hAnsi="Arial"/>
          <w:sz w:val="24"/>
        </w:rPr>
        <w:t>1.</w:t>
      </w:r>
      <w:r w:rsidR="001F1D66">
        <w:rPr>
          <w:rFonts w:ascii="Arial" w:hAnsi="Arial"/>
          <w:sz w:val="24"/>
        </w:rPr>
        <w:t>1.2</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BF0ABE" w:rsidRPr="00BF0ABE">
        <w:rPr>
          <w:rFonts w:ascii="Arial" w:hAnsi="Arial"/>
          <w:sz w:val="22"/>
        </w:rPr>
        <w:t>SS Burst  Set Composition and SS Block Configuration</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5F46DA" w:rsidRDefault="00454947" w:rsidP="00693C74">
      <w:pPr>
        <w:pStyle w:val="1"/>
      </w:pPr>
      <w:r w:rsidRPr="00061DA0">
        <w:t>Introduction</w:t>
      </w:r>
    </w:p>
    <w:p w:rsidR="00DB6561" w:rsidRPr="00DB6561" w:rsidRDefault="00DB6561" w:rsidP="00DB6561">
      <w:pPr>
        <w:spacing w:beforeLines="50"/>
        <w:jc w:val="both"/>
        <w:rPr>
          <w:rFonts w:eastAsia="宋体"/>
          <w:lang w:eastAsia="zh-CN"/>
        </w:rPr>
      </w:pPr>
      <w:r>
        <w:rPr>
          <w:rFonts w:eastAsia="宋体"/>
          <w:lang w:eastAsia="zh-CN"/>
        </w:rPr>
        <w:t>In RAN1#89, the configurations of SS-blocks and SS-burst set were agreed as follows,</w:t>
      </w:r>
      <w:r w:rsidRPr="00940679">
        <w:rPr>
          <w:rFonts w:eastAsia="宋体"/>
          <w:lang w:eastAsia="zh-CN"/>
        </w:rPr>
        <w:t xml:space="preserve">  </w:t>
      </w:r>
    </w:p>
    <w:p w:rsidR="00BA1F9D" w:rsidRPr="00A71A50" w:rsidRDefault="00BA1F9D" w:rsidP="00BA1F9D">
      <w:pPr>
        <w:outlineLvl w:val="0"/>
        <w:rPr>
          <w:rFonts w:hint="eastAsia"/>
          <w:b/>
          <w:u w:val="single"/>
        </w:rPr>
      </w:pPr>
      <w:r w:rsidRPr="00B5442B">
        <w:rPr>
          <w:rFonts w:hint="eastAsia"/>
          <w:b/>
          <w:highlight w:val="green"/>
          <w:u w:val="single"/>
        </w:rPr>
        <w:t>Agreements</w:t>
      </w:r>
      <w:r w:rsidRPr="00B5442B">
        <w:rPr>
          <w:b/>
          <w:highlight w:val="green"/>
          <w:u w:val="single"/>
        </w:rPr>
        <w:t>:</w:t>
      </w:r>
      <w:r w:rsidRPr="00A71A50">
        <w:rPr>
          <w:b/>
          <w:u w:val="single"/>
        </w:rPr>
        <w:t xml:space="preserve"> </w:t>
      </w:r>
    </w:p>
    <w:p w:rsidR="00BA1F9D" w:rsidRPr="00A71A50" w:rsidRDefault="00BA1F9D" w:rsidP="00BA1F9D">
      <w:pPr>
        <w:numPr>
          <w:ilvl w:val="0"/>
          <w:numId w:val="20"/>
        </w:numPr>
        <w:spacing w:after="0"/>
        <w:rPr>
          <w:lang w:val="en-US"/>
        </w:rPr>
      </w:pPr>
      <w:r w:rsidRPr="00A71A50">
        <w:rPr>
          <w:lang w:val="en-US"/>
        </w:rPr>
        <w:t>For SS block composition, the following should be supported</w:t>
      </w:r>
    </w:p>
    <w:p w:rsidR="00BA1F9D" w:rsidRDefault="00BA1F9D" w:rsidP="00BA1F9D">
      <w:pPr>
        <w:numPr>
          <w:ilvl w:val="1"/>
          <w:numId w:val="20"/>
        </w:numPr>
        <w:spacing w:after="0"/>
        <w:rPr>
          <w:rFonts w:hint="eastAsia"/>
          <w:lang w:val="en-US"/>
        </w:rPr>
      </w:pPr>
      <w:r w:rsidRPr="00A71A50">
        <w:rPr>
          <w:lang w:val="en-US"/>
        </w:rPr>
        <w:t>Confirm the working assumption that NR-PSS, NR-SSS and NR-PBCH are present in every SS block</w:t>
      </w:r>
    </w:p>
    <w:p w:rsidR="00BA1F9D" w:rsidRPr="0023184F" w:rsidRDefault="00BA1F9D" w:rsidP="00BA1F9D">
      <w:pPr>
        <w:numPr>
          <w:ilvl w:val="1"/>
          <w:numId w:val="20"/>
        </w:numPr>
        <w:spacing w:after="0"/>
        <w:rPr>
          <w:lang w:val="en-US"/>
        </w:rPr>
      </w:pPr>
      <w:r w:rsidRPr="0023184F">
        <w:rPr>
          <w:lang w:val="en-US"/>
        </w:rPr>
        <w:t>NR-PSS is mapped before NR-SSS.</w:t>
      </w:r>
    </w:p>
    <w:p w:rsidR="00BA1F9D" w:rsidRDefault="00BA1F9D" w:rsidP="00BA1F9D">
      <w:pPr>
        <w:numPr>
          <w:ilvl w:val="1"/>
          <w:numId w:val="20"/>
        </w:numPr>
        <w:spacing w:after="0"/>
        <w:rPr>
          <w:rFonts w:hint="eastAsia"/>
          <w:lang w:val="en-US"/>
        </w:rPr>
      </w:pPr>
      <w:r>
        <w:rPr>
          <w:rFonts w:hint="eastAsia"/>
          <w:lang w:val="en-US"/>
        </w:rPr>
        <w:t>In case that number of PBCH symbols is two within a SS block,</w:t>
      </w:r>
    </w:p>
    <w:p w:rsidR="00BA1F9D" w:rsidRDefault="00BA1F9D" w:rsidP="00BA1F9D">
      <w:pPr>
        <w:numPr>
          <w:ilvl w:val="2"/>
          <w:numId w:val="20"/>
        </w:numPr>
        <w:spacing w:after="0"/>
        <w:rPr>
          <w:rFonts w:hint="eastAsia"/>
          <w:lang w:val="en-US"/>
        </w:rPr>
      </w:pPr>
      <w:r>
        <w:rPr>
          <w:rFonts w:hint="eastAsia"/>
          <w:lang w:val="en-US"/>
        </w:rPr>
        <w:t xml:space="preserve">Option 1: </w:t>
      </w:r>
      <w:r w:rsidRPr="00A71A50">
        <w:rPr>
          <w:lang w:val="en-US"/>
        </w:rPr>
        <w:t>The mapping order of</w:t>
      </w:r>
      <w:r>
        <w:rPr>
          <w:lang w:val="en-US"/>
        </w:rPr>
        <w:t xml:space="preserve"> SS blocks is PSS-SSS-PBCH-PBCH</w:t>
      </w:r>
    </w:p>
    <w:p w:rsidR="00BA1F9D" w:rsidRDefault="00BA1F9D" w:rsidP="00BA1F9D">
      <w:pPr>
        <w:numPr>
          <w:ilvl w:val="2"/>
          <w:numId w:val="20"/>
        </w:numPr>
        <w:spacing w:after="0"/>
        <w:rPr>
          <w:rFonts w:hint="eastAsia"/>
          <w:lang w:val="en-US"/>
        </w:rPr>
      </w:pPr>
      <w:r>
        <w:rPr>
          <w:rFonts w:hint="eastAsia"/>
          <w:lang w:val="en-US"/>
        </w:rPr>
        <w:t xml:space="preserve">Option 2: </w:t>
      </w:r>
      <w:r w:rsidRPr="00A71A50">
        <w:rPr>
          <w:lang w:val="en-US"/>
        </w:rPr>
        <w:t>The mapping order of</w:t>
      </w:r>
      <w:r>
        <w:rPr>
          <w:lang w:val="en-US"/>
        </w:rPr>
        <w:t xml:space="preserve"> SS blocks is PSS-PBCH-SSS-PBCH</w:t>
      </w:r>
    </w:p>
    <w:p w:rsidR="00BA1F9D" w:rsidRDefault="00BA1F9D" w:rsidP="00BA1F9D">
      <w:pPr>
        <w:numPr>
          <w:ilvl w:val="2"/>
          <w:numId w:val="20"/>
        </w:numPr>
        <w:spacing w:after="0"/>
        <w:rPr>
          <w:rFonts w:hint="eastAsia"/>
          <w:lang w:val="en-US"/>
        </w:rPr>
      </w:pPr>
      <w:r>
        <w:rPr>
          <w:rFonts w:hint="eastAsia"/>
          <w:lang w:val="en-US"/>
        </w:rPr>
        <w:t xml:space="preserve">Option 3: </w:t>
      </w:r>
      <w:r w:rsidRPr="0023184F">
        <w:rPr>
          <w:lang w:val="en-US"/>
        </w:rPr>
        <w:t xml:space="preserve">The mapping order of </w:t>
      </w:r>
      <w:r>
        <w:rPr>
          <w:lang w:val="en-US"/>
        </w:rPr>
        <w:t>SS blocks is PBCH- PSS-SSS-PBCH</w:t>
      </w:r>
    </w:p>
    <w:p w:rsidR="00BA1F9D" w:rsidRDefault="00BA1F9D" w:rsidP="00BA1F9D">
      <w:pPr>
        <w:numPr>
          <w:ilvl w:val="2"/>
          <w:numId w:val="20"/>
        </w:numPr>
        <w:spacing w:after="0"/>
        <w:rPr>
          <w:rFonts w:hint="eastAsia"/>
          <w:lang w:val="en-US"/>
        </w:rPr>
      </w:pPr>
      <w:r>
        <w:rPr>
          <w:rFonts w:hint="eastAsia"/>
          <w:lang w:val="en-US"/>
        </w:rPr>
        <w:t xml:space="preserve">Option 4: </w:t>
      </w:r>
      <w:r w:rsidRPr="00A71A50">
        <w:rPr>
          <w:lang w:val="en-US"/>
        </w:rPr>
        <w:t>The mapping order of</w:t>
      </w:r>
      <w:r>
        <w:rPr>
          <w:lang w:val="en-US"/>
        </w:rPr>
        <w:t xml:space="preserve"> SS blocks is PSS-PBCH-PBCH</w:t>
      </w:r>
      <w:r>
        <w:rPr>
          <w:rFonts w:hint="eastAsia"/>
          <w:lang w:val="en-US"/>
        </w:rPr>
        <w:t>-SSS</w:t>
      </w:r>
    </w:p>
    <w:p w:rsidR="00BA1F9D" w:rsidRDefault="00BA1F9D" w:rsidP="00BA1F9D">
      <w:pPr>
        <w:numPr>
          <w:ilvl w:val="1"/>
          <w:numId w:val="20"/>
        </w:numPr>
        <w:spacing w:after="0"/>
        <w:rPr>
          <w:rFonts w:hint="eastAsia"/>
          <w:lang w:val="en-US"/>
        </w:rPr>
      </w:pPr>
      <w:r>
        <w:rPr>
          <w:rFonts w:hint="eastAsia"/>
          <w:lang w:val="en-US"/>
        </w:rPr>
        <w:t>Down selection from above options should be done together with NR-PBCH design decision</w:t>
      </w:r>
    </w:p>
    <w:p w:rsidR="00BA1F9D" w:rsidRDefault="00BA1F9D" w:rsidP="00BA1F9D">
      <w:pPr>
        <w:rPr>
          <w:rFonts w:hint="eastAsia"/>
        </w:rPr>
      </w:pPr>
    </w:p>
    <w:p w:rsidR="00BA1F9D" w:rsidRPr="009C6B3E" w:rsidRDefault="00BA1F9D" w:rsidP="00BA1F9D">
      <w:pPr>
        <w:outlineLvl w:val="0"/>
        <w:rPr>
          <w:rFonts w:hint="eastAsia"/>
          <w:b/>
          <w:u w:val="single"/>
          <w:lang w:val="en-US"/>
        </w:rPr>
      </w:pPr>
      <w:r w:rsidRPr="00C55E3F">
        <w:rPr>
          <w:rFonts w:hint="eastAsia"/>
          <w:b/>
          <w:highlight w:val="green"/>
          <w:u w:val="single"/>
          <w:lang w:val="en-US"/>
        </w:rPr>
        <w:t>Agreements:</w:t>
      </w:r>
    </w:p>
    <w:p w:rsidR="00BA1F9D" w:rsidRPr="00AA6A34" w:rsidRDefault="00BA1F9D" w:rsidP="00BA1F9D">
      <w:pPr>
        <w:numPr>
          <w:ilvl w:val="0"/>
          <w:numId w:val="21"/>
        </w:numPr>
        <w:spacing w:after="0"/>
        <w:rPr>
          <w:lang w:val="en-US"/>
        </w:rPr>
      </w:pPr>
      <w:r w:rsidRPr="00AA6A34">
        <w:rPr>
          <w:lang w:val="en-US"/>
        </w:rPr>
        <w:t>For the possible SS block time locations following mapping is followed:</w:t>
      </w:r>
    </w:p>
    <w:p w:rsidR="00BA1F9D" w:rsidRPr="00AA6A34" w:rsidRDefault="00BA1F9D" w:rsidP="00BA1F9D">
      <w:pPr>
        <w:numPr>
          <w:ilvl w:val="1"/>
          <w:numId w:val="21"/>
        </w:numPr>
        <w:spacing w:after="0"/>
        <w:rPr>
          <w:lang w:val="en-US"/>
        </w:rPr>
      </w:pPr>
      <w:r w:rsidRPr="00AA6A34">
        <w:rPr>
          <w:lang w:val="fi-FI"/>
        </w:rPr>
        <w:t xml:space="preserve">In the mapping </w:t>
      </w:r>
      <w:r>
        <w:rPr>
          <w:rFonts w:hint="eastAsia"/>
          <w:lang w:val="fi-FI"/>
        </w:rPr>
        <w:t xml:space="preserve">with 15 and 30 kHz subcarreir spacing, </w:t>
      </w:r>
      <w:r w:rsidRPr="00AA6A34">
        <w:rPr>
          <w:lang w:val="fi-FI"/>
        </w:rPr>
        <w:t xml:space="preserve">following requirements are met </w:t>
      </w:r>
    </w:p>
    <w:p w:rsidR="00BA1F9D" w:rsidRPr="00AA6A34" w:rsidRDefault="00BA1F9D" w:rsidP="00BA1F9D">
      <w:pPr>
        <w:numPr>
          <w:ilvl w:val="2"/>
          <w:numId w:val="21"/>
        </w:numPr>
        <w:spacing w:after="0"/>
        <w:rPr>
          <w:lang w:val="en-US"/>
        </w:rPr>
      </w:pPr>
      <w:r>
        <w:rPr>
          <w:lang w:val="en-US"/>
        </w:rPr>
        <w:t xml:space="preserve">At least </w:t>
      </w:r>
      <w:r>
        <w:rPr>
          <w:rFonts w:hint="eastAsia"/>
          <w:lang w:val="en-US"/>
        </w:rPr>
        <w:t>[1 or 2]</w:t>
      </w:r>
      <w:r w:rsidRPr="00AA6A34">
        <w:rPr>
          <w:lang w:val="en-US"/>
        </w:rPr>
        <w:t xml:space="preserve"> symbol are preserved for DL contro</w:t>
      </w:r>
      <w:r>
        <w:rPr>
          <w:lang w:val="en-US"/>
        </w:rPr>
        <w:t>l at the beginning of the</w:t>
      </w:r>
      <w:r>
        <w:rPr>
          <w:rFonts w:hint="eastAsia"/>
          <w:lang w:val="en-US"/>
        </w:rPr>
        <w:t xml:space="preserve"> </w:t>
      </w:r>
      <w:r w:rsidRPr="00AA6A34">
        <w:rPr>
          <w:lang w:val="en-US"/>
        </w:rPr>
        <w:t>slot</w:t>
      </w:r>
      <w:r w:rsidRPr="00926C7D">
        <w:rPr>
          <w:lang w:val="en-US"/>
        </w:rPr>
        <w:t xml:space="preserve"> of 14 symbols</w:t>
      </w:r>
    </w:p>
    <w:p w:rsidR="00BA1F9D" w:rsidRDefault="00BA1F9D" w:rsidP="00BA1F9D">
      <w:pPr>
        <w:numPr>
          <w:ilvl w:val="2"/>
          <w:numId w:val="21"/>
        </w:numPr>
        <w:spacing w:after="0"/>
        <w:rPr>
          <w:rFonts w:hint="eastAsia"/>
          <w:lang w:val="en-US"/>
        </w:rPr>
      </w:pPr>
      <w:r>
        <w:rPr>
          <w:lang w:val="en-US"/>
        </w:rPr>
        <w:t xml:space="preserve">At least </w:t>
      </w:r>
      <w:r>
        <w:rPr>
          <w:rFonts w:hint="eastAsia"/>
          <w:lang w:val="en-US"/>
        </w:rPr>
        <w:t>2</w:t>
      </w:r>
      <w:r w:rsidRPr="00AA6A34">
        <w:rPr>
          <w:lang w:val="en-US"/>
        </w:rPr>
        <w:t xml:space="preserve"> symbols are preserved for e.g. guard period and UL control at the end of the slot</w:t>
      </w:r>
      <w:r w:rsidRPr="00926C7D">
        <w:rPr>
          <w:lang w:val="en-US"/>
        </w:rPr>
        <w:t xml:space="preserve"> of 14 symbols</w:t>
      </w:r>
    </w:p>
    <w:p w:rsidR="00BA1F9D" w:rsidRDefault="00BA1F9D" w:rsidP="00BA1F9D">
      <w:pPr>
        <w:numPr>
          <w:ilvl w:val="2"/>
          <w:numId w:val="21"/>
        </w:numPr>
        <w:spacing w:after="0"/>
        <w:rPr>
          <w:rFonts w:hint="eastAsia"/>
          <w:lang w:val="en-US"/>
        </w:rPr>
      </w:pPr>
      <w:r w:rsidRPr="00E8627D">
        <w:rPr>
          <w:rFonts w:hint="eastAsia"/>
          <w:lang w:val="en-US"/>
        </w:rPr>
        <w:t xml:space="preserve">Note: </w:t>
      </w:r>
      <w:r>
        <w:rPr>
          <w:rFonts w:hint="eastAsia"/>
          <w:lang w:val="en-US"/>
        </w:rPr>
        <w:t>slot is defined based on SS subcarrier spacing</w:t>
      </w:r>
    </w:p>
    <w:p w:rsidR="00BA1F9D" w:rsidRPr="006D2456" w:rsidRDefault="00BA1F9D" w:rsidP="00BA1F9D">
      <w:pPr>
        <w:numPr>
          <w:ilvl w:val="2"/>
          <w:numId w:val="21"/>
        </w:numPr>
        <w:spacing w:after="0"/>
        <w:rPr>
          <w:rFonts w:hint="eastAsia"/>
          <w:lang w:val="en-US"/>
        </w:rPr>
      </w:pPr>
      <w:r>
        <w:rPr>
          <w:rFonts w:hint="eastAsia"/>
          <w:lang w:val="en-US"/>
        </w:rPr>
        <w:t xml:space="preserve">At most </w:t>
      </w:r>
      <w:r w:rsidRPr="00AA6A34">
        <w:rPr>
          <w:lang w:val="en-US"/>
        </w:rPr>
        <w:t>two possible  SS block time locations are mapped to one slot of 14 symbols</w:t>
      </w:r>
    </w:p>
    <w:p w:rsidR="00BA1F9D" w:rsidRPr="00AA6A34" w:rsidRDefault="00BA1F9D" w:rsidP="00BA1F9D">
      <w:pPr>
        <w:numPr>
          <w:ilvl w:val="1"/>
          <w:numId w:val="21"/>
        </w:numPr>
        <w:spacing w:after="0"/>
        <w:rPr>
          <w:lang w:val="en-US"/>
        </w:rPr>
      </w:pPr>
      <w:r w:rsidRPr="00AA6A34">
        <w:rPr>
          <w:lang w:val="fi-FI"/>
        </w:rPr>
        <w:t xml:space="preserve">In the mapping </w:t>
      </w:r>
      <w:r>
        <w:rPr>
          <w:rFonts w:hint="eastAsia"/>
          <w:lang w:val="fi-FI"/>
        </w:rPr>
        <w:t xml:space="preserve">with 120 kHz subcarreir spacing, </w:t>
      </w:r>
      <w:r w:rsidRPr="00AA6A34">
        <w:rPr>
          <w:lang w:val="fi-FI"/>
        </w:rPr>
        <w:t xml:space="preserve">following requirements are met </w:t>
      </w:r>
    </w:p>
    <w:p w:rsidR="00BA1F9D" w:rsidRPr="00AA6A34" w:rsidRDefault="00BA1F9D" w:rsidP="00BA1F9D">
      <w:pPr>
        <w:numPr>
          <w:ilvl w:val="2"/>
          <w:numId w:val="21"/>
        </w:numPr>
        <w:spacing w:after="0"/>
        <w:rPr>
          <w:lang w:val="en-US"/>
        </w:rPr>
      </w:pPr>
      <w:r>
        <w:rPr>
          <w:lang w:val="en-US"/>
        </w:rPr>
        <w:t xml:space="preserve">At least </w:t>
      </w:r>
      <w:r>
        <w:rPr>
          <w:rFonts w:hint="eastAsia"/>
          <w:lang w:val="en-US"/>
        </w:rPr>
        <w:t>2</w:t>
      </w:r>
      <w:r w:rsidRPr="00AA6A34">
        <w:rPr>
          <w:lang w:val="en-US"/>
        </w:rPr>
        <w:t xml:space="preserve"> symbol are preserved for DL contro</w:t>
      </w:r>
      <w:r>
        <w:rPr>
          <w:lang w:val="en-US"/>
        </w:rPr>
        <w:t>l at the beginning of the</w:t>
      </w:r>
      <w:r>
        <w:rPr>
          <w:rFonts w:hint="eastAsia"/>
          <w:lang w:val="en-US"/>
        </w:rPr>
        <w:t xml:space="preserve"> </w:t>
      </w:r>
      <w:r w:rsidRPr="00AA6A34">
        <w:rPr>
          <w:lang w:val="en-US"/>
        </w:rPr>
        <w:t>slot</w:t>
      </w:r>
      <w:r w:rsidRPr="00926C7D">
        <w:rPr>
          <w:lang w:val="en-US"/>
        </w:rPr>
        <w:t xml:space="preserve"> of 14 symbols</w:t>
      </w:r>
    </w:p>
    <w:p w:rsidR="00BA1F9D" w:rsidRDefault="00BA1F9D" w:rsidP="00BA1F9D">
      <w:pPr>
        <w:numPr>
          <w:ilvl w:val="2"/>
          <w:numId w:val="21"/>
        </w:numPr>
        <w:spacing w:after="0"/>
        <w:rPr>
          <w:rFonts w:hint="eastAsia"/>
          <w:lang w:val="en-US"/>
        </w:rPr>
      </w:pPr>
      <w:r>
        <w:rPr>
          <w:lang w:val="en-US"/>
        </w:rPr>
        <w:t xml:space="preserve">At least </w:t>
      </w:r>
      <w:r>
        <w:rPr>
          <w:rFonts w:hint="eastAsia"/>
          <w:lang w:val="en-US"/>
        </w:rPr>
        <w:t>2</w:t>
      </w:r>
      <w:r w:rsidRPr="00AA6A34">
        <w:rPr>
          <w:lang w:val="en-US"/>
        </w:rPr>
        <w:t xml:space="preserve"> symbols are preserved for e.g. guard period and UL control at the end of the slot</w:t>
      </w:r>
      <w:r w:rsidRPr="00926C7D">
        <w:rPr>
          <w:lang w:val="en-US"/>
        </w:rPr>
        <w:t xml:space="preserve"> of 14 symbols</w:t>
      </w:r>
    </w:p>
    <w:p w:rsidR="00BA1F9D" w:rsidRDefault="00BA1F9D" w:rsidP="00BA1F9D">
      <w:pPr>
        <w:numPr>
          <w:ilvl w:val="2"/>
          <w:numId w:val="21"/>
        </w:numPr>
        <w:spacing w:after="0"/>
        <w:rPr>
          <w:rFonts w:hint="eastAsia"/>
          <w:lang w:val="en-US"/>
        </w:rPr>
      </w:pPr>
      <w:r w:rsidRPr="00E8627D">
        <w:rPr>
          <w:rFonts w:hint="eastAsia"/>
          <w:lang w:val="en-US"/>
        </w:rPr>
        <w:t xml:space="preserve">Note: </w:t>
      </w:r>
      <w:r>
        <w:rPr>
          <w:rFonts w:hint="eastAsia"/>
          <w:lang w:val="en-US"/>
        </w:rPr>
        <w:t>slot is defined based on SS subcarrier spacing</w:t>
      </w:r>
    </w:p>
    <w:p w:rsidR="00BA1F9D" w:rsidRPr="008251B3" w:rsidRDefault="00BA1F9D" w:rsidP="00BA1F9D">
      <w:pPr>
        <w:numPr>
          <w:ilvl w:val="2"/>
          <w:numId w:val="21"/>
        </w:numPr>
        <w:spacing w:after="0"/>
        <w:rPr>
          <w:rFonts w:hint="eastAsia"/>
          <w:lang w:val="en-US"/>
        </w:rPr>
      </w:pPr>
      <w:r>
        <w:rPr>
          <w:rFonts w:hint="eastAsia"/>
          <w:lang w:val="en-US"/>
        </w:rPr>
        <w:t xml:space="preserve">At most </w:t>
      </w:r>
      <w:r w:rsidRPr="00AA6A34">
        <w:rPr>
          <w:lang w:val="en-US"/>
        </w:rPr>
        <w:t>two possible  SS block time locations are mapped to one slot of 14 symbols</w:t>
      </w:r>
    </w:p>
    <w:p w:rsidR="00BA1F9D" w:rsidRPr="00AA6A34" w:rsidRDefault="00BA1F9D" w:rsidP="00BA1F9D">
      <w:pPr>
        <w:numPr>
          <w:ilvl w:val="1"/>
          <w:numId w:val="21"/>
        </w:numPr>
        <w:spacing w:after="0"/>
        <w:rPr>
          <w:lang w:val="en-US"/>
        </w:rPr>
      </w:pPr>
      <w:r w:rsidRPr="00AA6A34">
        <w:rPr>
          <w:lang w:val="fi-FI"/>
        </w:rPr>
        <w:t xml:space="preserve">In the mapping </w:t>
      </w:r>
      <w:r>
        <w:rPr>
          <w:rFonts w:hint="eastAsia"/>
          <w:lang w:val="fi-FI"/>
        </w:rPr>
        <w:t xml:space="preserve">with 240 kHz subcarrier spacing across two consecutive slots, </w:t>
      </w:r>
      <w:r w:rsidRPr="00AA6A34">
        <w:rPr>
          <w:lang w:val="fi-FI"/>
        </w:rPr>
        <w:t xml:space="preserve">following requirements are met </w:t>
      </w:r>
    </w:p>
    <w:p w:rsidR="00BA1F9D" w:rsidRPr="00AA6A34" w:rsidRDefault="00BA1F9D" w:rsidP="00BA1F9D">
      <w:pPr>
        <w:numPr>
          <w:ilvl w:val="2"/>
          <w:numId w:val="21"/>
        </w:numPr>
        <w:spacing w:after="0"/>
        <w:rPr>
          <w:lang w:val="en-US"/>
        </w:rPr>
      </w:pPr>
      <w:r>
        <w:rPr>
          <w:lang w:val="en-US"/>
        </w:rPr>
        <w:t xml:space="preserve">At least </w:t>
      </w:r>
      <w:r>
        <w:rPr>
          <w:rFonts w:hint="eastAsia"/>
          <w:lang w:val="en-US"/>
        </w:rPr>
        <w:t>4</w:t>
      </w:r>
      <w:r w:rsidRPr="00AA6A34">
        <w:rPr>
          <w:lang w:val="en-US"/>
        </w:rPr>
        <w:t xml:space="preserve"> symbol are preserved for DL contro</w:t>
      </w:r>
      <w:r>
        <w:rPr>
          <w:lang w:val="en-US"/>
        </w:rPr>
        <w:t>l at the beginning of the</w:t>
      </w:r>
      <w:r>
        <w:rPr>
          <w:rFonts w:hint="eastAsia"/>
          <w:lang w:val="en-US"/>
        </w:rPr>
        <w:t xml:space="preserve"> first </w:t>
      </w:r>
      <w:r w:rsidRPr="00AA6A34">
        <w:rPr>
          <w:lang w:val="en-US"/>
        </w:rPr>
        <w:t>slot</w:t>
      </w:r>
      <w:r w:rsidRPr="00926C7D">
        <w:rPr>
          <w:lang w:val="en-US"/>
        </w:rPr>
        <w:t xml:space="preserve"> of 14 symbols</w:t>
      </w:r>
    </w:p>
    <w:p w:rsidR="00BA1F9D" w:rsidRDefault="00BA1F9D" w:rsidP="00BA1F9D">
      <w:pPr>
        <w:numPr>
          <w:ilvl w:val="2"/>
          <w:numId w:val="21"/>
        </w:numPr>
        <w:spacing w:after="0"/>
        <w:rPr>
          <w:rFonts w:hint="eastAsia"/>
          <w:lang w:val="en-US"/>
        </w:rPr>
      </w:pPr>
      <w:r>
        <w:rPr>
          <w:lang w:val="en-US"/>
        </w:rPr>
        <w:t xml:space="preserve">At least </w:t>
      </w:r>
      <w:r>
        <w:rPr>
          <w:rFonts w:hint="eastAsia"/>
          <w:lang w:val="en-US"/>
        </w:rPr>
        <w:t>4</w:t>
      </w:r>
      <w:r w:rsidRPr="00AA6A34">
        <w:rPr>
          <w:lang w:val="en-US"/>
        </w:rPr>
        <w:t xml:space="preserve"> symbols are preserved for e.g. guard period and UL control at the end of the </w:t>
      </w:r>
      <w:r>
        <w:rPr>
          <w:rFonts w:hint="eastAsia"/>
          <w:lang w:val="en-US"/>
        </w:rPr>
        <w:t xml:space="preserve">second </w:t>
      </w:r>
      <w:r w:rsidRPr="00AA6A34">
        <w:rPr>
          <w:lang w:val="en-US"/>
        </w:rPr>
        <w:t>slot</w:t>
      </w:r>
      <w:r w:rsidRPr="00926C7D">
        <w:rPr>
          <w:lang w:val="en-US"/>
        </w:rPr>
        <w:t xml:space="preserve"> of 14 symbols</w:t>
      </w:r>
    </w:p>
    <w:p w:rsidR="00BA1F9D" w:rsidRDefault="00BA1F9D" w:rsidP="00BA1F9D">
      <w:pPr>
        <w:numPr>
          <w:ilvl w:val="2"/>
          <w:numId w:val="21"/>
        </w:numPr>
        <w:spacing w:after="0"/>
        <w:rPr>
          <w:rFonts w:hint="eastAsia"/>
          <w:lang w:val="en-US"/>
        </w:rPr>
      </w:pPr>
      <w:r>
        <w:rPr>
          <w:rFonts w:hint="eastAsia"/>
          <w:lang w:val="en-US"/>
        </w:rPr>
        <w:t xml:space="preserve">Note: slot is defined by 240 kHz </w:t>
      </w:r>
      <w:r>
        <w:rPr>
          <w:lang w:val="en-US"/>
        </w:rPr>
        <w:t>subcarrier</w:t>
      </w:r>
      <w:r>
        <w:rPr>
          <w:rFonts w:hint="eastAsia"/>
          <w:lang w:val="en-US"/>
        </w:rPr>
        <w:t xml:space="preserve"> spacing</w:t>
      </w:r>
    </w:p>
    <w:p w:rsidR="00BA1F9D" w:rsidRPr="00AA6A34" w:rsidRDefault="00BA1F9D" w:rsidP="00BA1F9D">
      <w:pPr>
        <w:numPr>
          <w:ilvl w:val="2"/>
          <w:numId w:val="21"/>
        </w:numPr>
        <w:spacing w:after="0"/>
        <w:rPr>
          <w:lang w:val="en-US"/>
        </w:rPr>
      </w:pPr>
      <w:r>
        <w:rPr>
          <w:rFonts w:hint="eastAsia"/>
          <w:lang w:val="en-US"/>
        </w:rPr>
        <w:t>At most four</w:t>
      </w:r>
      <w:r w:rsidRPr="00AA6A34">
        <w:rPr>
          <w:lang w:val="en-US"/>
        </w:rPr>
        <w:t xml:space="preserve"> possible  SS block time locations are mapped to </w:t>
      </w:r>
      <w:r>
        <w:rPr>
          <w:rFonts w:hint="eastAsia"/>
          <w:lang w:val="en-US"/>
        </w:rPr>
        <w:t xml:space="preserve">two consecutive </w:t>
      </w:r>
      <w:r w:rsidRPr="00AA6A34">
        <w:rPr>
          <w:lang w:val="en-US"/>
        </w:rPr>
        <w:t>slot</w:t>
      </w:r>
      <w:r>
        <w:rPr>
          <w:rFonts w:hint="eastAsia"/>
          <w:lang w:val="en-US"/>
        </w:rPr>
        <w:t>s</w:t>
      </w:r>
      <w:r w:rsidRPr="00AA6A34">
        <w:rPr>
          <w:lang w:val="en-US"/>
        </w:rPr>
        <w:t xml:space="preserve"> of 14 symbols</w:t>
      </w:r>
      <w:r>
        <w:rPr>
          <w:rFonts w:hint="eastAsia"/>
          <w:lang w:val="en-US"/>
        </w:rPr>
        <w:t xml:space="preserve"> each</w:t>
      </w:r>
    </w:p>
    <w:p w:rsidR="00BA1F9D" w:rsidRPr="00FC23BA" w:rsidRDefault="00BA1F9D" w:rsidP="00BA1F9D">
      <w:pPr>
        <w:numPr>
          <w:ilvl w:val="1"/>
          <w:numId w:val="21"/>
        </w:numPr>
        <w:spacing w:after="0"/>
        <w:rPr>
          <w:lang w:val="en-US"/>
        </w:rPr>
      </w:pPr>
      <w:r w:rsidRPr="00AA6A34">
        <w:rPr>
          <w:lang w:val="en-US"/>
        </w:rPr>
        <w:t xml:space="preserve">SS block does not cross the </w:t>
      </w:r>
      <w:r>
        <w:rPr>
          <w:rFonts w:hint="eastAsia"/>
          <w:lang w:val="en-US"/>
        </w:rPr>
        <w:t>middle of the slot of 14 symbols</w:t>
      </w:r>
      <w:r>
        <w:rPr>
          <w:lang w:val="en-US"/>
        </w:rPr>
        <w:t xml:space="preserve"> </w:t>
      </w:r>
      <w:r>
        <w:rPr>
          <w:rFonts w:hint="eastAsia"/>
          <w:lang w:val="en-US"/>
        </w:rPr>
        <w:t xml:space="preserve">defined by </w:t>
      </w:r>
      <w:r w:rsidRPr="00AA6A34">
        <w:rPr>
          <w:lang w:val="en-US"/>
        </w:rPr>
        <w:t>15</w:t>
      </w:r>
      <w:r>
        <w:rPr>
          <w:rFonts w:hint="eastAsia"/>
          <w:lang w:val="en-US"/>
        </w:rPr>
        <w:t xml:space="preserve"> </w:t>
      </w:r>
      <w:r w:rsidRPr="00AA6A34">
        <w:rPr>
          <w:lang w:val="en-US"/>
        </w:rPr>
        <w:t>kHz sub-carrier spacing</w:t>
      </w:r>
    </w:p>
    <w:p w:rsidR="00BA1F9D" w:rsidRDefault="00BA1F9D" w:rsidP="00BA1F9D">
      <w:pPr>
        <w:numPr>
          <w:ilvl w:val="0"/>
          <w:numId w:val="21"/>
        </w:numPr>
        <w:spacing w:after="0"/>
        <w:rPr>
          <w:rFonts w:hint="eastAsia"/>
          <w:lang w:val="en-US"/>
        </w:rPr>
      </w:pPr>
      <w:r w:rsidRPr="00AA6A34">
        <w:rPr>
          <w:lang w:val="en-US"/>
        </w:rPr>
        <w:t>Mapping of SS block time locations for NR unlicensed band operation is FFS</w:t>
      </w:r>
    </w:p>
    <w:p w:rsidR="00BA1F9D" w:rsidRPr="00E6298E" w:rsidRDefault="00BA1F9D" w:rsidP="00BA1F9D">
      <w:pPr>
        <w:numPr>
          <w:ilvl w:val="0"/>
          <w:numId w:val="21"/>
        </w:numPr>
        <w:spacing w:after="0"/>
        <w:rPr>
          <w:rFonts w:hint="eastAsia"/>
          <w:lang w:val="en-US"/>
        </w:rPr>
      </w:pPr>
      <w:r w:rsidRPr="00E6298E">
        <w:rPr>
          <w:rFonts w:hint="eastAsia"/>
          <w:lang w:val="en-US"/>
        </w:rPr>
        <w:t>Above agreements does not preclude 7 OFDM symbol slot operation</w:t>
      </w:r>
    </w:p>
    <w:p w:rsidR="00BA1F9D" w:rsidRPr="000770F2" w:rsidRDefault="00BA1F9D" w:rsidP="00BA1F9D">
      <w:pPr>
        <w:rPr>
          <w:rFonts w:hint="eastAsia"/>
          <w:lang w:val="en-US"/>
        </w:rPr>
      </w:pPr>
    </w:p>
    <w:p w:rsidR="00BA1F9D" w:rsidRPr="00147B63" w:rsidRDefault="00BA1F9D" w:rsidP="00BA1F9D">
      <w:pPr>
        <w:outlineLvl w:val="0"/>
        <w:rPr>
          <w:rFonts w:hint="eastAsia"/>
          <w:b/>
          <w:u w:val="single"/>
          <w:lang w:val="en-US"/>
        </w:rPr>
      </w:pPr>
      <w:r w:rsidRPr="00E05CD4">
        <w:rPr>
          <w:rFonts w:hint="eastAsia"/>
          <w:b/>
          <w:highlight w:val="green"/>
          <w:u w:val="single"/>
          <w:lang w:val="en-US"/>
        </w:rPr>
        <w:lastRenderedPageBreak/>
        <w:t>Agreements:</w:t>
      </w:r>
    </w:p>
    <w:p w:rsidR="00BA1F9D" w:rsidRPr="00B67311" w:rsidRDefault="00BA1F9D" w:rsidP="00BA1F9D">
      <w:pPr>
        <w:numPr>
          <w:ilvl w:val="0"/>
          <w:numId w:val="22"/>
        </w:numPr>
        <w:spacing w:after="0"/>
        <w:rPr>
          <w:rFonts w:hint="eastAsia"/>
          <w:lang w:val="en-US"/>
        </w:rPr>
      </w:pPr>
      <w:r w:rsidRPr="00147B63">
        <w:rPr>
          <w:lang w:val="en-US"/>
        </w:rPr>
        <w:t xml:space="preserve">The transmission of SS blocks within SS burst set is confined to a </w:t>
      </w:r>
      <w:r>
        <w:rPr>
          <w:rFonts w:hint="eastAsia"/>
          <w:lang w:val="en-US"/>
        </w:rPr>
        <w:t>5</w:t>
      </w:r>
      <w:r w:rsidRPr="00147B63">
        <w:rPr>
          <w:rFonts w:hint="eastAsia"/>
          <w:lang w:val="en-US"/>
        </w:rPr>
        <w:t xml:space="preserve"> </w:t>
      </w:r>
      <w:r w:rsidRPr="00147B63">
        <w:rPr>
          <w:lang w:val="en-US"/>
        </w:rPr>
        <w:t>ms window regardless of SS burst set periodicity</w:t>
      </w:r>
    </w:p>
    <w:p w:rsidR="00BA1F9D" w:rsidRDefault="00BA1F9D" w:rsidP="00BA1F9D">
      <w:pPr>
        <w:numPr>
          <w:ilvl w:val="0"/>
          <w:numId w:val="22"/>
        </w:numPr>
        <w:spacing w:after="0"/>
        <w:rPr>
          <w:rFonts w:hint="eastAsia"/>
          <w:lang w:val="en-US"/>
        </w:rPr>
      </w:pPr>
      <w:r>
        <w:rPr>
          <w:rFonts w:hint="eastAsia"/>
          <w:lang w:val="en-US"/>
        </w:rPr>
        <w:t>Within this 5 ms window, n</w:t>
      </w:r>
      <w:r w:rsidRPr="00B67311">
        <w:rPr>
          <w:lang w:val="en-US"/>
        </w:rPr>
        <w:t>umber</w:t>
      </w:r>
      <w:r w:rsidRPr="00B67311">
        <w:rPr>
          <w:rFonts w:hint="eastAsia"/>
          <w:lang w:val="en-US"/>
        </w:rPr>
        <w:t xml:space="preserve"> of possible candidate SS block locations is L</w:t>
      </w:r>
    </w:p>
    <w:p w:rsidR="00BA1F9D" w:rsidRPr="00147B63" w:rsidRDefault="00BA1F9D" w:rsidP="00BA1F9D">
      <w:pPr>
        <w:numPr>
          <w:ilvl w:val="0"/>
          <w:numId w:val="22"/>
        </w:numPr>
        <w:spacing w:after="0"/>
        <w:rPr>
          <w:lang w:val="en-US"/>
        </w:rPr>
      </w:pPr>
      <w:r>
        <w:rPr>
          <w:lang w:val="en-US"/>
        </w:rPr>
        <w:t xml:space="preserve">The </w:t>
      </w:r>
      <w:r w:rsidRPr="00147B63">
        <w:rPr>
          <w:lang w:val="en-US"/>
        </w:rPr>
        <w:t>maximum number of SS-block</w:t>
      </w:r>
      <w:r>
        <w:rPr>
          <w:lang w:val="en-US"/>
        </w:rPr>
        <w:t>s</w:t>
      </w:r>
      <w:r w:rsidRPr="00147B63">
        <w:rPr>
          <w:lang w:val="en-US"/>
        </w:rPr>
        <w:t xml:space="preserve"> within SS burst set</w:t>
      </w:r>
      <w:r>
        <w:rPr>
          <w:rFonts w:hint="eastAsia"/>
          <w:lang w:val="en-US"/>
        </w:rPr>
        <w:t>, L,</w:t>
      </w:r>
      <w:r w:rsidRPr="00147B63">
        <w:rPr>
          <w:lang w:val="en-US"/>
        </w:rPr>
        <w:t xml:space="preserve"> for different frequency ranges are</w:t>
      </w:r>
    </w:p>
    <w:p w:rsidR="00BA1F9D" w:rsidRPr="00795417" w:rsidRDefault="00BA1F9D" w:rsidP="00BA1F9D">
      <w:pPr>
        <w:numPr>
          <w:ilvl w:val="1"/>
          <w:numId w:val="22"/>
        </w:numPr>
        <w:spacing w:after="0"/>
        <w:rPr>
          <w:rFonts w:hint="eastAsia"/>
          <w:lang w:val="en-US"/>
        </w:rPr>
      </w:pPr>
      <w:r w:rsidRPr="00147B63">
        <w:rPr>
          <w:lang w:val="en-US"/>
        </w:rPr>
        <w:t xml:space="preserve">For frequency range up to 3 GHz, </w:t>
      </w:r>
      <w:r>
        <w:rPr>
          <w:rFonts w:hint="eastAsia"/>
          <w:lang w:val="en-US"/>
        </w:rPr>
        <w:t>L</w:t>
      </w:r>
      <w:r w:rsidRPr="00147B63">
        <w:rPr>
          <w:lang w:val="en-US"/>
        </w:rPr>
        <w:t xml:space="preserve"> is </w:t>
      </w:r>
      <w:r>
        <w:rPr>
          <w:rFonts w:hint="eastAsia"/>
          <w:b/>
          <w:bCs/>
          <w:lang w:val="en-US"/>
        </w:rPr>
        <w:t>4</w:t>
      </w:r>
    </w:p>
    <w:p w:rsidR="00BA1F9D" w:rsidRPr="00147B63" w:rsidRDefault="00BA1F9D" w:rsidP="00BA1F9D">
      <w:pPr>
        <w:numPr>
          <w:ilvl w:val="1"/>
          <w:numId w:val="22"/>
        </w:numPr>
        <w:spacing w:after="0"/>
        <w:rPr>
          <w:lang w:val="en-US"/>
        </w:rPr>
      </w:pPr>
      <w:r w:rsidRPr="00147B63">
        <w:rPr>
          <w:lang w:val="en-US"/>
        </w:rPr>
        <w:t>For frequency range from 3</w:t>
      </w:r>
      <w:r>
        <w:rPr>
          <w:rFonts w:hint="eastAsia"/>
          <w:lang w:val="en-US"/>
        </w:rPr>
        <w:t xml:space="preserve"> </w:t>
      </w:r>
      <w:r w:rsidRPr="00147B63">
        <w:rPr>
          <w:lang w:val="en-US"/>
        </w:rPr>
        <w:t xml:space="preserve">GHz to 6 GHz, </w:t>
      </w:r>
      <w:r>
        <w:rPr>
          <w:rFonts w:hint="eastAsia"/>
          <w:lang w:val="en-US"/>
        </w:rPr>
        <w:t>L</w:t>
      </w:r>
      <w:r w:rsidRPr="00147B63">
        <w:rPr>
          <w:lang w:val="en-US"/>
        </w:rPr>
        <w:t xml:space="preserve"> is </w:t>
      </w:r>
      <w:r w:rsidRPr="00147B63">
        <w:rPr>
          <w:b/>
          <w:bCs/>
          <w:lang w:val="en-US"/>
        </w:rPr>
        <w:t>8</w:t>
      </w:r>
    </w:p>
    <w:p w:rsidR="00BA1F9D" w:rsidRPr="00795417" w:rsidRDefault="00BA1F9D" w:rsidP="00BA1F9D">
      <w:pPr>
        <w:numPr>
          <w:ilvl w:val="1"/>
          <w:numId w:val="22"/>
        </w:numPr>
        <w:spacing w:after="0"/>
        <w:rPr>
          <w:rFonts w:hint="eastAsia"/>
          <w:lang w:val="en-US"/>
        </w:rPr>
      </w:pPr>
      <w:r w:rsidRPr="00147B63">
        <w:rPr>
          <w:lang w:val="en-US"/>
        </w:rPr>
        <w:t xml:space="preserve">For frequency range from 6 GHz to 52.6 GHz, </w:t>
      </w:r>
      <w:r>
        <w:rPr>
          <w:rFonts w:hint="eastAsia"/>
          <w:lang w:val="en-US"/>
        </w:rPr>
        <w:t>L</w:t>
      </w:r>
      <w:r w:rsidRPr="00147B63">
        <w:rPr>
          <w:lang w:val="en-US"/>
        </w:rPr>
        <w:t xml:space="preserve"> is </w:t>
      </w:r>
      <w:r w:rsidRPr="00147B63">
        <w:rPr>
          <w:b/>
          <w:bCs/>
          <w:lang w:val="en-US"/>
        </w:rPr>
        <w:t>64</w:t>
      </w:r>
    </w:p>
    <w:p w:rsidR="00BA1F9D" w:rsidRPr="00CC6C25" w:rsidRDefault="00BA1F9D" w:rsidP="00BA1F9D">
      <w:pPr>
        <w:numPr>
          <w:ilvl w:val="1"/>
          <w:numId w:val="22"/>
        </w:numPr>
        <w:spacing w:after="0"/>
        <w:rPr>
          <w:rFonts w:hint="eastAsia"/>
          <w:lang w:val="en-US"/>
        </w:rPr>
      </w:pPr>
      <w:r>
        <w:rPr>
          <w:rFonts w:hint="eastAsia"/>
          <w:bCs/>
          <w:lang w:val="en-US"/>
        </w:rPr>
        <w:t>Note that RAN1 assumes minimum number of SS blocks transmitted within each SS burst set is one to define performance requirements</w:t>
      </w:r>
    </w:p>
    <w:p w:rsidR="00BA1F9D" w:rsidRDefault="00BA1F9D" w:rsidP="00BA1F9D">
      <w:pPr>
        <w:spacing w:beforeLines="50"/>
        <w:jc w:val="both"/>
        <w:rPr>
          <w:rFonts w:eastAsia="宋体"/>
          <w:lang w:eastAsia="zh-CN"/>
        </w:rPr>
      </w:pPr>
    </w:p>
    <w:p w:rsidR="005F46DA" w:rsidRDefault="005F46DA" w:rsidP="00BA1F9D">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1C592C">
        <w:rPr>
          <w:rFonts w:eastAsia="宋体"/>
          <w:lang w:eastAsia="zh-CN"/>
        </w:rPr>
        <w:t xml:space="preserve"> </w:t>
      </w:r>
      <w:r w:rsidR="00214C15">
        <w:rPr>
          <w:rFonts w:eastAsia="宋体"/>
          <w:lang w:eastAsia="zh-CN"/>
        </w:rPr>
        <w:t xml:space="preserve">the </w:t>
      </w:r>
      <w:r w:rsidR="00F30DF0">
        <w:rPr>
          <w:rFonts w:eastAsia="宋体"/>
          <w:lang w:eastAsia="zh-CN"/>
        </w:rPr>
        <w:t xml:space="preserve">SS block composition, SS block location within a </w:t>
      </w:r>
      <w:r w:rsidR="00214C15">
        <w:rPr>
          <w:rFonts w:eastAsia="宋体"/>
          <w:lang w:eastAsia="zh-CN"/>
        </w:rPr>
        <w:t>SS burst set and SS-block indication in single and multi-beam configurations.</w:t>
      </w:r>
      <w:r w:rsidR="000F1342">
        <w:rPr>
          <w:rFonts w:eastAsia="宋体"/>
          <w:lang w:eastAsia="zh-CN"/>
        </w:rPr>
        <w:t xml:space="preserve"> </w:t>
      </w:r>
      <w:r w:rsidR="00BC0223">
        <w:rPr>
          <w:rFonts w:eastAsia="宋体"/>
          <w:lang w:eastAsia="zh-CN"/>
        </w:rPr>
        <w:t xml:space="preserve">  </w:t>
      </w:r>
    </w:p>
    <w:p w:rsidR="005F46DA" w:rsidRDefault="005F46DA" w:rsidP="00693C74"/>
    <w:p w:rsidR="002B4256" w:rsidRDefault="002B4256" w:rsidP="00BA7C9E">
      <w:pPr>
        <w:pStyle w:val="1"/>
        <w:rPr>
          <w:lang w:eastAsia="ja-JP"/>
        </w:rPr>
      </w:pPr>
      <w:r>
        <w:rPr>
          <w:lang w:eastAsia="ja-JP"/>
        </w:rPr>
        <w:t>SS Block Composition</w:t>
      </w:r>
    </w:p>
    <w:p w:rsidR="002B4256" w:rsidRDefault="002B4256" w:rsidP="002B4256"/>
    <w:p w:rsidR="00716AFC" w:rsidRPr="00716AFC" w:rsidRDefault="005F60CD" w:rsidP="00716AFC">
      <w:pPr>
        <w:rPr>
          <w:rFonts w:hint="eastAsia"/>
        </w:rPr>
      </w:pPr>
      <w:r>
        <w:t xml:space="preserve">The working assumption of NR-PBCH transmitting on every SS block was confirmed in RAN1#89. </w:t>
      </w:r>
      <w:r w:rsidR="00716AFC">
        <w:t xml:space="preserve">  Four </w:t>
      </w:r>
      <w:proofErr w:type="spellStart"/>
      <w:r w:rsidR="00716AFC">
        <w:t>opitions</w:t>
      </w:r>
      <w:proofErr w:type="spellEnd"/>
      <w:r w:rsidR="00716AFC">
        <w:t xml:space="preserve"> of SS-block composition below for </w:t>
      </w:r>
      <w:r w:rsidR="00716AFC">
        <w:rPr>
          <w:rFonts w:hint="eastAsia"/>
          <w:lang w:val="en-US"/>
        </w:rPr>
        <w:t xml:space="preserve">number of PBCH symbols </w:t>
      </w:r>
      <w:r w:rsidR="00716AFC">
        <w:rPr>
          <w:lang w:val="en-US"/>
        </w:rPr>
        <w:t>being</w:t>
      </w:r>
      <w:r w:rsidR="00716AFC">
        <w:rPr>
          <w:rFonts w:hint="eastAsia"/>
          <w:lang w:val="en-US"/>
        </w:rPr>
        <w:t xml:space="preserve"> two </w:t>
      </w:r>
      <w:r w:rsidR="00716AFC">
        <w:rPr>
          <w:lang w:val="en-US"/>
        </w:rPr>
        <w:t xml:space="preserve">symbols are shown in </w:t>
      </w:r>
      <w:r w:rsidR="00716AFC">
        <w:rPr>
          <w:lang w:val="en-US"/>
        </w:rPr>
        <w:fldChar w:fldCharType="begin"/>
      </w:r>
      <w:r w:rsidR="00716AFC">
        <w:rPr>
          <w:lang w:val="en-US"/>
        </w:rPr>
        <w:instrText xml:space="preserve"> REF _Ref485143670 \h </w:instrText>
      </w:r>
      <w:r w:rsidR="00716AFC">
        <w:rPr>
          <w:lang w:val="en-US"/>
        </w:rPr>
      </w:r>
      <w:r w:rsidR="00716AFC">
        <w:rPr>
          <w:lang w:val="en-US"/>
        </w:rPr>
        <w:fldChar w:fldCharType="separate"/>
      </w:r>
      <w:r w:rsidR="00716AFC">
        <w:t xml:space="preserve">Figure </w:t>
      </w:r>
      <w:r w:rsidR="00716AFC">
        <w:rPr>
          <w:noProof/>
        </w:rPr>
        <w:t>1</w:t>
      </w:r>
      <w:r w:rsidR="00716AFC">
        <w:rPr>
          <w:lang w:val="en-US"/>
        </w:rPr>
        <w:fldChar w:fldCharType="end"/>
      </w:r>
      <w:r w:rsidR="00716AFC">
        <w:rPr>
          <w:lang w:val="en-US"/>
        </w:rPr>
        <w:t>.</w:t>
      </w:r>
    </w:p>
    <w:p w:rsidR="002B4256" w:rsidRPr="00716AFC" w:rsidRDefault="002B4256" w:rsidP="00716AFC">
      <w:pPr>
        <w:rPr>
          <w:lang w:val="en-US"/>
        </w:rPr>
      </w:pPr>
    </w:p>
    <w:p w:rsidR="00F30DF0" w:rsidRDefault="002B4256" w:rsidP="00F30DF0">
      <w:pPr>
        <w:pStyle w:val="af"/>
        <w:keepNext/>
        <w:jc w:val="center"/>
      </w:pPr>
      <w:r>
        <w:object w:dxaOrig="8419" w:dyaOrig="2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pt;height:127.35pt" o:ole="">
            <v:imagedata r:id="rId8" o:title=""/>
          </v:shape>
          <o:OLEObject Type="Embed" ProgID="Visio.Drawing.11" ShapeID="_x0000_i1025" DrawAspect="Content" ObjectID="_1558909061" r:id="rId9"/>
        </w:object>
      </w:r>
    </w:p>
    <w:p w:rsidR="00F30DF0" w:rsidRDefault="00F30DF0" w:rsidP="00F30DF0">
      <w:pPr>
        <w:pStyle w:val="af9"/>
      </w:pPr>
    </w:p>
    <w:p w:rsidR="00F30DF0" w:rsidRPr="00F30DF0" w:rsidRDefault="00F30DF0" w:rsidP="00F30DF0">
      <w:pPr>
        <w:pStyle w:val="af"/>
        <w:jc w:val="center"/>
        <w:rPr>
          <w:rFonts w:eastAsiaTheme="minorEastAsia"/>
          <w:sz w:val="16"/>
          <w:szCs w:val="16"/>
          <w:lang w:eastAsia="zh-CN"/>
        </w:rPr>
      </w:pPr>
      <w:r w:rsidRPr="00780A8C">
        <w:rPr>
          <w:rFonts w:eastAsiaTheme="minorEastAsia" w:hint="eastAsia"/>
          <w:sz w:val="16"/>
          <w:szCs w:val="16"/>
          <w:lang w:eastAsia="zh-CN"/>
        </w:rPr>
        <w:t>(a)</w:t>
      </w:r>
      <w:r>
        <w:rPr>
          <w:rFonts w:eastAsiaTheme="minorEastAsia" w:hint="eastAsia"/>
          <w:sz w:val="16"/>
          <w:szCs w:val="16"/>
          <w:lang w:eastAsia="zh-CN"/>
        </w:rPr>
        <w:t xml:space="preserve"> </w:t>
      </w:r>
      <w:r w:rsidRPr="00780A8C">
        <w:rPr>
          <w:rFonts w:eastAsiaTheme="minorEastAsia" w:hint="eastAsia"/>
          <w:sz w:val="16"/>
          <w:szCs w:val="16"/>
          <w:lang w:eastAsia="zh-CN"/>
        </w:rPr>
        <w:t>PSS-SSS-PBCH-PBCH</w:t>
      </w:r>
      <w:r>
        <w:rPr>
          <w:rFonts w:eastAsiaTheme="minorEastAsia" w:hint="eastAsia"/>
          <w:sz w:val="16"/>
          <w:szCs w:val="16"/>
          <w:lang w:eastAsia="zh-CN"/>
        </w:rPr>
        <w:t xml:space="preserve">                  </w:t>
      </w:r>
      <w:r w:rsidRPr="00780A8C">
        <w:rPr>
          <w:rFonts w:eastAsiaTheme="minorEastAsia" w:hint="eastAsia"/>
          <w:sz w:val="16"/>
          <w:szCs w:val="16"/>
          <w:lang w:eastAsia="zh-CN"/>
        </w:rPr>
        <w:t>(b)</w:t>
      </w:r>
      <w:r>
        <w:rPr>
          <w:rFonts w:eastAsiaTheme="minorEastAsia" w:hint="eastAsia"/>
          <w:sz w:val="16"/>
          <w:szCs w:val="16"/>
          <w:lang w:eastAsia="zh-CN"/>
        </w:rPr>
        <w:t xml:space="preserve"> </w:t>
      </w:r>
      <w:r w:rsidRPr="00780A8C">
        <w:rPr>
          <w:rFonts w:eastAsiaTheme="minorEastAsia" w:hint="eastAsia"/>
          <w:sz w:val="16"/>
          <w:szCs w:val="16"/>
          <w:lang w:eastAsia="zh-CN"/>
        </w:rPr>
        <w:t>PSS-PBCH-SSS-PBCH</w:t>
      </w:r>
      <w:r>
        <w:rPr>
          <w:rFonts w:eastAsiaTheme="minorEastAsia" w:hint="eastAsia"/>
          <w:sz w:val="16"/>
          <w:szCs w:val="16"/>
          <w:lang w:eastAsia="zh-CN"/>
        </w:rPr>
        <w:t xml:space="preserve">        </w:t>
      </w:r>
      <w:r w:rsidRPr="00780A8C">
        <w:rPr>
          <w:rFonts w:eastAsiaTheme="minorEastAsia" w:hint="eastAsia"/>
          <w:sz w:val="16"/>
          <w:szCs w:val="16"/>
          <w:lang w:eastAsia="zh-CN"/>
        </w:rPr>
        <w:t>(c)</w:t>
      </w:r>
      <w:r>
        <w:rPr>
          <w:rFonts w:eastAsiaTheme="minorEastAsia" w:hint="eastAsia"/>
          <w:sz w:val="16"/>
          <w:szCs w:val="16"/>
          <w:lang w:eastAsia="zh-CN"/>
        </w:rPr>
        <w:t xml:space="preserve"> </w:t>
      </w:r>
      <w:r w:rsidRPr="00780A8C">
        <w:rPr>
          <w:rFonts w:eastAsiaTheme="minorEastAsia" w:hint="eastAsia"/>
          <w:sz w:val="16"/>
          <w:szCs w:val="16"/>
          <w:lang w:eastAsia="zh-CN"/>
        </w:rPr>
        <w:t>PBCH-PSS-SSS-PBCH</w:t>
      </w:r>
      <w:r>
        <w:rPr>
          <w:rFonts w:eastAsiaTheme="minorEastAsia" w:hint="eastAsia"/>
          <w:sz w:val="16"/>
          <w:szCs w:val="16"/>
          <w:lang w:eastAsia="zh-CN"/>
        </w:rPr>
        <w:t xml:space="preserve">        </w:t>
      </w:r>
      <w:r w:rsidRPr="00780A8C">
        <w:rPr>
          <w:rFonts w:eastAsiaTheme="minorEastAsia" w:hint="eastAsia"/>
          <w:sz w:val="16"/>
          <w:szCs w:val="16"/>
          <w:lang w:eastAsia="zh-CN"/>
        </w:rPr>
        <w:t>(d)</w:t>
      </w:r>
      <w:r>
        <w:rPr>
          <w:rFonts w:eastAsiaTheme="minorEastAsia" w:hint="eastAsia"/>
          <w:sz w:val="16"/>
          <w:szCs w:val="16"/>
          <w:lang w:eastAsia="zh-CN"/>
        </w:rPr>
        <w:t xml:space="preserve"> </w:t>
      </w:r>
      <w:r w:rsidRPr="00780A8C">
        <w:rPr>
          <w:rFonts w:eastAsiaTheme="minorEastAsia" w:hint="eastAsia"/>
          <w:sz w:val="16"/>
          <w:szCs w:val="16"/>
          <w:lang w:eastAsia="zh-CN"/>
        </w:rPr>
        <w:t>PSS-PBCH-PBCH-SSS</w:t>
      </w:r>
    </w:p>
    <w:p w:rsidR="002B4256" w:rsidRDefault="00F30DF0" w:rsidP="00F30DF0">
      <w:pPr>
        <w:pStyle w:val="af9"/>
        <w:rPr>
          <w:rFonts w:eastAsiaTheme="minorEastAsia"/>
          <w:lang w:eastAsia="zh-CN"/>
        </w:rPr>
      </w:pPr>
      <w:bookmarkStart w:id="0" w:name="_Ref485143670"/>
      <w:r>
        <w:t xml:space="preserve">Figure </w:t>
      </w:r>
      <w:fldSimple w:instr=" SEQ Figure \* ARABIC ">
        <w:r w:rsidR="00546C8C">
          <w:t>1</w:t>
        </w:r>
      </w:fldSimple>
      <w:bookmarkEnd w:id="0"/>
      <w:r>
        <w:t>: Candidates of SS Block composition</w:t>
      </w:r>
    </w:p>
    <w:p w:rsidR="00716AFC" w:rsidRDefault="00716AFC" w:rsidP="00716AFC">
      <w:pPr>
        <w:numPr>
          <w:ilvl w:val="0"/>
          <w:numId w:val="20"/>
        </w:numPr>
        <w:spacing w:after="0"/>
        <w:rPr>
          <w:lang w:val="en-US"/>
        </w:rPr>
      </w:pPr>
      <w:r>
        <w:rPr>
          <w:rFonts w:hint="eastAsia"/>
          <w:lang w:val="en-US"/>
        </w:rPr>
        <w:t xml:space="preserve">Option 1: </w:t>
      </w:r>
      <w:r w:rsidRPr="00A71A50">
        <w:rPr>
          <w:lang w:val="en-US"/>
        </w:rPr>
        <w:t>The mapping order of</w:t>
      </w:r>
      <w:r>
        <w:rPr>
          <w:lang w:val="en-US"/>
        </w:rPr>
        <w:t xml:space="preserve"> SS blocks is PSS-SSS-PBCH-PBCH – The</w:t>
      </w:r>
      <w:r w:rsidR="00272C58">
        <w:rPr>
          <w:lang w:val="en-US"/>
        </w:rPr>
        <w:t xml:space="preserve">re is no distinct advantage in putting </w:t>
      </w:r>
      <w:r>
        <w:rPr>
          <w:lang w:val="en-US"/>
        </w:rPr>
        <w:t>PSS/SSS</w:t>
      </w:r>
      <w:r w:rsidR="00272C58">
        <w:rPr>
          <w:lang w:val="en-US"/>
        </w:rPr>
        <w:t xml:space="preserve"> </w:t>
      </w:r>
      <w:r w:rsidR="00823508">
        <w:rPr>
          <w:lang w:val="en-US"/>
        </w:rPr>
        <w:t>back-to-back before</w:t>
      </w:r>
      <w:r w:rsidR="00272C58">
        <w:rPr>
          <w:lang w:val="en-US"/>
        </w:rPr>
        <w:t xml:space="preserve"> two-symbol PBCH.   For SSS before two PBCH, the channel tracking and channel estimation from SSS could be used to assist channel estimation of PBCH.</w:t>
      </w:r>
    </w:p>
    <w:p w:rsidR="00716AFC" w:rsidRDefault="00716AFC" w:rsidP="00716AFC">
      <w:pPr>
        <w:spacing w:after="0"/>
        <w:ind w:left="720"/>
        <w:rPr>
          <w:rFonts w:hint="eastAsia"/>
          <w:lang w:val="en-US"/>
        </w:rPr>
      </w:pPr>
    </w:p>
    <w:p w:rsidR="00716AFC" w:rsidRDefault="00716AFC" w:rsidP="00716AFC">
      <w:pPr>
        <w:numPr>
          <w:ilvl w:val="0"/>
          <w:numId w:val="20"/>
        </w:numPr>
        <w:spacing w:after="0"/>
        <w:rPr>
          <w:lang w:val="en-US"/>
        </w:rPr>
      </w:pPr>
      <w:r>
        <w:rPr>
          <w:rFonts w:hint="eastAsia"/>
          <w:lang w:val="en-US"/>
        </w:rPr>
        <w:t xml:space="preserve">Option 2: </w:t>
      </w:r>
      <w:r w:rsidRPr="00A71A50">
        <w:rPr>
          <w:lang w:val="en-US"/>
        </w:rPr>
        <w:t>The mapping order of</w:t>
      </w:r>
      <w:r>
        <w:rPr>
          <w:lang w:val="en-US"/>
        </w:rPr>
        <w:t xml:space="preserve"> SS blocks is PSS-PBCH-SSS-PBCH –</w:t>
      </w:r>
      <w:r w:rsidR="00823508">
        <w:rPr>
          <w:lang w:val="en-US"/>
        </w:rPr>
        <w:t xml:space="preserve"> The advantage of option 2 is to have one symbol apart between PSS and SSS for better channel tracking, in particular frequency offset estimation.   The design of SSS located between two symbols of PBCH is to use SSS channel estimation output for the demodulation of PBCH.   Since PBCH occupies twice the BW of PSS/PSS, the channel estimation results from SSS could only assist the channel estimation for the overlapped frequency part of PBCH but not other area.  The channel estimation from the self contained DMRS of PBCH would be the primary channel estimation for demodulation with some assistan</w:t>
      </w:r>
      <w:r w:rsidR="002D4B4F">
        <w:rPr>
          <w:lang w:val="en-US"/>
        </w:rPr>
        <w:t xml:space="preserve">ce from the channel estimation </w:t>
      </w:r>
      <w:r w:rsidR="00823508">
        <w:rPr>
          <w:lang w:val="en-US"/>
        </w:rPr>
        <w:t xml:space="preserve">results from SSS.   </w:t>
      </w:r>
    </w:p>
    <w:p w:rsidR="00716AFC" w:rsidRDefault="00716AFC" w:rsidP="008775F7">
      <w:pPr>
        <w:spacing w:after="0"/>
        <w:rPr>
          <w:rFonts w:hint="eastAsia"/>
          <w:lang w:val="en-US"/>
        </w:rPr>
      </w:pPr>
    </w:p>
    <w:p w:rsidR="00716AFC" w:rsidRDefault="00716AFC" w:rsidP="00716AFC">
      <w:pPr>
        <w:numPr>
          <w:ilvl w:val="0"/>
          <w:numId w:val="20"/>
        </w:numPr>
        <w:spacing w:after="0"/>
        <w:rPr>
          <w:lang w:val="en-US"/>
        </w:rPr>
      </w:pPr>
      <w:r>
        <w:rPr>
          <w:rFonts w:hint="eastAsia"/>
          <w:lang w:val="en-US"/>
        </w:rPr>
        <w:t xml:space="preserve">Option 3: </w:t>
      </w:r>
      <w:r w:rsidRPr="0023184F">
        <w:rPr>
          <w:lang w:val="en-US"/>
        </w:rPr>
        <w:t xml:space="preserve">The mapping order of </w:t>
      </w:r>
      <w:r>
        <w:rPr>
          <w:lang w:val="en-US"/>
        </w:rPr>
        <w:t>SS blocks is PBCH- PSS-SSS-PBCH –</w:t>
      </w:r>
      <w:r w:rsidR="002D4B4F">
        <w:rPr>
          <w:lang w:val="en-US"/>
        </w:rPr>
        <w:t xml:space="preserve"> The design of PBCH </w:t>
      </w:r>
      <w:r w:rsidR="008A5A00">
        <w:rPr>
          <w:lang w:val="en-US"/>
        </w:rPr>
        <w:t xml:space="preserve">at both ends of SS block with PSS/SSS symbols in the middle intends to use DMRS of PBCH for channel tracking.   </w:t>
      </w:r>
      <w:r w:rsidR="008775F7">
        <w:rPr>
          <w:lang w:val="en-US"/>
        </w:rPr>
        <w:t>However, the channel tracking would firstly be used f</w:t>
      </w:r>
      <w:r w:rsidR="00672B47">
        <w:rPr>
          <w:lang w:val="en-US"/>
        </w:rPr>
        <w:t xml:space="preserve">or coherent demodulation of </w:t>
      </w:r>
      <w:r w:rsidR="008775F7">
        <w:rPr>
          <w:lang w:val="en-US"/>
        </w:rPr>
        <w:t xml:space="preserve">PBCH.   If DMRS of PBCH is used for the channel tracking, the demodulation of PBCH will be delayed.   </w:t>
      </w:r>
    </w:p>
    <w:p w:rsidR="00716AFC" w:rsidRDefault="00716AFC" w:rsidP="00716AFC">
      <w:pPr>
        <w:spacing w:after="0"/>
        <w:ind w:left="720"/>
        <w:rPr>
          <w:rFonts w:hint="eastAsia"/>
          <w:lang w:val="en-US"/>
        </w:rPr>
      </w:pPr>
    </w:p>
    <w:p w:rsidR="00716AFC" w:rsidRDefault="00716AFC" w:rsidP="00716AFC">
      <w:pPr>
        <w:numPr>
          <w:ilvl w:val="0"/>
          <w:numId w:val="20"/>
        </w:numPr>
        <w:spacing w:after="0"/>
        <w:rPr>
          <w:lang w:val="en-US"/>
        </w:rPr>
      </w:pPr>
      <w:r>
        <w:rPr>
          <w:rFonts w:hint="eastAsia"/>
          <w:lang w:val="en-US"/>
        </w:rPr>
        <w:lastRenderedPageBreak/>
        <w:t xml:space="preserve">Option 4: </w:t>
      </w:r>
      <w:r w:rsidRPr="00A71A50">
        <w:rPr>
          <w:lang w:val="en-US"/>
        </w:rPr>
        <w:t>The mapping order of</w:t>
      </w:r>
      <w:r>
        <w:rPr>
          <w:lang w:val="en-US"/>
        </w:rPr>
        <w:t xml:space="preserve"> SS blocks is PSS-PBCH-PBCH</w:t>
      </w:r>
      <w:r>
        <w:rPr>
          <w:rFonts w:hint="eastAsia"/>
          <w:lang w:val="en-US"/>
        </w:rPr>
        <w:t>-SSS</w:t>
      </w:r>
      <w:r>
        <w:rPr>
          <w:lang w:val="en-US"/>
        </w:rPr>
        <w:t xml:space="preserve"> </w:t>
      </w:r>
      <w:r w:rsidR="008775F7">
        <w:rPr>
          <w:lang w:val="en-US"/>
        </w:rPr>
        <w:t>–</w:t>
      </w:r>
      <w:r>
        <w:rPr>
          <w:lang w:val="en-US"/>
        </w:rPr>
        <w:t xml:space="preserve"> </w:t>
      </w:r>
      <w:r w:rsidR="008775F7">
        <w:rPr>
          <w:lang w:val="en-US"/>
        </w:rPr>
        <w:t xml:space="preserve">The advantage of PSS and SSS at both ends of SS block is to use both PSS and SSS for channel tracking, in particular frequency offset estimation.   </w:t>
      </w:r>
      <w:r w:rsidR="006B3A57">
        <w:rPr>
          <w:lang w:val="en-US"/>
        </w:rPr>
        <w:t xml:space="preserve">UE will detect PSS and SSS first to determine the camping cell.   UE will select the camping cell and use its PSS and SSS as DL reference timing </w:t>
      </w:r>
      <w:r w:rsidR="00B70B15">
        <w:rPr>
          <w:lang w:val="en-US"/>
        </w:rPr>
        <w:t>for t</w:t>
      </w:r>
      <w:r w:rsidR="00672B47">
        <w:rPr>
          <w:lang w:val="en-US"/>
        </w:rPr>
        <w:t xml:space="preserve">he initial access to NR system, which includes demodulation of PBCH.   UE will use the frequency and timing offset estimation results from PSS/SSS to compensate the frequency and timing errors of PBCH DMRS before channel estimation.  It is shown in </w:t>
      </w:r>
      <w:r w:rsidR="00672B47">
        <w:rPr>
          <w:lang w:val="en-US"/>
        </w:rPr>
        <w:fldChar w:fldCharType="begin"/>
      </w:r>
      <w:r w:rsidR="00672B47">
        <w:rPr>
          <w:lang w:val="en-US"/>
        </w:rPr>
        <w:instrText xml:space="preserve"> REF _Ref485157713 \r \h </w:instrText>
      </w:r>
      <w:r w:rsidR="00672B47">
        <w:rPr>
          <w:lang w:val="en-US"/>
        </w:rPr>
      </w:r>
      <w:r w:rsidR="00672B47">
        <w:rPr>
          <w:lang w:val="en-US"/>
        </w:rPr>
        <w:fldChar w:fldCharType="separate"/>
      </w:r>
      <w:r w:rsidR="00672B47">
        <w:rPr>
          <w:lang w:val="en-US"/>
        </w:rPr>
        <w:t>[5]</w:t>
      </w:r>
      <w:r w:rsidR="00672B47">
        <w:rPr>
          <w:lang w:val="en-US"/>
        </w:rPr>
        <w:fldChar w:fldCharType="end"/>
      </w:r>
      <w:r w:rsidR="00672B47">
        <w:rPr>
          <w:lang w:val="en-US"/>
        </w:rPr>
        <w:t xml:space="preserve"> that PSS/SSS at both ends in option 4 had best frequency offset estimation performance comparing to options 1, 2, and 3. </w:t>
      </w:r>
    </w:p>
    <w:p w:rsidR="00716AFC" w:rsidRDefault="00716AFC" w:rsidP="00716AFC">
      <w:pPr>
        <w:pStyle w:val="afa"/>
      </w:pPr>
    </w:p>
    <w:p w:rsidR="00672B47" w:rsidRPr="00174CE3" w:rsidRDefault="00672B47" w:rsidP="00672B47">
      <w:pPr>
        <w:rPr>
          <w:rFonts w:eastAsia="Malgun Gothic" w:cs="Batang"/>
          <w:b/>
          <w:lang w:eastAsia="ko-KR"/>
        </w:rPr>
      </w:pPr>
      <w:r>
        <w:rPr>
          <w:b/>
        </w:rPr>
        <w:t xml:space="preserve">Proposal 1:  </w:t>
      </w:r>
      <w:r>
        <w:rPr>
          <w:rFonts w:eastAsia="Malgun Gothic" w:cs="Batang"/>
          <w:b/>
          <w:lang w:eastAsia="ko-KR"/>
        </w:rPr>
        <w:t>The SS block should support the mapping order of PSS-PBCH-PBCH-</w:t>
      </w:r>
      <w:proofErr w:type="gramStart"/>
      <w:r>
        <w:rPr>
          <w:rFonts w:eastAsia="Malgun Gothic" w:cs="Batang"/>
          <w:b/>
          <w:lang w:eastAsia="ko-KR"/>
        </w:rPr>
        <w:t>SSS  in</w:t>
      </w:r>
      <w:proofErr w:type="gramEnd"/>
      <w:r>
        <w:rPr>
          <w:rFonts w:eastAsia="Malgun Gothic" w:cs="Batang"/>
          <w:b/>
          <w:lang w:eastAsia="ko-KR"/>
        </w:rPr>
        <w:t xml:space="preserve"> time for better channel tracking and coherent demodulation of PBCH.   </w:t>
      </w:r>
    </w:p>
    <w:p w:rsidR="00716AFC" w:rsidRPr="00672B47" w:rsidRDefault="00716AFC" w:rsidP="00716AFC">
      <w:pPr>
        <w:spacing w:after="0"/>
        <w:rPr>
          <w:rFonts w:hint="eastAsia"/>
        </w:rPr>
      </w:pPr>
    </w:p>
    <w:p w:rsidR="002B4256" w:rsidRPr="002B4256" w:rsidRDefault="002B4256" w:rsidP="002B4256"/>
    <w:p w:rsidR="00693C74" w:rsidRDefault="00214C15" w:rsidP="00BA7C9E">
      <w:pPr>
        <w:pStyle w:val="1"/>
        <w:rPr>
          <w:lang w:eastAsia="ja-JP"/>
        </w:rPr>
      </w:pPr>
      <w:r>
        <w:rPr>
          <w:lang w:eastAsia="ja-JP"/>
        </w:rPr>
        <w:t>SS Burst Set and SS-block Indication</w:t>
      </w:r>
    </w:p>
    <w:p w:rsidR="001C592C" w:rsidRDefault="001C592C" w:rsidP="007E7857">
      <w:pPr>
        <w:pStyle w:val="maintext"/>
        <w:spacing w:before="0" w:after="0" w:line="240" w:lineRule="auto"/>
        <w:ind w:firstLineChars="0" w:firstLine="0"/>
      </w:pPr>
    </w:p>
    <w:p w:rsidR="00214C15" w:rsidRDefault="00672B47" w:rsidP="00214C15">
      <w:pPr>
        <w:pStyle w:val="maintext"/>
        <w:spacing w:before="0" w:after="0" w:line="240" w:lineRule="auto"/>
        <w:ind w:firstLineChars="0" w:firstLine="0"/>
      </w:pPr>
      <w:r>
        <w:t>It was agreed</w:t>
      </w:r>
      <w:r w:rsidR="00825984">
        <w:t xml:space="preserve"> in RAN1#89</w:t>
      </w:r>
      <w:r>
        <w:t xml:space="preserve"> that SS block time location would be fixed in the specification. </w:t>
      </w:r>
      <w:r w:rsidR="00043D48">
        <w:t xml:space="preserve"> The SS block time locations for multi-beam configuration would be located at 5 ms window within 20 ms duty cycle. </w:t>
      </w:r>
      <w:r>
        <w:t xml:space="preserve"> </w:t>
      </w:r>
      <w:r w:rsidR="00825984">
        <w:t xml:space="preserve"> The SS block allocation was designed to support self contained structure based on 14-symbol slot structure.  </w:t>
      </w:r>
      <w:r>
        <w:t xml:space="preserve"> </w:t>
      </w:r>
      <w:r w:rsidR="00043D48">
        <w:fldChar w:fldCharType="begin"/>
      </w:r>
      <w:r w:rsidR="00043D48">
        <w:instrText xml:space="preserve"> REF _Ref485158859 \h </w:instrText>
      </w:r>
      <w:r w:rsidR="00043D48">
        <w:fldChar w:fldCharType="separate"/>
      </w:r>
      <w:r w:rsidR="00043D48">
        <w:t xml:space="preserve">Figure </w:t>
      </w:r>
      <w:r w:rsidR="00043D48">
        <w:rPr>
          <w:noProof/>
        </w:rPr>
        <w:t>2</w:t>
      </w:r>
      <w:r w:rsidR="00043D48">
        <w:fldChar w:fldCharType="end"/>
      </w:r>
      <w:r w:rsidR="00043D48">
        <w:t xml:space="preserve"> shows an example of SS block time location within a 14-symbol slot.   First two symbols of slot are reserved for the CORESET resource allocation for DL/UL scheduling grant.  </w:t>
      </w:r>
      <w:r w:rsidR="00C73CC1">
        <w:t xml:space="preserve"> Two symbols in the end of slot are reserved for GP/UL to support self-contained structure.  </w:t>
      </w:r>
    </w:p>
    <w:p w:rsidR="00C73CC1" w:rsidRDefault="00C73CC1" w:rsidP="00214C15">
      <w:pPr>
        <w:pStyle w:val="maintext"/>
        <w:spacing w:before="0" w:after="0" w:line="240" w:lineRule="auto"/>
        <w:ind w:firstLineChars="0" w:firstLine="0"/>
      </w:pPr>
      <w:r>
        <w:t>The two SS blocks are proposed to be located at 3</w:t>
      </w:r>
      <w:r>
        <w:rPr>
          <w:vertAlign w:val="superscript"/>
        </w:rPr>
        <w:t xml:space="preserve">rd </w:t>
      </w:r>
      <w:r>
        <w:t>-6</w:t>
      </w:r>
      <w:r w:rsidRPr="00C73CC1">
        <w:rPr>
          <w:vertAlign w:val="superscript"/>
        </w:rPr>
        <w:t>th</w:t>
      </w:r>
      <w:r>
        <w:t xml:space="preserve"> symbols and 7</w:t>
      </w:r>
      <w:r w:rsidRPr="00C73CC1">
        <w:rPr>
          <w:vertAlign w:val="superscript"/>
        </w:rPr>
        <w:t>th</w:t>
      </w:r>
      <w:r>
        <w:t xml:space="preserve"> – 10</w:t>
      </w:r>
      <w:r w:rsidRPr="00C73CC1">
        <w:rPr>
          <w:vertAlign w:val="superscript"/>
        </w:rPr>
        <w:t>th</w:t>
      </w:r>
      <w:r>
        <w:t xml:space="preserve"> symbols back-to-back in 14</w:t>
      </w:r>
      <w:r w:rsidR="00287A63">
        <w:t>-symbol slot structure to have full flexibility of DL/GP/UL configuration at the last 4 symbols.   For DL heavy configuration, the 11</w:t>
      </w:r>
      <w:r w:rsidR="00287A63" w:rsidRPr="00287A63">
        <w:rPr>
          <w:vertAlign w:val="superscript"/>
        </w:rPr>
        <w:t>th</w:t>
      </w:r>
      <w:r w:rsidR="00287A63">
        <w:t xml:space="preserve"> and 12</w:t>
      </w:r>
      <w:r w:rsidR="00287A63" w:rsidRPr="00287A63">
        <w:rPr>
          <w:vertAlign w:val="superscript"/>
        </w:rPr>
        <w:t>th</w:t>
      </w:r>
      <w:r w:rsidR="00287A63">
        <w:t xml:space="preserve"> symbols would be configured as DL parts with 13</w:t>
      </w:r>
      <w:r w:rsidR="00287A63" w:rsidRPr="00287A63">
        <w:rPr>
          <w:vertAlign w:val="superscript"/>
        </w:rPr>
        <w:t>th</w:t>
      </w:r>
      <w:r w:rsidR="00287A63">
        <w:t xml:space="preserve"> symbol as GP and UL part at 14</w:t>
      </w:r>
      <w:r w:rsidR="00287A63" w:rsidRPr="00287A63">
        <w:rPr>
          <w:vertAlign w:val="superscript"/>
        </w:rPr>
        <w:t>th</w:t>
      </w:r>
      <w:r w:rsidR="00287A63">
        <w:t xml:space="preserve"> symbol as shown in </w:t>
      </w:r>
      <w:r w:rsidR="00287A63">
        <w:fldChar w:fldCharType="begin"/>
      </w:r>
      <w:r w:rsidR="00287A63">
        <w:instrText xml:space="preserve"> REF _Ref485158859 \h </w:instrText>
      </w:r>
      <w:r w:rsidR="00287A63">
        <w:fldChar w:fldCharType="separate"/>
      </w:r>
      <w:r w:rsidR="00287A63">
        <w:t xml:space="preserve">Figure </w:t>
      </w:r>
      <w:r w:rsidR="00287A63">
        <w:rPr>
          <w:noProof/>
        </w:rPr>
        <w:t>2</w:t>
      </w:r>
      <w:r w:rsidR="00287A63">
        <w:fldChar w:fldCharType="end"/>
      </w:r>
      <w:r w:rsidR="00287A63">
        <w:t xml:space="preserve">.   </w:t>
      </w:r>
      <w:r w:rsidR="00546C8C">
        <w:t xml:space="preserve">  The DL/UL balance or UL heavy self contained slot configuration is shown in </w:t>
      </w:r>
      <w:r w:rsidR="00546C8C">
        <w:fldChar w:fldCharType="begin"/>
      </w:r>
      <w:r w:rsidR="00546C8C">
        <w:instrText xml:space="preserve"> REF _Ref485162938 \h </w:instrText>
      </w:r>
      <w:r w:rsidR="00546C8C">
        <w:fldChar w:fldCharType="separate"/>
      </w:r>
      <w:r w:rsidR="00546C8C">
        <w:t xml:space="preserve">Figure </w:t>
      </w:r>
      <w:r w:rsidR="00546C8C">
        <w:rPr>
          <w:noProof/>
        </w:rPr>
        <w:t>3</w:t>
      </w:r>
      <w:r w:rsidR="00546C8C">
        <w:fldChar w:fldCharType="end"/>
      </w:r>
      <w:r w:rsidR="00546C8C">
        <w:t>, which the 1</w:t>
      </w:r>
      <w:r w:rsidR="00546C8C" w:rsidRPr="00546C8C">
        <w:rPr>
          <w:vertAlign w:val="superscript"/>
        </w:rPr>
        <w:t>st</w:t>
      </w:r>
      <w:r w:rsidR="00546C8C">
        <w:t xml:space="preserve"> slot contains DL-GP-UL-UL symbols and the 2</w:t>
      </w:r>
      <w:r w:rsidR="00546C8C" w:rsidRPr="00546C8C">
        <w:rPr>
          <w:vertAlign w:val="superscript"/>
        </w:rPr>
        <w:t>nd</w:t>
      </w:r>
      <w:r w:rsidR="00546C8C">
        <w:t xml:space="preserve"> slot contains GP-UL-UL-UL symbols</w:t>
      </w:r>
      <w:r w:rsidR="00546C8C" w:rsidRPr="00546C8C">
        <w:t xml:space="preserve"> </w:t>
      </w:r>
      <w:r w:rsidR="00546C8C">
        <w:t xml:space="preserve">for the remaining 4 symbols.  </w:t>
      </w:r>
    </w:p>
    <w:p w:rsidR="00C33BFB" w:rsidRDefault="00C33BFB" w:rsidP="007E7857">
      <w:pPr>
        <w:pStyle w:val="maintext"/>
        <w:spacing w:before="0" w:after="0" w:line="240" w:lineRule="auto"/>
        <w:ind w:firstLineChars="0" w:firstLine="0"/>
      </w:pPr>
    </w:p>
    <w:p w:rsidR="004D7A52" w:rsidRDefault="00C25A84" w:rsidP="00825984">
      <w:r>
        <w:t xml:space="preserve"> </w:t>
      </w:r>
    </w:p>
    <w:p w:rsidR="00825984" w:rsidRDefault="00C73CC1" w:rsidP="00825984">
      <w:pPr>
        <w:keepNext/>
        <w:jc w:val="center"/>
      </w:pPr>
      <w:r w:rsidRPr="00C73CC1">
        <w:drawing>
          <wp:inline distT="0" distB="0" distL="0" distR="0">
            <wp:extent cx="4320480" cy="1029128"/>
            <wp:effectExtent l="0" t="0" r="387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20480" cy="1029128"/>
                      <a:chOff x="899592" y="2852935"/>
                      <a:chExt cx="4320480" cy="1029128"/>
                    </a:xfrm>
                  </a:grpSpPr>
                  <a:grpSp>
                    <a:nvGrpSpPr>
                      <a:cNvPr id="3" name="组合 2"/>
                      <a:cNvGrpSpPr/>
                    </a:nvGrpSpPr>
                    <a:grpSpPr>
                      <a:xfrm>
                        <a:off x="899592" y="2852935"/>
                        <a:ext cx="4320480" cy="1029128"/>
                        <a:chOff x="755576" y="3284984"/>
                        <a:chExt cx="6048672" cy="1491828"/>
                      </a:xfrm>
                    </a:grpSpPr>
                    <a:sp>
                      <a:nvSpPr>
                        <a:cNvPr id="4" name="矩形 3"/>
                        <a:cNvSpPr/>
                      </a:nvSpPr>
                      <a:spPr>
                        <a:xfrm>
                          <a:off x="755576"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control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971600"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control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1187624"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SS-Block</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 name="组合 448"/>
                        <a:cNvGrpSpPr/>
                      </a:nvGrpSpPr>
                      <a:grpSpPr>
                        <a:xfrm>
                          <a:off x="3347864" y="3284984"/>
                          <a:ext cx="432048" cy="1008112"/>
                          <a:chOff x="2555776" y="2636912"/>
                          <a:chExt cx="432048" cy="1008112"/>
                        </a:xfrm>
                      </a:grpSpPr>
                      <a:sp>
                        <a:nvSpPr>
                          <a:cNvPr id="25" name="矩形 24"/>
                          <a:cNvSpPr/>
                        </a:nvSpPr>
                        <a:spPr>
                          <a:xfrm>
                            <a:off x="2555776"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GP</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2771800"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UL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 name="矩形 7"/>
                        <a:cNvSpPr/>
                      </a:nvSpPr>
                      <a:spPr>
                        <a:xfrm>
                          <a:off x="2915816"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DL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051720"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SS-Block</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3131840"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DL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 name="组合 453"/>
                        <a:cNvGrpSpPr/>
                      </a:nvGrpSpPr>
                      <a:grpSpPr>
                        <a:xfrm>
                          <a:off x="3779912" y="3284984"/>
                          <a:ext cx="3024336" cy="1008112"/>
                          <a:chOff x="827584" y="2132856"/>
                          <a:chExt cx="3024336" cy="1008112"/>
                        </a:xfrm>
                      </a:grpSpPr>
                      <a:sp>
                        <a:nvSpPr>
                          <a:cNvPr id="16" name="矩形 15"/>
                          <a:cNvSpPr/>
                        </a:nvSpPr>
                        <a:spPr>
                          <a:xfrm>
                            <a:off x="827584" y="2132856"/>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control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043608" y="2132856"/>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control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259632" y="2132856"/>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SS-Block</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9" name="组合 448"/>
                          <a:cNvGrpSpPr/>
                        </a:nvGrpSpPr>
                        <a:grpSpPr>
                          <a:xfrm>
                            <a:off x="3419872" y="2132856"/>
                            <a:ext cx="432048" cy="1008112"/>
                            <a:chOff x="2555776" y="2636912"/>
                            <a:chExt cx="432048" cy="1008112"/>
                          </a:xfrm>
                        </a:grpSpPr>
                        <a:sp>
                          <a:nvSpPr>
                            <a:cNvPr id="23" name="矩形 22"/>
                            <a:cNvSpPr/>
                          </a:nvSpPr>
                          <a:spPr>
                            <a:xfrm>
                              <a:off x="2555776"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GP</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2771800"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UL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 name="矩形 19"/>
                          <a:cNvSpPr/>
                        </a:nvSpPr>
                        <a:spPr>
                          <a:xfrm>
                            <a:off x="2987824" y="2132856"/>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DL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2123728" y="2132856"/>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SS-Block</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3203848" y="2132856"/>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DL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12" name="直接箭头连接符 11"/>
                        <a:cNvCxnSpPr/>
                      </a:nvCxnSpPr>
                      <a:spPr>
                        <a:xfrm>
                          <a:off x="755576" y="4509120"/>
                          <a:ext cx="3024336"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13" name="TextBox 12"/>
                        <a:cNvSpPr txBox="1"/>
                      </a:nvSpPr>
                      <a:spPr>
                        <a:xfrm>
                          <a:off x="1835696" y="4509120"/>
                          <a:ext cx="956480" cy="26769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600" dirty="0" smtClean="0">
                                <a:latin typeface="+mn-lt"/>
                                <a:cs typeface="Times New Roman" pitchFamily="18" charset="0"/>
                              </a:rPr>
                              <a:t>14-symbol slot</a:t>
                            </a:r>
                            <a:endParaRPr lang="en-US" sz="600" dirty="0">
                              <a:latin typeface="+mn-lt"/>
                              <a:cs typeface="Times New Roman" pitchFamily="18" charset="0"/>
                            </a:endParaRPr>
                          </a:p>
                        </a:txBody>
                        <a:useSpRect/>
                      </a:txSp>
                    </a:sp>
                    <a:cxnSp>
                      <a:nvCxnSpPr>
                        <a:cNvPr id="14" name="直接连接符 13"/>
                        <a:cNvCxnSpPr/>
                      </a:nvCxnSpPr>
                      <a:spPr>
                        <a:xfrm>
                          <a:off x="755576" y="4365104"/>
                          <a:ext cx="0" cy="216024"/>
                        </a:xfrm>
                        <a:prstGeom prst="line">
                          <a:avLst/>
                        </a:prstGeom>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3779912" y="4365104"/>
                          <a:ext cx="0" cy="21602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825984" w:rsidRDefault="00825984" w:rsidP="00825984">
      <w:pPr>
        <w:pStyle w:val="af9"/>
      </w:pPr>
      <w:bookmarkStart w:id="1" w:name="_Ref485158849"/>
      <w:bookmarkStart w:id="2" w:name="_Ref485158859"/>
      <w:r>
        <w:t xml:space="preserve">Figure </w:t>
      </w:r>
      <w:fldSimple w:instr=" SEQ Figure \* ARABIC ">
        <w:r w:rsidR="00546C8C">
          <w:t>2</w:t>
        </w:r>
      </w:fldSimple>
      <w:bookmarkEnd w:id="2"/>
      <w:r>
        <w:t>: SS block time location in 14-symbol slot</w:t>
      </w:r>
      <w:r w:rsidR="00546C8C">
        <w:t xml:space="preserve"> with DL heavy</w:t>
      </w:r>
      <w:r>
        <w:t xml:space="preserve"> self contained structure</w:t>
      </w:r>
      <w:bookmarkEnd w:id="1"/>
    </w:p>
    <w:p w:rsidR="00546C8C" w:rsidRPr="00546C8C" w:rsidRDefault="00546C8C" w:rsidP="00546C8C"/>
    <w:p w:rsidR="00546C8C" w:rsidRDefault="00546C8C" w:rsidP="00546C8C">
      <w:pPr>
        <w:keepNext/>
        <w:jc w:val="center"/>
      </w:pPr>
      <w:r w:rsidRPr="00546C8C">
        <w:drawing>
          <wp:inline distT="0" distB="0" distL="0" distR="0">
            <wp:extent cx="4320480" cy="1008112"/>
            <wp:effectExtent l="0" t="0" r="3870" b="0"/>
            <wp:docPr id="10" name="对象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20480" cy="1008112"/>
                      <a:chOff x="827584" y="764704"/>
                      <a:chExt cx="4320480" cy="1008112"/>
                    </a:xfrm>
                  </a:grpSpPr>
                  <a:grpSp>
                    <a:nvGrpSpPr>
                      <a:cNvPr id="77" name="组合 76"/>
                      <a:cNvGrpSpPr/>
                    </a:nvGrpSpPr>
                    <a:grpSpPr>
                      <a:xfrm>
                        <a:off x="827584" y="764704"/>
                        <a:ext cx="4320480" cy="1008112"/>
                        <a:chOff x="755576" y="1268760"/>
                        <a:chExt cx="6048672" cy="1408802"/>
                      </a:xfrm>
                    </a:grpSpPr>
                    <a:sp>
                      <a:nvSpPr>
                        <a:cNvPr id="78" name="矩形 77"/>
                        <a:cNvSpPr/>
                      </a:nvSpPr>
                      <a:spPr>
                        <a:xfrm>
                          <a:off x="755576"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9" name="矩形 78"/>
                        <a:cNvSpPr/>
                      </a:nvSpPr>
                      <a:spPr>
                        <a:xfrm>
                          <a:off x="971600"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矩形 79"/>
                        <a:cNvSpPr/>
                      </a:nvSpPr>
                      <a:spPr>
                        <a:xfrm>
                          <a:off x="1187624" y="1268760"/>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组合 448"/>
                        <a:cNvGrpSpPr/>
                      </a:nvGrpSpPr>
                      <a:grpSpPr>
                        <a:xfrm>
                          <a:off x="3347864" y="1268760"/>
                          <a:ext cx="432048" cy="1008112"/>
                          <a:chOff x="2555776" y="2636912"/>
                          <a:chExt cx="432048" cy="1008112"/>
                        </a:xfrm>
                      </a:grpSpPr>
                      <a:sp>
                        <a:nvSpPr>
                          <a:cNvPr id="97" name="矩形 96"/>
                          <a:cNvSpPr/>
                        </a:nvSpPr>
                        <a:spPr>
                          <a:xfrm>
                            <a:off x="2555776"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2771800"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82" name="矩形 81"/>
                        <a:cNvSpPr/>
                      </a:nvSpPr>
                      <a:spPr>
                        <a:xfrm>
                          <a:off x="2915816"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3" name="矩形 82"/>
                        <a:cNvSpPr/>
                      </a:nvSpPr>
                      <a:spPr>
                        <a:xfrm>
                          <a:off x="2051720" y="1268760"/>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矩形 83"/>
                        <a:cNvSpPr/>
                      </a:nvSpPr>
                      <a:spPr>
                        <a:xfrm>
                          <a:off x="3131840"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GP</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矩形 84"/>
                        <a:cNvSpPr/>
                      </a:nvSpPr>
                      <a:spPr>
                        <a:xfrm>
                          <a:off x="3779912"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矩形 85"/>
                        <a:cNvSpPr/>
                      </a:nvSpPr>
                      <a:spPr>
                        <a:xfrm>
                          <a:off x="3995936"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矩形 86"/>
                        <a:cNvSpPr/>
                      </a:nvSpPr>
                      <a:spPr>
                        <a:xfrm>
                          <a:off x="4211960" y="1268760"/>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8" name="矩形 87"/>
                        <a:cNvSpPr/>
                      </a:nvSpPr>
                      <a:spPr>
                        <a:xfrm>
                          <a:off x="5940152"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GP</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9" name="矩形 88"/>
                        <a:cNvSpPr/>
                      </a:nvSpPr>
                      <a:spPr>
                        <a:xfrm>
                          <a:off x="6588224"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0" name="矩形 89"/>
                        <a:cNvSpPr/>
                      </a:nvSpPr>
                      <a:spPr>
                        <a:xfrm>
                          <a:off x="6372200"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a:t>
                            </a:r>
                            <a:r>
                              <a:rPr lang="en-US" sz="600" dirty="0" smtClean="0">
                                <a:solidFill>
                                  <a:schemeClr val="tx1"/>
                                </a:solidFill>
                              </a:rPr>
                              <a:t>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矩形 90"/>
                        <a:cNvSpPr/>
                      </a:nvSpPr>
                      <a:spPr>
                        <a:xfrm>
                          <a:off x="5076056" y="1268760"/>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矩形 91"/>
                        <a:cNvSpPr/>
                      </a:nvSpPr>
                      <a:spPr>
                        <a:xfrm>
                          <a:off x="6156176" y="1268760"/>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a:t>
                            </a:r>
                            <a:r>
                              <a:rPr lang="en-US" sz="600" dirty="0" smtClean="0">
                                <a:solidFill>
                                  <a:schemeClr val="tx1"/>
                                </a:solidFill>
                              </a:rPr>
                              <a:t>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3" name="直接箭头连接符 92"/>
                        <a:cNvCxnSpPr/>
                      </a:nvCxnSpPr>
                      <a:spPr>
                        <a:xfrm>
                          <a:off x="755576" y="2492896"/>
                          <a:ext cx="3024336"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94" name="TextBox 93"/>
                        <a:cNvSpPr txBox="1"/>
                      </a:nvSpPr>
                      <a:spPr>
                        <a:xfrm>
                          <a:off x="1835696" y="2492896"/>
                          <a:ext cx="683200" cy="184666"/>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600" dirty="0" smtClean="0">
                                <a:latin typeface="+mn-lt"/>
                              </a:rPr>
                              <a:t>14-symbol slot</a:t>
                            </a:r>
                            <a:endParaRPr lang="en-US" sz="600" dirty="0">
                              <a:latin typeface="+mn-lt"/>
                            </a:endParaRPr>
                          </a:p>
                        </a:txBody>
                        <a:useSpRect/>
                      </a:txSp>
                    </a:sp>
                    <a:cxnSp>
                      <a:nvCxnSpPr>
                        <a:cNvPr id="95" name="直接连接符 94"/>
                        <a:cNvCxnSpPr/>
                      </a:nvCxnSpPr>
                      <a:spPr>
                        <a:xfrm>
                          <a:off x="755576" y="2348880"/>
                          <a:ext cx="0" cy="216024"/>
                        </a:xfrm>
                        <a:prstGeom prst="line">
                          <a:avLst/>
                        </a:prstGeom>
                      </a:spPr>
                      <a:style>
                        <a:lnRef idx="1">
                          <a:schemeClr val="accent1"/>
                        </a:lnRef>
                        <a:fillRef idx="0">
                          <a:schemeClr val="accent1"/>
                        </a:fillRef>
                        <a:effectRef idx="0">
                          <a:schemeClr val="accent1"/>
                        </a:effectRef>
                        <a:fontRef idx="minor">
                          <a:schemeClr val="tx1"/>
                        </a:fontRef>
                      </a:style>
                    </a:cxnSp>
                    <a:cxnSp>
                      <a:nvCxnSpPr>
                        <a:cNvPr id="96" name="直接连接符 95"/>
                        <a:cNvCxnSpPr/>
                      </a:nvCxnSpPr>
                      <a:spPr>
                        <a:xfrm>
                          <a:off x="3779912" y="2348880"/>
                          <a:ext cx="0" cy="21602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287A63" w:rsidRDefault="00546C8C" w:rsidP="00546C8C">
      <w:pPr>
        <w:pStyle w:val="af9"/>
      </w:pPr>
      <w:bookmarkStart w:id="3" w:name="_Ref485162938"/>
      <w:r>
        <w:t xml:space="preserve">Figure </w:t>
      </w:r>
      <w:fldSimple w:instr=" SEQ Figure \* ARABIC ">
        <w:r>
          <w:t>3</w:t>
        </w:r>
      </w:fldSimple>
      <w:bookmarkEnd w:id="3"/>
      <w:r>
        <w:t>: SS block time location in 14-symbol slot with balance or UL heavy self-contained structure</w:t>
      </w:r>
    </w:p>
    <w:p w:rsidR="00287A63" w:rsidRDefault="00287A63" w:rsidP="00287A63"/>
    <w:p w:rsidR="00287A63" w:rsidRDefault="00287A63" w:rsidP="00287A63">
      <w:pPr>
        <w:keepNext/>
        <w:jc w:val="center"/>
      </w:pPr>
      <w:r w:rsidRPr="00287A63">
        <w:drawing>
          <wp:inline distT="0" distB="0" distL="0" distR="0">
            <wp:extent cx="4320480" cy="1033387"/>
            <wp:effectExtent l="0" t="0" r="3870" b="0"/>
            <wp:docPr id="8"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20480" cy="1033387"/>
                      <a:chOff x="899592" y="1484785"/>
                      <a:chExt cx="4320480" cy="1033387"/>
                    </a:xfrm>
                  </a:grpSpPr>
                  <a:grpSp>
                    <a:nvGrpSpPr>
                      <a:cNvPr id="54" name="组合 53"/>
                      <a:cNvGrpSpPr/>
                    </a:nvGrpSpPr>
                    <a:grpSpPr>
                      <a:xfrm>
                        <a:off x="899592" y="1484785"/>
                        <a:ext cx="4320480" cy="1033387"/>
                        <a:chOff x="755576" y="3284984"/>
                        <a:chExt cx="6048672" cy="1490485"/>
                      </a:xfrm>
                    </a:grpSpPr>
                    <a:sp>
                      <a:nvSpPr>
                        <a:cNvPr id="55" name="矩形 54"/>
                        <a:cNvSpPr/>
                      </a:nvSpPr>
                      <a:spPr>
                        <a:xfrm>
                          <a:off x="755576"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971600"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1187624"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组合 448"/>
                        <a:cNvGrpSpPr/>
                      </a:nvGrpSpPr>
                      <a:grpSpPr>
                        <a:xfrm>
                          <a:off x="3347864" y="3284984"/>
                          <a:ext cx="432048" cy="1008112"/>
                          <a:chOff x="2555776" y="2636912"/>
                          <a:chExt cx="432048" cy="1008112"/>
                        </a:xfrm>
                      </a:grpSpPr>
                      <a:sp>
                        <a:nvSpPr>
                          <a:cNvPr id="75" name="矩形 74"/>
                          <a:cNvSpPr/>
                        </a:nvSpPr>
                        <a:spPr>
                          <a:xfrm>
                            <a:off x="2555776"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GP</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2771800"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9" name="矩形 58"/>
                        <a:cNvSpPr/>
                      </a:nvSpPr>
                      <a:spPr>
                        <a:xfrm>
                          <a:off x="2051720"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0" name="矩形 59"/>
                        <a:cNvSpPr/>
                      </a:nvSpPr>
                      <a:spPr>
                        <a:xfrm>
                          <a:off x="2483768"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1" name="矩形 60"/>
                        <a:cNvSpPr/>
                      </a:nvSpPr>
                      <a:spPr>
                        <a:xfrm>
                          <a:off x="2267744"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3779912"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3995936"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4211960"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 name="组合 448"/>
                        <a:cNvGrpSpPr/>
                      </a:nvGrpSpPr>
                      <a:grpSpPr>
                        <a:xfrm>
                          <a:off x="6372200" y="3284984"/>
                          <a:ext cx="432048" cy="1008112"/>
                          <a:chOff x="2555776" y="2636912"/>
                          <a:chExt cx="432048" cy="1008112"/>
                        </a:xfrm>
                      </a:grpSpPr>
                      <a:sp>
                        <a:nvSpPr>
                          <a:cNvPr id="73" name="矩形 72"/>
                          <a:cNvSpPr/>
                        </a:nvSpPr>
                        <a:spPr>
                          <a:xfrm>
                            <a:off x="2555776"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GP</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2771800"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6" name="矩形 65"/>
                        <a:cNvSpPr/>
                      </a:nvSpPr>
                      <a:spPr>
                        <a:xfrm>
                          <a:off x="5076056"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5508104"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5292080"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9" name="直接箭头连接符 68"/>
                        <a:cNvCxnSpPr/>
                      </a:nvCxnSpPr>
                      <a:spPr>
                        <a:xfrm>
                          <a:off x="755576" y="4509120"/>
                          <a:ext cx="3024336"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70" name="TextBox 69"/>
                        <a:cNvSpPr txBox="1"/>
                      </a:nvSpPr>
                      <a:spPr>
                        <a:xfrm>
                          <a:off x="1835696" y="4509120"/>
                          <a:ext cx="956480" cy="266349"/>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600" dirty="0" smtClean="0">
                                <a:latin typeface="+mn-lt"/>
                              </a:rPr>
                              <a:t>14-symbol slot</a:t>
                            </a:r>
                            <a:endParaRPr lang="en-US" sz="600" dirty="0">
                              <a:latin typeface="+mn-lt"/>
                            </a:endParaRPr>
                          </a:p>
                        </a:txBody>
                        <a:useSpRect/>
                      </a:txSp>
                    </a:sp>
                    <a:cxnSp>
                      <a:nvCxnSpPr>
                        <a:cNvPr id="71" name="直接连接符 70"/>
                        <a:cNvCxnSpPr/>
                      </a:nvCxnSpPr>
                      <a:spPr>
                        <a:xfrm>
                          <a:off x="755576" y="4365104"/>
                          <a:ext cx="0" cy="216024"/>
                        </a:xfrm>
                        <a:prstGeom prst="line">
                          <a:avLst/>
                        </a:prstGeom>
                      </a:spPr>
                      <a:style>
                        <a:lnRef idx="1">
                          <a:schemeClr val="accent1"/>
                        </a:lnRef>
                        <a:fillRef idx="0">
                          <a:schemeClr val="accent1"/>
                        </a:fillRef>
                        <a:effectRef idx="0">
                          <a:schemeClr val="accent1"/>
                        </a:effectRef>
                        <a:fontRef idx="minor">
                          <a:schemeClr val="tx1"/>
                        </a:fontRef>
                      </a:style>
                    </a:cxnSp>
                    <a:cxnSp>
                      <a:nvCxnSpPr>
                        <a:cNvPr id="72" name="直接连接符 71"/>
                        <a:cNvCxnSpPr/>
                      </a:nvCxnSpPr>
                      <a:spPr>
                        <a:xfrm>
                          <a:off x="3779912" y="4365104"/>
                          <a:ext cx="0" cy="21602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825984" w:rsidRDefault="00287A63" w:rsidP="00287A63">
      <w:pPr>
        <w:pStyle w:val="af9"/>
      </w:pPr>
      <w:bookmarkStart w:id="4" w:name="_Ref485163480"/>
      <w:r>
        <w:t xml:space="preserve">Figure </w:t>
      </w:r>
      <w:fldSimple w:instr=" SEQ Figure \* ARABIC ">
        <w:r w:rsidR="00546C8C">
          <w:t>4</w:t>
        </w:r>
      </w:fldSimple>
      <w:bookmarkEnd w:id="4"/>
      <w:r w:rsidR="004C315A">
        <w:t xml:space="preserve">: </w:t>
      </w:r>
      <w:r>
        <w:t>SS block time location with 2 SS-blocks in separation in 14-symbols slot</w:t>
      </w:r>
    </w:p>
    <w:p w:rsidR="00825984" w:rsidRDefault="00825984" w:rsidP="00825984"/>
    <w:p w:rsidR="00546C8C" w:rsidRDefault="00546C8C" w:rsidP="00546C8C">
      <w:pPr>
        <w:keepNext/>
        <w:jc w:val="center"/>
      </w:pPr>
      <w:r w:rsidRPr="00546C8C">
        <w:drawing>
          <wp:inline distT="0" distB="0" distL="0" distR="0">
            <wp:extent cx="4464496" cy="976754"/>
            <wp:effectExtent l="0" t="0" r="0" b="0"/>
            <wp:docPr id="11" name="对象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464496" cy="976754"/>
                      <a:chOff x="755576" y="3717032"/>
                      <a:chExt cx="4464496" cy="976754"/>
                    </a:xfrm>
                  </a:grpSpPr>
                  <a:grpSp>
                    <a:nvGrpSpPr>
                      <a:cNvPr id="72" name="组合 71"/>
                      <a:cNvGrpSpPr/>
                    </a:nvGrpSpPr>
                    <a:grpSpPr>
                      <a:xfrm>
                        <a:off x="755576" y="3717032"/>
                        <a:ext cx="4464496" cy="976754"/>
                        <a:chOff x="755576" y="3284984"/>
                        <a:chExt cx="6048672" cy="1408802"/>
                      </a:xfrm>
                    </a:grpSpPr>
                    <a:sp>
                      <a:nvSpPr>
                        <a:cNvPr id="50" name="矩形 49"/>
                        <a:cNvSpPr/>
                      </a:nvSpPr>
                      <a:spPr>
                        <a:xfrm>
                          <a:off x="755576"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971600"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619672"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组合 448"/>
                        <a:cNvGrpSpPr/>
                      </a:nvGrpSpPr>
                      <a:grpSpPr>
                        <a:xfrm>
                          <a:off x="3347864" y="3284984"/>
                          <a:ext cx="432048" cy="1008112"/>
                          <a:chOff x="2555776" y="2636912"/>
                          <a:chExt cx="432048" cy="1008112"/>
                        </a:xfrm>
                      </a:grpSpPr>
                      <a:sp>
                        <a:nvSpPr>
                          <a:cNvPr id="70" name="矩形 69"/>
                          <a:cNvSpPr/>
                        </a:nvSpPr>
                        <a:spPr>
                          <a:xfrm>
                            <a:off x="2555776"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GP</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矩形 70"/>
                          <a:cNvSpPr/>
                        </a:nvSpPr>
                        <a:spPr>
                          <a:xfrm>
                            <a:off x="2771800"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54" name="矩形 53"/>
                        <a:cNvSpPr/>
                      </a:nvSpPr>
                      <a:spPr>
                        <a:xfrm>
                          <a:off x="1187624"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5" name="矩形 54"/>
                        <a:cNvSpPr/>
                      </a:nvSpPr>
                      <a:spPr>
                        <a:xfrm>
                          <a:off x="2483768"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6" name="矩形 55"/>
                        <a:cNvSpPr/>
                      </a:nvSpPr>
                      <a:spPr>
                        <a:xfrm>
                          <a:off x="1403648"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7" name="矩形 56"/>
                        <a:cNvSpPr/>
                      </a:nvSpPr>
                      <a:spPr>
                        <a:xfrm>
                          <a:off x="3779912"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矩形 57"/>
                        <a:cNvSpPr/>
                      </a:nvSpPr>
                      <a:spPr>
                        <a:xfrm>
                          <a:off x="3995936"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control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9" name="矩形 58"/>
                        <a:cNvSpPr/>
                      </a:nvSpPr>
                      <a:spPr>
                        <a:xfrm>
                          <a:off x="4644008"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 name="组合 448"/>
                        <a:cNvGrpSpPr/>
                      </a:nvGrpSpPr>
                      <a:grpSpPr>
                        <a:xfrm>
                          <a:off x="6372200" y="3284984"/>
                          <a:ext cx="432048" cy="1008112"/>
                          <a:chOff x="2555776" y="2636912"/>
                          <a:chExt cx="432048" cy="1008112"/>
                        </a:xfrm>
                      </a:grpSpPr>
                      <a:sp>
                        <a:nvSpPr>
                          <a:cNvPr id="68" name="矩形 67"/>
                          <a:cNvSpPr/>
                        </a:nvSpPr>
                        <a:spPr>
                          <a:xfrm>
                            <a:off x="2555776"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GP</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2771800" y="26369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61" name="矩形 60"/>
                        <a:cNvSpPr/>
                      </a:nvSpPr>
                      <a:spPr>
                        <a:xfrm>
                          <a:off x="4211960"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2" name="矩形 61"/>
                        <a:cNvSpPr/>
                      </a:nvSpPr>
                      <a:spPr>
                        <a:xfrm>
                          <a:off x="5508104" y="3284984"/>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SS-Block</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3" name="矩形 62"/>
                        <a:cNvSpPr/>
                      </a:nvSpPr>
                      <a:spPr>
                        <a:xfrm>
                          <a:off x="4427984" y="3284984"/>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64" name="直接箭头连接符 63"/>
                        <a:cNvCxnSpPr/>
                      </a:nvCxnSpPr>
                      <a:spPr>
                        <a:xfrm>
                          <a:off x="755576" y="4509120"/>
                          <a:ext cx="3024336"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65" name="TextBox 64"/>
                        <a:cNvSpPr txBox="1"/>
                      </a:nvSpPr>
                      <a:spPr>
                        <a:xfrm>
                          <a:off x="1835696" y="4509120"/>
                          <a:ext cx="683200" cy="184666"/>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600" dirty="0" smtClean="0">
                                <a:latin typeface="+mn-lt"/>
                              </a:rPr>
                              <a:t>14-symbol slot</a:t>
                            </a:r>
                            <a:endParaRPr lang="en-US" sz="600" dirty="0">
                              <a:latin typeface="+mn-lt"/>
                            </a:endParaRPr>
                          </a:p>
                        </a:txBody>
                        <a:useSpRect/>
                      </a:txSp>
                    </a:sp>
                    <a:cxnSp>
                      <a:nvCxnSpPr>
                        <a:cNvPr id="66" name="直接连接符 65"/>
                        <a:cNvCxnSpPr/>
                      </a:nvCxnSpPr>
                      <a:spPr>
                        <a:xfrm>
                          <a:off x="755576" y="4365104"/>
                          <a:ext cx="0" cy="216024"/>
                        </a:xfrm>
                        <a:prstGeom prst="line">
                          <a:avLst/>
                        </a:prstGeom>
                      </a:spPr>
                      <a:style>
                        <a:lnRef idx="1">
                          <a:schemeClr val="accent1"/>
                        </a:lnRef>
                        <a:fillRef idx="0">
                          <a:schemeClr val="accent1"/>
                        </a:fillRef>
                        <a:effectRef idx="0">
                          <a:schemeClr val="accent1"/>
                        </a:effectRef>
                        <a:fontRef idx="minor">
                          <a:schemeClr val="tx1"/>
                        </a:fontRef>
                      </a:style>
                    </a:cxnSp>
                    <a:cxnSp>
                      <a:nvCxnSpPr>
                        <a:cNvPr id="67" name="直接连接符 66"/>
                        <a:cNvCxnSpPr/>
                      </a:nvCxnSpPr>
                      <a:spPr>
                        <a:xfrm>
                          <a:off x="3779912" y="4365104"/>
                          <a:ext cx="0" cy="21602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825984" w:rsidRDefault="00546C8C" w:rsidP="00546C8C">
      <w:pPr>
        <w:pStyle w:val="af9"/>
      </w:pPr>
      <w:bookmarkStart w:id="5" w:name="_Ref485163502"/>
      <w:r>
        <w:t xml:space="preserve">Figure </w:t>
      </w:r>
      <w:fldSimple w:instr=" SEQ Figure \* ARABIC ">
        <w:r>
          <w:t>5</w:t>
        </w:r>
      </w:fldSimple>
      <w:bookmarkEnd w:id="5"/>
      <w:r>
        <w:t>: SS block time location with DL symbols in the front for DL heavy slef-contained structure</w:t>
      </w:r>
    </w:p>
    <w:p w:rsidR="004C315A" w:rsidRDefault="004C315A" w:rsidP="004C315A"/>
    <w:p w:rsidR="00B952AB" w:rsidRPr="00287A63" w:rsidRDefault="004C315A" w:rsidP="00B952AB">
      <w:r>
        <w:t xml:space="preserve">For DL heavy self-contained slot structure, 2 DL symbols could be placed between 2 SS blocks in </w:t>
      </w:r>
      <w:r>
        <w:fldChar w:fldCharType="begin"/>
      </w:r>
      <w:r>
        <w:instrText xml:space="preserve"> REF _Ref485163480 \h </w:instrText>
      </w:r>
      <w:r>
        <w:fldChar w:fldCharType="separate"/>
      </w:r>
      <w:r>
        <w:t xml:space="preserve">Figure </w:t>
      </w:r>
      <w:r>
        <w:rPr>
          <w:noProof/>
        </w:rPr>
        <w:t>4</w:t>
      </w:r>
      <w:r>
        <w:fldChar w:fldCharType="end"/>
      </w:r>
      <w:r>
        <w:t xml:space="preserve"> or before 2 SS blocks in </w:t>
      </w:r>
      <w:r>
        <w:fldChar w:fldCharType="begin"/>
      </w:r>
      <w:r>
        <w:instrText xml:space="preserve"> REF _Ref485163502 \h </w:instrText>
      </w:r>
      <w:r>
        <w:fldChar w:fldCharType="separate"/>
      </w:r>
      <w:r>
        <w:t xml:space="preserve">Figure </w:t>
      </w:r>
      <w:r>
        <w:rPr>
          <w:noProof/>
        </w:rPr>
        <w:t>5</w:t>
      </w:r>
      <w:r>
        <w:fldChar w:fldCharType="end"/>
      </w:r>
      <w:r>
        <w:t xml:space="preserve">.   Putting DL symbols right after first 2 symbols reserved for DL control is to give UE more time for processing DL data.   However, these two configurations in </w:t>
      </w:r>
      <w:r>
        <w:fldChar w:fldCharType="begin"/>
      </w:r>
      <w:r>
        <w:instrText xml:space="preserve"> REF _Ref485163480 \h </w:instrText>
      </w:r>
      <w:r>
        <w:fldChar w:fldCharType="separate"/>
      </w:r>
      <w:r>
        <w:t xml:space="preserve">Figure </w:t>
      </w:r>
      <w:r>
        <w:rPr>
          <w:noProof/>
        </w:rPr>
        <w:t>4</w:t>
      </w:r>
      <w:r>
        <w:fldChar w:fldCharType="end"/>
      </w:r>
      <w:r>
        <w:t xml:space="preserve"> and </w:t>
      </w:r>
      <w:r>
        <w:fldChar w:fldCharType="begin"/>
      </w:r>
      <w:r>
        <w:instrText xml:space="preserve"> REF _Ref485163502 \h </w:instrText>
      </w:r>
      <w:r>
        <w:fldChar w:fldCharType="separate"/>
      </w:r>
      <w:r>
        <w:t xml:space="preserve">Figure </w:t>
      </w:r>
      <w:r>
        <w:rPr>
          <w:noProof/>
        </w:rPr>
        <w:t>5</w:t>
      </w:r>
      <w:r>
        <w:fldChar w:fldCharType="end"/>
      </w:r>
      <w:r>
        <w:t xml:space="preserve"> do not have the flexibility in configuring GP/UL symbols in the front since one DL/UL switch is allowed in a slot.   Thus, f</w:t>
      </w:r>
      <w:r w:rsidRPr="004C315A">
        <w:t>or 120 kHz subcarrier spacing, the two SS blocks are proposed to be located at 3rd -6th symbols and 7th – 10th symbols back-to-back in 14-symbol slot structure to have full flexibility of DL/GP/UL configuration at the last 4 symbols</w:t>
      </w:r>
      <w:r w:rsidR="00B952AB">
        <w:t>.    Similar for 24</w:t>
      </w:r>
      <w:r w:rsidR="00B952AB" w:rsidRPr="004C315A">
        <w:t>0 kHz subcarrier spacing, the two SS blocks</w:t>
      </w:r>
      <w:r w:rsidR="00B952AB">
        <w:t xml:space="preserve"> are proposed to be located at 5th -8th symbols and 9th – 12</w:t>
      </w:r>
      <w:r w:rsidR="00B952AB" w:rsidRPr="004C315A">
        <w:t>th sy</w:t>
      </w:r>
      <w:r w:rsidR="00B952AB">
        <w:t xml:space="preserve">mbols back-to-back in the </w:t>
      </w:r>
      <w:r w:rsidR="00B952AB" w:rsidRPr="004C315A">
        <w:t>slot structure to have full flexibility of DL/GP/UL con</w:t>
      </w:r>
      <w:r w:rsidR="00B952AB">
        <w:t>figuration at the remaining 2 symbols in 1</w:t>
      </w:r>
      <w:r w:rsidR="00B952AB" w:rsidRPr="00B952AB">
        <w:rPr>
          <w:vertAlign w:val="superscript"/>
        </w:rPr>
        <w:t>st</w:t>
      </w:r>
      <w:r w:rsidR="00B952AB">
        <w:t xml:space="preserve"> slot and 2</w:t>
      </w:r>
      <w:r w:rsidR="00B952AB" w:rsidRPr="00B952AB">
        <w:rPr>
          <w:vertAlign w:val="superscript"/>
        </w:rPr>
        <w:t>nd</w:t>
      </w:r>
      <w:r w:rsidR="00B952AB">
        <w:t xml:space="preserve"> slot.    </w:t>
      </w:r>
    </w:p>
    <w:p w:rsidR="00B952AB" w:rsidRDefault="00B952AB" w:rsidP="004C315A">
      <w:pPr>
        <w:rPr>
          <w:b/>
        </w:rPr>
      </w:pPr>
    </w:p>
    <w:p w:rsidR="004C315A" w:rsidRDefault="004C315A" w:rsidP="004C315A">
      <w:pPr>
        <w:rPr>
          <w:rFonts w:eastAsia="Malgun Gothic" w:cs="Batang"/>
          <w:b/>
          <w:lang w:eastAsia="ko-KR"/>
        </w:rPr>
      </w:pPr>
      <w:r>
        <w:rPr>
          <w:b/>
        </w:rPr>
        <w:t xml:space="preserve">Proposal 2:  </w:t>
      </w:r>
      <w:r>
        <w:rPr>
          <w:rFonts w:eastAsia="Malgun Gothic" w:cs="Batang"/>
          <w:b/>
          <w:lang w:eastAsia="ko-KR"/>
        </w:rPr>
        <w:t>For 120 kHz subcarrier spacing, t</w:t>
      </w:r>
      <w:r w:rsidRPr="004C315A">
        <w:rPr>
          <w:rFonts w:eastAsia="Malgun Gothic" w:cs="Batang"/>
          <w:b/>
          <w:lang w:eastAsia="ko-KR"/>
        </w:rPr>
        <w:t>he two SS blocks are proposed to be located at 3rd -6th symbols and 7th – 10th symbols back-to-back in 14-symbol slot structure to have full flexibility of DL/GP/UL configuration at the last 4 symbols</w:t>
      </w:r>
      <w:r w:rsidR="00B952AB">
        <w:rPr>
          <w:rFonts w:eastAsia="Malgun Gothic" w:cs="Batang"/>
          <w:b/>
          <w:lang w:eastAsia="ko-KR"/>
        </w:rPr>
        <w:t xml:space="preserve">.   </w:t>
      </w:r>
    </w:p>
    <w:p w:rsidR="00B952AB" w:rsidRDefault="00B952AB" w:rsidP="004C315A">
      <w:pPr>
        <w:rPr>
          <w:rFonts w:eastAsia="Malgun Gothic" w:cs="Batang"/>
          <w:b/>
          <w:lang w:eastAsia="ko-KR"/>
        </w:rPr>
      </w:pPr>
      <w:r>
        <w:rPr>
          <w:b/>
        </w:rPr>
        <w:t xml:space="preserve">Proposal 3:  </w:t>
      </w:r>
      <w:r w:rsidRPr="00B952AB">
        <w:rPr>
          <w:rFonts w:eastAsia="Malgun Gothic" w:cs="Batang"/>
          <w:b/>
          <w:lang w:eastAsia="ko-KR"/>
        </w:rPr>
        <w:t xml:space="preserve">For 240 kHz subcarrier spacing, the two SS blocks are proposed to be located at 5th -8th symbols and 9th – 12th symbols back-to-back in the slot structure to have full flexibility of DL/GP/UL configuration at the remaining 2 symbols in 1st slot and 2nd slot.    </w:t>
      </w:r>
    </w:p>
    <w:p w:rsidR="00B952AB" w:rsidRPr="00174CE3" w:rsidRDefault="00B952AB" w:rsidP="004C315A">
      <w:pPr>
        <w:rPr>
          <w:rFonts w:eastAsia="Malgun Gothic" w:cs="Batang"/>
          <w:b/>
          <w:lang w:eastAsia="ko-KR"/>
        </w:rPr>
      </w:pPr>
    </w:p>
    <w:p w:rsidR="00825984" w:rsidRPr="003D5602" w:rsidRDefault="00B952AB" w:rsidP="00825984">
      <w:pPr>
        <w:rPr>
          <w:lang w:val="en-US"/>
        </w:rPr>
      </w:pPr>
      <w:r>
        <w:t xml:space="preserve">For 15 and 30 kHz subcarrier spacing, both 7-symbol and 14-symbol slots are supported.  </w:t>
      </w:r>
      <w:r w:rsidR="00291045">
        <w:t xml:space="preserve">Since one </w:t>
      </w:r>
      <w:proofErr w:type="gramStart"/>
      <w:r w:rsidR="00291045">
        <w:t>DL/UL</w:t>
      </w:r>
      <w:proofErr w:type="gramEnd"/>
      <w:r w:rsidR="00291045">
        <w:t xml:space="preserve"> switching is allowed in a slot, 7-symbol slot structure would allow more frequent DL/UL switching and is important for the support of low latency applications, such as URLLC.  Especially, UL data transmission </w:t>
      </w:r>
      <w:r w:rsidR="003D5602">
        <w:t xml:space="preserve">with low latency requirements, such as URLLC, should have UL transmission at least 2 – 4 times within 1 </w:t>
      </w:r>
      <w:proofErr w:type="spellStart"/>
      <w:proofErr w:type="gramStart"/>
      <w:r w:rsidR="003D5602">
        <w:t>ms</w:t>
      </w:r>
      <w:proofErr w:type="gramEnd"/>
      <w:r w:rsidR="003D5602">
        <w:t>.</w:t>
      </w:r>
      <w:proofErr w:type="spellEnd"/>
      <w:r w:rsidR="003D5602">
        <w:t xml:space="preserve">   To achieve at least 2 time UL transmission within 1 </w:t>
      </w:r>
      <w:proofErr w:type="gramStart"/>
      <w:r w:rsidR="003D5602">
        <w:t>ms</w:t>
      </w:r>
      <w:proofErr w:type="gramEnd"/>
      <w:r w:rsidR="003D5602">
        <w:t xml:space="preserve">, it requires operation in 7-symbol slot structure for 15 kHz subcarrier spacing.   For 30 kHz subcarrier spacing, there are up to 2 UL transmission opportunities for 14-symbol slot and up to 4 UL transmission opportunities for 7-symbol slot within 1 </w:t>
      </w:r>
      <w:proofErr w:type="spellStart"/>
      <w:proofErr w:type="gramStart"/>
      <w:r w:rsidR="003D5602">
        <w:t>ms</w:t>
      </w:r>
      <w:proofErr w:type="gramEnd"/>
      <w:r w:rsidR="003D5602">
        <w:t>.</w:t>
      </w:r>
      <w:proofErr w:type="spellEnd"/>
      <w:r w:rsidR="003D5602">
        <w:t xml:space="preserve">  To place a 4-symbol SS block into a 7-symbol slot, only 1 symbol could be preserved in the beginning of the slot for DL control and </w:t>
      </w:r>
      <w:r w:rsidR="003D5602" w:rsidRPr="003D5602">
        <w:rPr>
          <w:lang w:val="en-US"/>
        </w:rPr>
        <w:t>2</w:t>
      </w:r>
      <w:r w:rsidR="00C959D4">
        <w:rPr>
          <w:lang w:val="en-US"/>
        </w:rPr>
        <w:t xml:space="preserve"> symbols are preserved for </w:t>
      </w:r>
      <w:r w:rsidR="003D5602" w:rsidRPr="003D5602">
        <w:rPr>
          <w:lang w:val="en-US"/>
        </w:rPr>
        <w:t>guard period and UL control at t</w:t>
      </w:r>
      <w:r w:rsidR="00C959D4">
        <w:rPr>
          <w:lang w:val="en-US"/>
        </w:rPr>
        <w:t xml:space="preserve">he end of the slot as shown in </w:t>
      </w:r>
      <w:r w:rsidR="00C959D4">
        <w:rPr>
          <w:lang w:val="en-US"/>
        </w:rPr>
        <w:fldChar w:fldCharType="begin"/>
      </w:r>
      <w:r w:rsidR="00C959D4">
        <w:rPr>
          <w:lang w:val="en-US"/>
        </w:rPr>
        <w:instrText xml:space="preserve"> REF _Ref471619861 \h </w:instrText>
      </w:r>
      <w:r w:rsidR="00C959D4">
        <w:rPr>
          <w:lang w:val="en-US"/>
        </w:rPr>
      </w:r>
      <w:r w:rsidR="00C959D4">
        <w:rPr>
          <w:lang w:val="en-US"/>
        </w:rPr>
        <w:fldChar w:fldCharType="separate"/>
      </w:r>
      <w:r w:rsidR="00C959D4">
        <w:t xml:space="preserve">Figure </w:t>
      </w:r>
      <w:r w:rsidR="00C959D4">
        <w:rPr>
          <w:noProof/>
        </w:rPr>
        <w:t>6</w:t>
      </w:r>
      <w:r w:rsidR="00C959D4">
        <w:rPr>
          <w:lang w:val="en-US"/>
        </w:rPr>
        <w:fldChar w:fldCharType="end"/>
      </w:r>
      <w:r w:rsidR="00C959D4">
        <w:rPr>
          <w:lang w:val="en-US"/>
        </w:rPr>
        <w:t xml:space="preserve">.   Each 7-symbol slot would have one DL symbol for DL control and data in the beginning of slot and one GP and UL symbol at the end of the slot.  </w:t>
      </w:r>
    </w:p>
    <w:p w:rsidR="00FE2663" w:rsidRDefault="00FE2663" w:rsidP="00515D57"/>
    <w:p w:rsidR="00FE2663" w:rsidRDefault="004C315A" w:rsidP="00FE2663">
      <w:pPr>
        <w:keepNext/>
        <w:jc w:val="center"/>
      </w:pPr>
      <w:r w:rsidRPr="004C315A">
        <w:drawing>
          <wp:inline distT="0" distB="0" distL="0" distR="0">
            <wp:extent cx="4320480" cy="1183462"/>
            <wp:effectExtent l="0" t="0" r="3870" b="0"/>
            <wp:docPr id="13" name="对象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320480" cy="1183462"/>
                      <a:chOff x="899592" y="3933058"/>
                      <a:chExt cx="4320480" cy="1183462"/>
                    </a:xfrm>
                  </a:grpSpPr>
                  <a:grpSp>
                    <a:nvGrpSpPr>
                      <a:cNvPr id="27" name="组合 26"/>
                      <a:cNvGrpSpPr/>
                    </a:nvGrpSpPr>
                    <a:grpSpPr>
                      <a:xfrm>
                        <a:off x="899592" y="3933058"/>
                        <a:ext cx="4320480" cy="1183462"/>
                        <a:chOff x="755576" y="4941168"/>
                        <a:chExt cx="6048672" cy="1791748"/>
                      </a:xfrm>
                    </a:grpSpPr>
                    <a:cxnSp>
                      <a:nvCxnSpPr>
                        <a:cNvPr id="28" name="直接箭头连接符 27"/>
                        <a:cNvCxnSpPr/>
                      </a:nvCxnSpPr>
                      <a:spPr>
                        <a:xfrm>
                          <a:off x="755576" y="6165304"/>
                          <a:ext cx="1504275"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29" name="TextBox 28"/>
                        <a:cNvSpPr txBox="1"/>
                      </a:nvSpPr>
                      <a:spPr>
                        <a:xfrm>
                          <a:off x="1043608" y="6165302"/>
                          <a:ext cx="895887" cy="27958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600" dirty="0" smtClean="0">
                                <a:latin typeface="+mn-lt"/>
                                <a:cs typeface="Times New Roman" pitchFamily="18" charset="0"/>
                              </a:rPr>
                              <a:t>7-symbol slot</a:t>
                            </a:r>
                            <a:endParaRPr lang="en-US" sz="600" dirty="0">
                              <a:latin typeface="+mn-lt"/>
                              <a:cs typeface="Times New Roman" pitchFamily="18" charset="0"/>
                            </a:endParaRPr>
                          </a:p>
                        </a:txBody>
                        <a:useSpRect/>
                      </a:txSp>
                    </a:sp>
                    <a:cxnSp>
                      <a:nvCxnSpPr>
                        <a:cNvPr id="30" name="直接连接符 29"/>
                        <a:cNvCxnSpPr/>
                      </a:nvCxnSpPr>
                      <a:spPr>
                        <a:xfrm>
                          <a:off x="2267744" y="6021288"/>
                          <a:ext cx="0" cy="216024"/>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755576" y="6021288"/>
                          <a:ext cx="0" cy="216024"/>
                        </a:xfrm>
                        <a:prstGeom prst="line">
                          <a:avLst/>
                        </a:prstGeom>
                      </a:spPr>
                      <a:style>
                        <a:lnRef idx="1">
                          <a:schemeClr val="accent1"/>
                        </a:lnRef>
                        <a:fillRef idx="0">
                          <a:schemeClr val="accent1"/>
                        </a:fillRef>
                        <a:effectRef idx="0">
                          <a:schemeClr val="accent1"/>
                        </a:effectRef>
                        <a:fontRef idx="minor">
                          <a:schemeClr val="tx1"/>
                        </a:fontRef>
                      </a:style>
                    </a:cxnSp>
                    <a:grpSp>
                      <a:nvGrpSpPr>
                        <a:cNvPr id="7" name="组合 489"/>
                        <a:cNvGrpSpPr/>
                      </a:nvGrpSpPr>
                      <a:grpSpPr>
                        <a:xfrm>
                          <a:off x="755576" y="4941168"/>
                          <a:ext cx="3024336" cy="1008112"/>
                          <a:chOff x="755576" y="4437112"/>
                          <a:chExt cx="3024336" cy="1008112"/>
                        </a:xfrm>
                      </a:grpSpPr>
                      <a:sp>
                        <a:nvSpPr>
                          <a:cNvPr id="46" name="矩形 45"/>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Control/DL data</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Control/DL data</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971600" y="4437112"/>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SS-Block</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矩形 48"/>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GP</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矩形 49"/>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UL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矩形 50"/>
                          <a:cNvSpPr/>
                        </a:nvSpPr>
                        <a:spPr>
                          <a:xfrm>
                            <a:off x="2483768" y="4437112"/>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SS-Block</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GP</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矩形 52"/>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UL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8" name="组合 490"/>
                        <a:cNvGrpSpPr/>
                      </a:nvGrpSpPr>
                      <a:grpSpPr>
                        <a:xfrm>
                          <a:off x="3779912" y="4941168"/>
                          <a:ext cx="3024336" cy="1008112"/>
                          <a:chOff x="755576" y="4437112"/>
                          <a:chExt cx="3024336" cy="1008112"/>
                        </a:xfrm>
                      </a:grpSpPr>
                      <a:sp>
                        <a:nvSpPr>
                          <a:cNvPr id="38" name="矩形 37"/>
                          <a:cNvSpPr/>
                        </a:nvSpPr>
                        <a:spPr>
                          <a:xfrm>
                            <a:off x="75557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Control/DL data</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226774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Control/DL data</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971600" y="4437112"/>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SS-Block</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3347864"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GP</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3563888"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UL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2483768" y="4437112"/>
                            <a:ext cx="864096" cy="1008112"/>
                          </a:xfrm>
                          <a:prstGeom prst="rect">
                            <a:avLst/>
                          </a:prstGeom>
                          <a:solidFill>
                            <a:srgbClr val="FFFF00"/>
                          </a:solidFill>
                          <a:ln w="12700"/>
                        </a:spPr>
                        <a:txSp>
                          <a:txBody>
                            <a:bodyPr lIns="0" tIns="0" rIns="0" bIns="0" rtlCol="0" anchor="ctr">
                              <a:norm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SS-Block</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835696"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GP</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051720" y="4437112"/>
                            <a:ext cx="216024" cy="1008112"/>
                          </a:xfrm>
                          <a:prstGeom prst="rect">
                            <a:avLst/>
                          </a:prstGeom>
                          <a:noFill/>
                          <a:ln w="12700">
                            <a:solidFill>
                              <a:schemeClr val="tx1"/>
                            </a:solidFill>
                          </a:ln>
                        </a:spPr>
                        <a:txSp>
                          <a:txBody>
                            <a:bodyPr vert="vert"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cs typeface="Times New Roman" pitchFamily="18" charset="0"/>
                                </a:rPr>
                                <a:t>UL</a:t>
                              </a:r>
                              <a:endParaRPr lang="en-US" sz="600" dirty="0">
                                <a:solidFill>
                                  <a:schemeClr val="tx1"/>
                                </a:solidFill>
                                <a:cs typeface="Times New Roman" pitchFamily="18" charset="0"/>
                              </a:endParaRPr>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34" name="直接箭头连接符 33"/>
                        <a:cNvCxnSpPr/>
                      </a:nvCxnSpPr>
                      <a:spPr>
                        <a:xfrm>
                          <a:off x="755576" y="6453336"/>
                          <a:ext cx="3024336" cy="0"/>
                        </a:xfrm>
                        <a:prstGeom prst="straightConnector1">
                          <a:avLst/>
                        </a:prstGeom>
                        <a:ln>
                          <a:headEnd type="stealth"/>
                          <a:tailEnd type="stealth"/>
                        </a:ln>
                      </a:spPr>
                      <a:style>
                        <a:lnRef idx="1">
                          <a:schemeClr val="accent1"/>
                        </a:lnRef>
                        <a:fillRef idx="0">
                          <a:schemeClr val="accent1"/>
                        </a:fillRef>
                        <a:effectRef idx="0">
                          <a:schemeClr val="accent1"/>
                        </a:effectRef>
                        <a:fontRef idx="minor">
                          <a:schemeClr val="tx1"/>
                        </a:fontRef>
                      </a:style>
                    </a:cxnSp>
                    <a:sp>
                      <a:nvSpPr>
                        <a:cNvPr id="35" name="TextBox 34"/>
                        <a:cNvSpPr txBox="1"/>
                      </a:nvSpPr>
                      <a:spPr>
                        <a:xfrm>
                          <a:off x="1835696" y="6453334"/>
                          <a:ext cx="956480" cy="279582"/>
                        </a:xfrm>
                        <a:prstGeom prst="rect">
                          <a:avLst/>
                        </a:prstGeom>
                        <a:no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600" dirty="0" smtClean="0">
                                <a:latin typeface="+mn-lt"/>
                                <a:cs typeface="Times New Roman" pitchFamily="18" charset="0"/>
                              </a:rPr>
                              <a:t>14-symbol slot</a:t>
                            </a:r>
                            <a:endParaRPr lang="en-US" sz="600" dirty="0">
                              <a:latin typeface="+mn-lt"/>
                              <a:cs typeface="Times New Roman" pitchFamily="18" charset="0"/>
                            </a:endParaRPr>
                          </a:p>
                        </a:txBody>
                        <a:useSpRect/>
                      </a:txSp>
                    </a:sp>
                    <a:cxnSp>
                      <a:nvCxnSpPr>
                        <a:cNvPr id="36" name="直接连接符 35"/>
                        <a:cNvCxnSpPr/>
                      </a:nvCxnSpPr>
                      <a:spPr>
                        <a:xfrm>
                          <a:off x="755576" y="6309320"/>
                          <a:ext cx="0" cy="216024"/>
                        </a:xfrm>
                        <a:prstGeom prst="line">
                          <a:avLst/>
                        </a:prstGeom>
                      </a:spPr>
                      <a:style>
                        <a:lnRef idx="1">
                          <a:schemeClr val="accent1"/>
                        </a:lnRef>
                        <a:fillRef idx="0">
                          <a:schemeClr val="accent1"/>
                        </a:fillRef>
                        <a:effectRef idx="0">
                          <a:schemeClr val="accent1"/>
                        </a:effectRef>
                        <a:fontRef idx="minor">
                          <a:schemeClr val="tx1"/>
                        </a:fontRef>
                      </a:style>
                    </a:cxnSp>
                    <a:cxnSp>
                      <a:nvCxnSpPr>
                        <a:cNvPr id="37" name="直接连接符 36"/>
                        <a:cNvCxnSpPr/>
                      </a:nvCxnSpPr>
                      <a:spPr>
                        <a:xfrm>
                          <a:off x="3779912" y="6309320"/>
                          <a:ext cx="0" cy="21602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B62B6" w:rsidRPr="003D5602" w:rsidRDefault="00FE2663" w:rsidP="003D5602">
      <w:pPr>
        <w:pStyle w:val="af9"/>
      </w:pPr>
      <w:bookmarkStart w:id="6" w:name="_Ref471619861"/>
      <w:r>
        <w:t xml:space="preserve">Figure </w:t>
      </w:r>
      <w:fldSimple w:instr=" SEQ Figure \* ARABIC ">
        <w:r w:rsidR="00546C8C">
          <w:t>6</w:t>
        </w:r>
      </w:fldSimple>
      <w:bookmarkEnd w:id="6"/>
      <w:r w:rsidR="00825984">
        <w:t>: SS block allocation and self contained structure in 7-symbol slot</w:t>
      </w:r>
    </w:p>
    <w:p w:rsidR="002B4256" w:rsidRDefault="002B4256" w:rsidP="002B4256">
      <w:pPr>
        <w:jc w:val="center"/>
        <w:rPr>
          <w:b/>
        </w:rPr>
      </w:pPr>
    </w:p>
    <w:p w:rsidR="00C959D4" w:rsidRDefault="00291045" w:rsidP="00291045">
      <w:pPr>
        <w:rPr>
          <w:rFonts w:eastAsia="Malgun Gothic" w:cs="Batang"/>
          <w:b/>
          <w:lang w:eastAsia="ko-KR"/>
        </w:rPr>
      </w:pPr>
      <w:r>
        <w:rPr>
          <w:b/>
        </w:rPr>
        <w:t>Proposal 4</w:t>
      </w:r>
      <w:r w:rsidR="00825984">
        <w:rPr>
          <w:b/>
        </w:rPr>
        <w:t xml:space="preserve">:  </w:t>
      </w:r>
      <w:r>
        <w:rPr>
          <w:rFonts w:eastAsia="Malgun Gothic" w:cs="Batang"/>
          <w:b/>
          <w:lang w:eastAsia="ko-KR"/>
        </w:rPr>
        <w:t xml:space="preserve">For 15 and 30 kHz subcarrier spacing, </w:t>
      </w:r>
      <w:r w:rsidR="003D5602">
        <w:rPr>
          <w:rFonts w:eastAsia="Malgun Gothic" w:cs="Batang"/>
          <w:b/>
          <w:lang w:eastAsia="ko-KR"/>
        </w:rPr>
        <w:t>at least 1 OFDM symbol is</w:t>
      </w:r>
      <w:r w:rsidRPr="00291045">
        <w:rPr>
          <w:rFonts w:eastAsia="Malgun Gothic" w:cs="Batang"/>
          <w:b/>
          <w:lang w:eastAsia="ko-KR"/>
        </w:rPr>
        <w:t xml:space="preserve"> preserved for DL control at the beg</w:t>
      </w:r>
      <w:r>
        <w:rPr>
          <w:rFonts w:eastAsia="Malgun Gothic" w:cs="Batang"/>
          <w:b/>
          <w:lang w:eastAsia="ko-KR"/>
        </w:rPr>
        <w:t xml:space="preserve">inning of the 14-symbol slot.   </w:t>
      </w:r>
    </w:p>
    <w:p w:rsidR="00291045" w:rsidRDefault="00C959D4" w:rsidP="00291045">
      <w:pPr>
        <w:rPr>
          <w:rFonts w:eastAsia="Malgun Gothic" w:cs="Batang"/>
          <w:b/>
          <w:lang w:eastAsia="ko-KR"/>
        </w:rPr>
      </w:pPr>
      <w:r>
        <w:rPr>
          <w:rFonts w:eastAsia="Malgun Gothic" w:cs="Batang"/>
          <w:b/>
          <w:lang w:eastAsia="ko-KR"/>
        </w:rPr>
        <w:lastRenderedPageBreak/>
        <w:t xml:space="preserve">Proposal 5: </w:t>
      </w:r>
      <w:r w:rsidR="00291045">
        <w:rPr>
          <w:rFonts w:eastAsia="Malgun Gothic" w:cs="Batang"/>
          <w:b/>
          <w:lang w:eastAsia="ko-KR"/>
        </w:rPr>
        <w:t xml:space="preserve"> </w:t>
      </w:r>
      <w:r>
        <w:rPr>
          <w:rFonts w:eastAsia="Malgun Gothic" w:cs="Batang"/>
          <w:b/>
          <w:lang w:eastAsia="ko-KR"/>
        </w:rPr>
        <w:t xml:space="preserve">15 and 30 kHz subcarrier spacing, </w:t>
      </w:r>
      <w:r w:rsidR="00291045" w:rsidRPr="004C315A">
        <w:rPr>
          <w:rFonts w:eastAsia="Malgun Gothic" w:cs="Batang"/>
          <w:b/>
          <w:lang w:eastAsia="ko-KR"/>
        </w:rPr>
        <w:t>SS blocks a</w:t>
      </w:r>
      <w:r w:rsidR="00291045">
        <w:rPr>
          <w:rFonts w:eastAsia="Malgun Gothic" w:cs="Batang"/>
          <w:b/>
          <w:lang w:eastAsia="ko-KR"/>
        </w:rPr>
        <w:t>re proposed to be located at 2</w:t>
      </w:r>
      <w:r w:rsidR="00291045" w:rsidRPr="00291045">
        <w:rPr>
          <w:rFonts w:eastAsia="Malgun Gothic" w:cs="Batang"/>
          <w:b/>
          <w:vertAlign w:val="superscript"/>
          <w:lang w:eastAsia="ko-KR"/>
        </w:rPr>
        <w:t>nd</w:t>
      </w:r>
      <w:r w:rsidR="00291045">
        <w:rPr>
          <w:rFonts w:eastAsia="Malgun Gothic" w:cs="Batang"/>
          <w:b/>
          <w:lang w:eastAsia="ko-KR"/>
        </w:rPr>
        <w:t xml:space="preserve"> -5</w:t>
      </w:r>
      <w:r w:rsidR="00291045" w:rsidRPr="00291045">
        <w:rPr>
          <w:rFonts w:eastAsia="Malgun Gothic" w:cs="Batang"/>
          <w:b/>
          <w:vertAlign w:val="superscript"/>
          <w:lang w:eastAsia="ko-KR"/>
        </w:rPr>
        <w:t>th</w:t>
      </w:r>
      <w:r w:rsidR="00291045">
        <w:rPr>
          <w:rFonts w:eastAsia="Malgun Gothic" w:cs="Batang"/>
          <w:b/>
          <w:lang w:eastAsia="ko-KR"/>
        </w:rPr>
        <w:t xml:space="preserve"> </w:t>
      </w:r>
      <w:r w:rsidR="003D5602">
        <w:rPr>
          <w:rFonts w:eastAsia="Malgun Gothic" w:cs="Batang"/>
          <w:b/>
          <w:lang w:eastAsia="ko-KR"/>
        </w:rPr>
        <w:t xml:space="preserve"> symbols and 9</w:t>
      </w:r>
      <w:r w:rsidR="003D5602" w:rsidRPr="003D5602">
        <w:rPr>
          <w:rFonts w:eastAsia="Malgun Gothic" w:cs="Batang"/>
          <w:b/>
          <w:vertAlign w:val="superscript"/>
          <w:lang w:eastAsia="ko-KR"/>
        </w:rPr>
        <w:t>th</w:t>
      </w:r>
      <w:r w:rsidR="003D5602">
        <w:rPr>
          <w:rFonts w:eastAsia="Malgun Gothic" w:cs="Batang"/>
          <w:b/>
          <w:lang w:eastAsia="ko-KR"/>
        </w:rPr>
        <w:t xml:space="preserve">  – 12</w:t>
      </w:r>
      <w:r w:rsidR="003D5602" w:rsidRPr="003D5602">
        <w:rPr>
          <w:rFonts w:eastAsia="Malgun Gothic" w:cs="Batang"/>
          <w:b/>
          <w:vertAlign w:val="superscript"/>
          <w:lang w:eastAsia="ko-KR"/>
        </w:rPr>
        <w:t>th</w:t>
      </w:r>
      <w:r w:rsidR="003D5602">
        <w:rPr>
          <w:rFonts w:eastAsia="Malgun Gothic" w:cs="Batang"/>
          <w:b/>
          <w:lang w:eastAsia="ko-KR"/>
        </w:rPr>
        <w:t xml:space="preserve">  symbols</w:t>
      </w:r>
      <w:r w:rsidR="00291045" w:rsidRPr="004C315A">
        <w:rPr>
          <w:rFonts w:eastAsia="Malgun Gothic" w:cs="Batang"/>
          <w:b/>
          <w:lang w:eastAsia="ko-KR"/>
        </w:rPr>
        <w:t xml:space="preserve"> in 14-symbol slot structure to have full fl</w:t>
      </w:r>
      <w:r w:rsidR="003D5602">
        <w:rPr>
          <w:rFonts w:eastAsia="Malgun Gothic" w:cs="Batang"/>
          <w:b/>
          <w:lang w:eastAsia="ko-KR"/>
        </w:rPr>
        <w:t xml:space="preserve">exibility of supporting operation of  7-symbol slot for low latency applications </w:t>
      </w:r>
      <w:r w:rsidR="00291045">
        <w:rPr>
          <w:rFonts w:eastAsia="Malgun Gothic" w:cs="Batang"/>
          <w:b/>
          <w:lang w:eastAsia="ko-KR"/>
        </w:rPr>
        <w:t xml:space="preserve">.   </w:t>
      </w:r>
    </w:p>
    <w:p w:rsidR="00FD5698" w:rsidRPr="00ED2BF9" w:rsidRDefault="00FD5698" w:rsidP="000B62B6">
      <w:pPr>
        <w:keepNext/>
        <w:rPr>
          <w:lang w:val="en-US"/>
        </w:rPr>
      </w:pPr>
    </w:p>
    <w:p w:rsidR="000859B2" w:rsidRPr="001D1EC3" w:rsidRDefault="000859B2" w:rsidP="00200DCD">
      <w:pPr>
        <w:pStyle w:val="1"/>
      </w:pPr>
      <w:r>
        <w:t>Conclusion</w:t>
      </w:r>
    </w:p>
    <w:p w:rsidR="00E42762" w:rsidRDefault="00380740" w:rsidP="00E42762">
      <w:r>
        <w:t>Thi</w:t>
      </w:r>
      <w:r w:rsidR="00E42762">
        <w:t>s paper discusses th</w:t>
      </w:r>
      <w:r w:rsidR="00CD0FB0">
        <w:t xml:space="preserve">e SS-burst set and SS-block configuration in single and multi-beam configurations.  We </w:t>
      </w:r>
      <w:r w:rsidR="001505B8">
        <w:t>pro</w:t>
      </w:r>
      <w:r w:rsidR="00E42762">
        <w:t xml:space="preserve">pose the following, </w:t>
      </w:r>
      <w:r w:rsidR="00D42529">
        <w:t xml:space="preserve"> </w:t>
      </w:r>
    </w:p>
    <w:p w:rsidR="00C01B7E" w:rsidRPr="00C01B7E" w:rsidRDefault="00C01B7E" w:rsidP="00C01B7E">
      <w:pPr>
        <w:pStyle w:val="afa"/>
        <w:numPr>
          <w:ilvl w:val="0"/>
          <w:numId w:val="5"/>
        </w:numPr>
        <w:rPr>
          <w:rFonts w:eastAsia="Malgun Gothic" w:cs="Batang"/>
          <w:lang w:eastAsia="ko-KR"/>
        </w:rPr>
      </w:pPr>
      <w:r w:rsidRPr="00C01B7E">
        <w:t xml:space="preserve">Proposal 1:  </w:t>
      </w:r>
      <w:r w:rsidRPr="00C01B7E">
        <w:rPr>
          <w:rFonts w:eastAsia="Malgun Gothic" w:cs="Batang"/>
          <w:lang w:eastAsia="ko-KR"/>
        </w:rPr>
        <w:t>The SS block should support the mapping order of PSS-PBCH-PBCH-</w:t>
      </w:r>
      <w:proofErr w:type="gramStart"/>
      <w:r w:rsidRPr="00C01B7E">
        <w:rPr>
          <w:rFonts w:eastAsia="Malgun Gothic" w:cs="Batang"/>
          <w:lang w:eastAsia="ko-KR"/>
        </w:rPr>
        <w:t>SSS  in</w:t>
      </w:r>
      <w:proofErr w:type="gramEnd"/>
      <w:r w:rsidRPr="00C01B7E">
        <w:rPr>
          <w:rFonts w:eastAsia="Malgun Gothic" w:cs="Batang"/>
          <w:lang w:eastAsia="ko-KR"/>
        </w:rPr>
        <w:t xml:space="preserve"> time for better channel tracking and coherent demodulation of PBCH.   </w:t>
      </w:r>
    </w:p>
    <w:p w:rsidR="00C01B7E" w:rsidRPr="00C01B7E" w:rsidRDefault="00C01B7E" w:rsidP="00C01B7E">
      <w:pPr>
        <w:pStyle w:val="afa"/>
        <w:numPr>
          <w:ilvl w:val="0"/>
          <w:numId w:val="5"/>
        </w:numPr>
        <w:rPr>
          <w:rFonts w:eastAsia="Malgun Gothic" w:cs="Batang"/>
          <w:lang w:eastAsia="ko-KR"/>
        </w:rPr>
      </w:pPr>
      <w:r w:rsidRPr="00C01B7E">
        <w:t xml:space="preserve">Proposal 2:  </w:t>
      </w:r>
      <w:r w:rsidRPr="00C01B7E">
        <w:rPr>
          <w:rFonts w:eastAsia="Malgun Gothic" w:cs="Batang"/>
          <w:lang w:eastAsia="ko-KR"/>
        </w:rPr>
        <w:t xml:space="preserve">For 120 kHz subcarrier spacing, the two SS blocks are proposed to be located at 3rd -6th symbols and 7th – 10th symbols back-to-back in 14-symbol slot structure to have full flexibility of DL/GP/UL configuration at the last 4 symbols.   </w:t>
      </w:r>
    </w:p>
    <w:p w:rsidR="00C01B7E" w:rsidRPr="00C01B7E" w:rsidRDefault="00C01B7E" w:rsidP="00C01B7E">
      <w:pPr>
        <w:pStyle w:val="afa"/>
        <w:numPr>
          <w:ilvl w:val="0"/>
          <w:numId w:val="5"/>
        </w:numPr>
        <w:rPr>
          <w:rFonts w:eastAsia="Malgun Gothic" w:cs="Batang"/>
          <w:lang w:eastAsia="ko-KR"/>
        </w:rPr>
      </w:pPr>
      <w:r w:rsidRPr="00C01B7E">
        <w:t xml:space="preserve">Proposal 3:  </w:t>
      </w:r>
      <w:r w:rsidRPr="00C01B7E">
        <w:rPr>
          <w:rFonts w:eastAsia="Malgun Gothic" w:cs="Batang"/>
          <w:lang w:eastAsia="ko-KR"/>
        </w:rPr>
        <w:t xml:space="preserve">For 240 kHz subcarrier spacing, the two SS blocks are proposed to be located at 5th -8th symbols and 9th – 12th symbols back-to-back in the slot structure to have full flexibility of DL/GP/UL configuration at the remaining 2 symbols in 1st slot and 2nd slot.    </w:t>
      </w:r>
    </w:p>
    <w:p w:rsidR="00C01B7E" w:rsidRPr="00C01B7E" w:rsidRDefault="00C01B7E" w:rsidP="00C01B7E">
      <w:pPr>
        <w:pStyle w:val="afa"/>
        <w:numPr>
          <w:ilvl w:val="0"/>
          <w:numId w:val="5"/>
        </w:numPr>
        <w:rPr>
          <w:rFonts w:eastAsia="Malgun Gothic" w:cs="Batang"/>
          <w:lang w:eastAsia="ko-KR"/>
        </w:rPr>
      </w:pPr>
      <w:r w:rsidRPr="00C01B7E">
        <w:t xml:space="preserve">Proposal 4:  </w:t>
      </w:r>
      <w:r w:rsidRPr="00C01B7E">
        <w:rPr>
          <w:rFonts w:eastAsia="Malgun Gothic" w:cs="Batang"/>
          <w:lang w:eastAsia="ko-KR"/>
        </w:rPr>
        <w:t xml:space="preserve">For 15 and 30 kHz subcarrier spacing, at least 1 OFDM symbol is preserved for DL control at the beginning of the 14-symbol slot.   </w:t>
      </w:r>
    </w:p>
    <w:p w:rsidR="00C01B7E" w:rsidRPr="00C01B7E" w:rsidRDefault="00C01B7E" w:rsidP="00C01B7E">
      <w:pPr>
        <w:pStyle w:val="afa"/>
        <w:numPr>
          <w:ilvl w:val="0"/>
          <w:numId w:val="5"/>
        </w:numPr>
        <w:rPr>
          <w:rFonts w:eastAsia="Malgun Gothic" w:cs="Batang"/>
          <w:lang w:eastAsia="ko-KR"/>
        </w:rPr>
      </w:pPr>
      <w:r w:rsidRPr="00C01B7E">
        <w:rPr>
          <w:rFonts w:eastAsia="Malgun Gothic" w:cs="Batang"/>
          <w:lang w:eastAsia="ko-KR"/>
        </w:rPr>
        <w:t>Proposal 5:  15 and 30 kHz subcarrier spacing, SS blocks are proposed to be located at 2</w:t>
      </w:r>
      <w:r w:rsidRPr="00C01B7E">
        <w:rPr>
          <w:rFonts w:eastAsia="Malgun Gothic" w:cs="Batang"/>
          <w:vertAlign w:val="superscript"/>
          <w:lang w:eastAsia="ko-KR"/>
        </w:rPr>
        <w:t>nd</w:t>
      </w:r>
      <w:r w:rsidRPr="00C01B7E">
        <w:rPr>
          <w:rFonts w:eastAsia="Malgun Gothic" w:cs="Batang"/>
          <w:lang w:eastAsia="ko-KR"/>
        </w:rPr>
        <w:t xml:space="preserve"> -5</w:t>
      </w:r>
      <w:r w:rsidRPr="00C01B7E">
        <w:rPr>
          <w:rFonts w:eastAsia="Malgun Gothic" w:cs="Batang"/>
          <w:vertAlign w:val="superscript"/>
          <w:lang w:eastAsia="ko-KR"/>
        </w:rPr>
        <w:t>th</w:t>
      </w:r>
      <w:r w:rsidRPr="00C01B7E">
        <w:rPr>
          <w:rFonts w:eastAsia="Malgun Gothic" w:cs="Batang"/>
          <w:lang w:eastAsia="ko-KR"/>
        </w:rPr>
        <w:t xml:space="preserve">  symbols and 9</w:t>
      </w:r>
      <w:r w:rsidRPr="00C01B7E">
        <w:rPr>
          <w:rFonts w:eastAsia="Malgun Gothic" w:cs="Batang"/>
          <w:vertAlign w:val="superscript"/>
          <w:lang w:eastAsia="ko-KR"/>
        </w:rPr>
        <w:t>th</w:t>
      </w:r>
      <w:r w:rsidRPr="00C01B7E">
        <w:rPr>
          <w:rFonts w:eastAsia="Malgun Gothic" w:cs="Batang"/>
          <w:lang w:eastAsia="ko-KR"/>
        </w:rPr>
        <w:t xml:space="preserve">  – 12</w:t>
      </w:r>
      <w:r w:rsidRPr="00C01B7E">
        <w:rPr>
          <w:rFonts w:eastAsia="Malgun Gothic" w:cs="Batang"/>
          <w:vertAlign w:val="superscript"/>
          <w:lang w:eastAsia="ko-KR"/>
        </w:rPr>
        <w:t>th</w:t>
      </w:r>
      <w:r w:rsidRPr="00C01B7E">
        <w:rPr>
          <w:rFonts w:eastAsia="Malgun Gothic" w:cs="Batang"/>
          <w:lang w:eastAsia="ko-KR"/>
        </w:rPr>
        <w:t xml:space="preserve">  symbols in 14-symbol slot structure to have full flexibility of supporting operation of  7-symbol slot for low latency applications .   </w:t>
      </w:r>
    </w:p>
    <w:p w:rsidR="00302936" w:rsidRPr="00302936" w:rsidRDefault="00302936" w:rsidP="00302936">
      <w:pPr>
        <w:pStyle w:val="afa"/>
        <w:keepNext/>
        <w:rPr>
          <w:b/>
        </w:rPr>
      </w:pPr>
    </w:p>
    <w:p w:rsidR="00017155" w:rsidRPr="00A4102F" w:rsidRDefault="00017155" w:rsidP="00415673">
      <w:pPr>
        <w:pStyle w:val="8"/>
      </w:pPr>
      <w:r>
        <w:t>Reference</w:t>
      </w:r>
    </w:p>
    <w:p w:rsidR="0066736A" w:rsidRDefault="0072107C" w:rsidP="00EE521E">
      <w:pPr>
        <w:pStyle w:val="afa"/>
        <w:numPr>
          <w:ilvl w:val="0"/>
          <w:numId w:val="2"/>
        </w:numPr>
        <w:rPr>
          <w:rFonts w:eastAsia="MS Mincho"/>
          <w:szCs w:val="20"/>
        </w:rPr>
      </w:pPr>
      <w:bookmarkStart w:id="7" w:name="_Ref430885014"/>
      <w:r w:rsidRPr="00ED418A">
        <w:rPr>
          <w:rFonts w:eastAsia="MS Mincho"/>
          <w:szCs w:val="20"/>
        </w:rPr>
        <w:t>RP-160671, “Study on New Radio Access Technology”</w:t>
      </w:r>
      <w:r w:rsidR="00ED418A">
        <w:rPr>
          <w:rFonts w:eastAsia="MS Mincho"/>
          <w:szCs w:val="20"/>
        </w:rPr>
        <w:t xml:space="preserve">, </w:t>
      </w:r>
      <w:proofErr w:type="spellStart"/>
      <w:r w:rsidR="00ED418A">
        <w:rPr>
          <w:rFonts w:eastAsia="MS Mincho"/>
          <w:szCs w:val="20"/>
        </w:rPr>
        <w:t>DoCoMo</w:t>
      </w:r>
      <w:proofErr w:type="spellEnd"/>
    </w:p>
    <w:p w:rsidR="00DB6561" w:rsidRPr="00DB6561" w:rsidRDefault="00DB6561" w:rsidP="00DB6561">
      <w:pPr>
        <w:pStyle w:val="afa"/>
        <w:numPr>
          <w:ilvl w:val="0"/>
          <w:numId w:val="2"/>
        </w:numPr>
        <w:rPr>
          <w:rFonts w:eastAsia="MS Mincho" w:hint="eastAsia"/>
        </w:rPr>
      </w:pPr>
      <w:bookmarkStart w:id="8" w:name="_Ref446581113"/>
      <w:r w:rsidRPr="00DB6561">
        <w:rPr>
          <w:rFonts w:eastAsia="MS Mincho" w:hint="eastAsia"/>
        </w:rPr>
        <w:t>R1-1709263</w:t>
      </w:r>
      <w:r>
        <w:rPr>
          <w:rFonts w:eastAsia="MS Mincho"/>
        </w:rPr>
        <w:t>, “</w:t>
      </w:r>
      <w:r w:rsidRPr="00DB6561">
        <w:rPr>
          <w:rFonts w:eastAsia="MS Mincho" w:hint="eastAsia"/>
        </w:rPr>
        <w:t>WF on SS block composition</w:t>
      </w:r>
      <w:r>
        <w:rPr>
          <w:rFonts w:eastAsia="MS Mincho"/>
        </w:rPr>
        <w:t xml:space="preserve">”, </w:t>
      </w:r>
      <w:r w:rsidRPr="00DB6561">
        <w:rPr>
          <w:rFonts w:eastAsia="MS Mincho" w:hint="eastAsia"/>
        </w:rPr>
        <w:t xml:space="preserve">Huawei, </w:t>
      </w:r>
      <w:proofErr w:type="spellStart"/>
      <w:r w:rsidRPr="00DB6561">
        <w:rPr>
          <w:rFonts w:eastAsia="MS Mincho" w:hint="eastAsia"/>
        </w:rPr>
        <w:t>HiSilicon</w:t>
      </w:r>
      <w:proofErr w:type="spellEnd"/>
    </w:p>
    <w:p w:rsidR="00DB6561" w:rsidRPr="00DB6561" w:rsidRDefault="00DB6561" w:rsidP="00DB6561">
      <w:pPr>
        <w:pStyle w:val="afa"/>
        <w:numPr>
          <w:ilvl w:val="0"/>
          <w:numId w:val="2"/>
        </w:numPr>
        <w:rPr>
          <w:rFonts w:eastAsia="MS Mincho" w:hint="eastAsia"/>
        </w:rPr>
      </w:pPr>
      <w:r w:rsidRPr="00DB6561">
        <w:rPr>
          <w:rFonts w:eastAsia="MS Mincho" w:hint="eastAsia"/>
        </w:rPr>
        <w:t>R1-1709489</w:t>
      </w:r>
      <w:r>
        <w:rPr>
          <w:rFonts w:eastAsia="MS Mincho"/>
        </w:rPr>
        <w:t>, “</w:t>
      </w:r>
      <w:r w:rsidRPr="00DB6561">
        <w:rPr>
          <w:rFonts w:eastAsia="MS Mincho"/>
        </w:rPr>
        <w:t>On SS burst composition</w:t>
      </w:r>
      <w:r>
        <w:rPr>
          <w:rFonts w:eastAsia="MS Mincho"/>
        </w:rPr>
        <w:t xml:space="preserve">”, </w:t>
      </w:r>
      <w:r w:rsidRPr="00DB6561">
        <w:rPr>
          <w:rFonts w:eastAsia="MS Mincho" w:hint="eastAsia"/>
        </w:rPr>
        <w:tab/>
        <w:t>Nokia</w:t>
      </w:r>
    </w:p>
    <w:p w:rsidR="00716AFC" w:rsidRDefault="00DB6561" w:rsidP="00716AFC">
      <w:pPr>
        <w:pStyle w:val="afa"/>
        <w:numPr>
          <w:ilvl w:val="0"/>
          <w:numId w:val="2"/>
        </w:numPr>
        <w:rPr>
          <w:rFonts w:eastAsia="MS Mincho"/>
        </w:rPr>
      </w:pPr>
      <w:r w:rsidRPr="00DB6561">
        <w:rPr>
          <w:rFonts w:eastAsia="MS Mincho" w:hint="eastAsia"/>
        </w:rPr>
        <w:t>R1-1709612</w:t>
      </w:r>
      <w:r>
        <w:rPr>
          <w:rFonts w:eastAsia="MS Mincho"/>
        </w:rPr>
        <w:t>, “</w:t>
      </w:r>
      <w:r w:rsidRPr="00DB6561">
        <w:rPr>
          <w:rFonts w:eastAsia="MS Mincho"/>
        </w:rPr>
        <w:t>WF on NR SS measurement duration</w:t>
      </w:r>
      <w:r>
        <w:rPr>
          <w:rFonts w:eastAsia="MS Mincho"/>
        </w:rPr>
        <w:t xml:space="preserve">”, </w:t>
      </w:r>
      <w:r w:rsidRPr="00DB6561">
        <w:rPr>
          <w:rFonts w:eastAsia="MS Mincho" w:hint="eastAsia"/>
        </w:rPr>
        <w:tab/>
      </w:r>
      <w:r w:rsidRPr="00DB6561">
        <w:rPr>
          <w:rFonts w:eastAsia="MS Mincho"/>
        </w:rPr>
        <w:t xml:space="preserve">Intel Corporation, </w:t>
      </w:r>
      <w:proofErr w:type="spellStart"/>
      <w:r w:rsidRPr="00DB6561">
        <w:rPr>
          <w:rFonts w:eastAsia="MS Mincho"/>
        </w:rPr>
        <w:t>InterDigital</w:t>
      </w:r>
      <w:proofErr w:type="spellEnd"/>
      <w:r w:rsidRPr="00DB6561">
        <w:rPr>
          <w:rFonts w:eastAsia="MS Mincho"/>
        </w:rPr>
        <w:t>, MediaTek, Qualcomm, Samsung, Ericsson</w:t>
      </w:r>
      <w:bookmarkEnd w:id="7"/>
      <w:bookmarkEnd w:id="8"/>
    </w:p>
    <w:p w:rsidR="00716AFC" w:rsidRPr="00716AFC" w:rsidRDefault="00716AFC" w:rsidP="00716AFC">
      <w:pPr>
        <w:pStyle w:val="afa"/>
        <w:numPr>
          <w:ilvl w:val="0"/>
          <w:numId w:val="2"/>
        </w:numPr>
        <w:rPr>
          <w:rFonts w:eastAsia="MS Mincho"/>
        </w:rPr>
      </w:pPr>
      <w:bookmarkStart w:id="9" w:name="_Ref485157713"/>
      <w:r w:rsidRPr="00716AFC">
        <w:rPr>
          <w:rFonts w:eastAsia="MS Mincho"/>
          <w:szCs w:val="20"/>
        </w:rPr>
        <w:t>R1-1710027</w:t>
      </w:r>
      <w:r>
        <w:rPr>
          <w:rFonts w:eastAsia="MS Mincho"/>
          <w:szCs w:val="20"/>
        </w:rPr>
        <w:t>, “</w:t>
      </w:r>
      <w:r w:rsidRPr="00716AFC">
        <w:rPr>
          <w:rFonts w:eastAsia="MS Mincho"/>
          <w:szCs w:val="20"/>
        </w:rPr>
        <w:t>NR PBCH RE mapping in SS Block</w:t>
      </w:r>
      <w:r>
        <w:rPr>
          <w:rFonts w:eastAsia="MS Mincho"/>
          <w:szCs w:val="20"/>
        </w:rPr>
        <w:t xml:space="preserve">”,  </w:t>
      </w:r>
      <w:r w:rsidRPr="00716AFC">
        <w:rPr>
          <w:rFonts w:eastAsia="MS Mincho"/>
          <w:szCs w:val="20"/>
        </w:rPr>
        <w:t>CATT</w:t>
      </w:r>
      <w:bookmarkEnd w:id="9"/>
    </w:p>
    <w:p w:rsidR="00716AFC" w:rsidRPr="00BC52B3" w:rsidRDefault="00716AFC" w:rsidP="00BC52B3">
      <w:pPr>
        <w:pStyle w:val="afa"/>
        <w:rPr>
          <w:rFonts w:eastAsia="MS Mincho"/>
          <w:szCs w:val="20"/>
        </w:rPr>
      </w:pPr>
    </w:p>
    <w:sectPr w:rsidR="00716AFC" w:rsidRPr="00BC52B3" w:rsidSect="002D51E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5E47" w:rsidRDefault="004B5E47" w:rsidP="00086ACB">
      <w:r>
        <w:separator/>
      </w:r>
    </w:p>
  </w:endnote>
  <w:endnote w:type="continuationSeparator" w:id="0">
    <w:p w:rsidR="004B5E47" w:rsidRDefault="004B5E47"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61C1A"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761C1A"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C01B7E">
      <w:rPr>
        <w:rStyle w:val="af6"/>
      </w:rPr>
      <w:t>1</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5E47" w:rsidRDefault="004B5E47" w:rsidP="00086ACB">
      <w:r>
        <w:separator/>
      </w:r>
    </w:p>
  </w:footnote>
  <w:footnote w:type="continuationSeparator" w:id="0">
    <w:p w:rsidR="004B5E47" w:rsidRDefault="004B5E47"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1">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2">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AE6DF1"/>
    <w:multiLevelType w:val="hybridMultilevel"/>
    <w:tmpl w:val="FAD43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8">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9">
    <w:nsid w:val="2F43585D"/>
    <w:multiLevelType w:val="hybridMultilevel"/>
    <w:tmpl w:val="4BDCC444"/>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1">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2">
    <w:nsid w:val="46987761"/>
    <w:multiLevelType w:val="hybridMultilevel"/>
    <w:tmpl w:val="124073DC"/>
    <w:lvl w:ilvl="0" w:tplc="633C75D2">
      <w:start w:val="1"/>
      <w:numFmt w:val="bullet"/>
      <w:lvlText w:val="•"/>
      <w:lvlJc w:val="left"/>
      <w:pPr>
        <w:tabs>
          <w:tab w:val="num" w:pos="720"/>
        </w:tabs>
        <w:ind w:left="720" w:hanging="360"/>
      </w:pPr>
      <w:rPr>
        <w:rFonts w:ascii="Arial" w:hAnsi="Arial" w:hint="default"/>
      </w:rPr>
    </w:lvl>
    <w:lvl w:ilvl="1" w:tplc="773A918A">
      <w:start w:val="4066"/>
      <w:numFmt w:val="bullet"/>
      <w:lvlText w:val="–"/>
      <w:lvlJc w:val="left"/>
      <w:pPr>
        <w:tabs>
          <w:tab w:val="num" w:pos="1440"/>
        </w:tabs>
        <w:ind w:left="1440" w:hanging="360"/>
      </w:pPr>
      <w:rPr>
        <w:rFonts w:ascii="Arial" w:hAnsi="Arial" w:hint="default"/>
      </w:rPr>
    </w:lvl>
    <w:lvl w:ilvl="2" w:tplc="DA8A81AC" w:tentative="1">
      <w:start w:val="1"/>
      <w:numFmt w:val="bullet"/>
      <w:lvlText w:val="•"/>
      <w:lvlJc w:val="left"/>
      <w:pPr>
        <w:tabs>
          <w:tab w:val="num" w:pos="2160"/>
        </w:tabs>
        <w:ind w:left="2160" w:hanging="360"/>
      </w:pPr>
      <w:rPr>
        <w:rFonts w:ascii="Arial" w:hAnsi="Arial" w:hint="default"/>
      </w:rPr>
    </w:lvl>
    <w:lvl w:ilvl="3" w:tplc="3DD8F4D0" w:tentative="1">
      <w:start w:val="1"/>
      <w:numFmt w:val="bullet"/>
      <w:lvlText w:val="•"/>
      <w:lvlJc w:val="left"/>
      <w:pPr>
        <w:tabs>
          <w:tab w:val="num" w:pos="2880"/>
        </w:tabs>
        <w:ind w:left="2880" w:hanging="360"/>
      </w:pPr>
      <w:rPr>
        <w:rFonts w:ascii="Arial" w:hAnsi="Arial" w:hint="default"/>
      </w:rPr>
    </w:lvl>
    <w:lvl w:ilvl="4" w:tplc="72C44D9A" w:tentative="1">
      <w:start w:val="1"/>
      <w:numFmt w:val="bullet"/>
      <w:lvlText w:val="•"/>
      <w:lvlJc w:val="left"/>
      <w:pPr>
        <w:tabs>
          <w:tab w:val="num" w:pos="3600"/>
        </w:tabs>
        <w:ind w:left="3600" w:hanging="360"/>
      </w:pPr>
      <w:rPr>
        <w:rFonts w:ascii="Arial" w:hAnsi="Arial" w:hint="default"/>
      </w:rPr>
    </w:lvl>
    <w:lvl w:ilvl="5" w:tplc="8280FF48" w:tentative="1">
      <w:start w:val="1"/>
      <w:numFmt w:val="bullet"/>
      <w:lvlText w:val="•"/>
      <w:lvlJc w:val="left"/>
      <w:pPr>
        <w:tabs>
          <w:tab w:val="num" w:pos="4320"/>
        </w:tabs>
        <w:ind w:left="4320" w:hanging="360"/>
      </w:pPr>
      <w:rPr>
        <w:rFonts w:ascii="Arial" w:hAnsi="Arial" w:hint="default"/>
      </w:rPr>
    </w:lvl>
    <w:lvl w:ilvl="6" w:tplc="188E5E82" w:tentative="1">
      <w:start w:val="1"/>
      <w:numFmt w:val="bullet"/>
      <w:lvlText w:val="•"/>
      <w:lvlJc w:val="left"/>
      <w:pPr>
        <w:tabs>
          <w:tab w:val="num" w:pos="5040"/>
        </w:tabs>
        <w:ind w:left="5040" w:hanging="360"/>
      </w:pPr>
      <w:rPr>
        <w:rFonts w:ascii="Arial" w:hAnsi="Arial" w:hint="default"/>
      </w:rPr>
    </w:lvl>
    <w:lvl w:ilvl="7" w:tplc="2230162E" w:tentative="1">
      <w:start w:val="1"/>
      <w:numFmt w:val="bullet"/>
      <w:lvlText w:val="•"/>
      <w:lvlJc w:val="left"/>
      <w:pPr>
        <w:tabs>
          <w:tab w:val="num" w:pos="5760"/>
        </w:tabs>
        <w:ind w:left="5760" w:hanging="360"/>
      </w:pPr>
      <w:rPr>
        <w:rFonts w:ascii="Arial" w:hAnsi="Arial" w:hint="default"/>
      </w:rPr>
    </w:lvl>
    <w:lvl w:ilvl="8" w:tplc="336892A8" w:tentative="1">
      <w:start w:val="1"/>
      <w:numFmt w:val="bullet"/>
      <w:lvlText w:val="•"/>
      <w:lvlJc w:val="left"/>
      <w:pPr>
        <w:tabs>
          <w:tab w:val="num" w:pos="6480"/>
        </w:tabs>
        <w:ind w:left="6480" w:hanging="360"/>
      </w:pPr>
      <w:rPr>
        <w:rFonts w:ascii="Arial" w:hAnsi="Arial" w:hint="default"/>
      </w:rPr>
    </w:lvl>
  </w:abstractNum>
  <w:abstractNum w:abstractNumId="13">
    <w:nsid w:val="4C8A7F6B"/>
    <w:multiLevelType w:val="hybridMultilevel"/>
    <w:tmpl w:val="F89C1C36"/>
    <w:lvl w:ilvl="0" w:tplc="92927296">
      <w:start w:val="1"/>
      <w:numFmt w:val="bullet"/>
      <w:lvlText w:val="•"/>
      <w:lvlJc w:val="left"/>
      <w:pPr>
        <w:tabs>
          <w:tab w:val="num" w:pos="720"/>
        </w:tabs>
        <w:ind w:left="720" w:hanging="360"/>
      </w:pPr>
      <w:rPr>
        <w:rFonts w:ascii="Arial" w:hAnsi="Arial" w:hint="default"/>
      </w:rPr>
    </w:lvl>
    <w:lvl w:ilvl="1" w:tplc="4BA8E5DC">
      <w:start w:val="2384"/>
      <w:numFmt w:val="bullet"/>
      <w:lvlText w:val="•"/>
      <w:lvlJc w:val="left"/>
      <w:pPr>
        <w:tabs>
          <w:tab w:val="num" w:pos="1440"/>
        </w:tabs>
        <w:ind w:left="1440" w:hanging="360"/>
      </w:pPr>
      <w:rPr>
        <w:rFonts w:ascii="Arial" w:hAnsi="Arial" w:hint="default"/>
      </w:rPr>
    </w:lvl>
    <w:lvl w:ilvl="2" w:tplc="EC1210EC" w:tentative="1">
      <w:start w:val="1"/>
      <w:numFmt w:val="bullet"/>
      <w:lvlText w:val="•"/>
      <w:lvlJc w:val="left"/>
      <w:pPr>
        <w:tabs>
          <w:tab w:val="num" w:pos="2160"/>
        </w:tabs>
        <w:ind w:left="2160" w:hanging="360"/>
      </w:pPr>
      <w:rPr>
        <w:rFonts w:ascii="Arial" w:hAnsi="Arial" w:hint="default"/>
      </w:rPr>
    </w:lvl>
    <w:lvl w:ilvl="3" w:tplc="A1CEEBFE" w:tentative="1">
      <w:start w:val="1"/>
      <w:numFmt w:val="bullet"/>
      <w:lvlText w:val="•"/>
      <w:lvlJc w:val="left"/>
      <w:pPr>
        <w:tabs>
          <w:tab w:val="num" w:pos="2880"/>
        </w:tabs>
        <w:ind w:left="2880" w:hanging="360"/>
      </w:pPr>
      <w:rPr>
        <w:rFonts w:ascii="Arial" w:hAnsi="Arial" w:hint="default"/>
      </w:rPr>
    </w:lvl>
    <w:lvl w:ilvl="4" w:tplc="2B06DC84" w:tentative="1">
      <w:start w:val="1"/>
      <w:numFmt w:val="bullet"/>
      <w:lvlText w:val="•"/>
      <w:lvlJc w:val="left"/>
      <w:pPr>
        <w:tabs>
          <w:tab w:val="num" w:pos="3600"/>
        </w:tabs>
        <w:ind w:left="3600" w:hanging="360"/>
      </w:pPr>
      <w:rPr>
        <w:rFonts w:ascii="Arial" w:hAnsi="Arial" w:hint="default"/>
      </w:rPr>
    </w:lvl>
    <w:lvl w:ilvl="5" w:tplc="7158CE00" w:tentative="1">
      <w:start w:val="1"/>
      <w:numFmt w:val="bullet"/>
      <w:lvlText w:val="•"/>
      <w:lvlJc w:val="left"/>
      <w:pPr>
        <w:tabs>
          <w:tab w:val="num" w:pos="4320"/>
        </w:tabs>
        <w:ind w:left="4320" w:hanging="360"/>
      </w:pPr>
      <w:rPr>
        <w:rFonts w:ascii="Arial" w:hAnsi="Arial" w:hint="default"/>
      </w:rPr>
    </w:lvl>
    <w:lvl w:ilvl="6" w:tplc="62E671E8" w:tentative="1">
      <w:start w:val="1"/>
      <w:numFmt w:val="bullet"/>
      <w:lvlText w:val="•"/>
      <w:lvlJc w:val="left"/>
      <w:pPr>
        <w:tabs>
          <w:tab w:val="num" w:pos="5040"/>
        </w:tabs>
        <w:ind w:left="5040" w:hanging="360"/>
      </w:pPr>
      <w:rPr>
        <w:rFonts w:ascii="Arial" w:hAnsi="Arial" w:hint="default"/>
      </w:rPr>
    </w:lvl>
    <w:lvl w:ilvl="7" w:tplc="65B2D1CA" w:tentative="1">
      <w:start w:val="1"/>
      <w:numFmt w:val="bullet"/>
      <w:lvlText w:val="•"/>
      <w:lvlJc w:val="left"/>
      <w:pPr>
        <w:tabs>
          <w:tab w:val="num" w:pos="5760"/>
        </w:tabs>
        <w:ind w:left="5760" w:hanging="360"/>
      </w:pPr>
      <w:rPr>
        <w:rFonts w:ascii="Arial" w:hAnsi="Arial" w:hint="default"/>
      </w:rPr>
    </w:lvl>
    <w:lvl w:ilvl="8" w:tplc="BEF2DF36" w:tentative="1">
      <w:start w:val="1"/>
      <w:numFmt w:val="bullet"/>
      <w:lvlText w:val="•"/>
      <w:lvlJc w:val="left"/>
      <w:pPr>
        <w:tabs>
          <w:tab w:val="num" w:pos="6480"/>
        </w:tabs>
        <w:ind w:left="6480" w:hanging="360"/>
      </w:pPr>
      <w:rPr>
        <w:rFonts w:ascii="Arial" w:hAnsi="Arial" w:hint="default"/>
      </w:rPr>
    </w:lvl>
  </w:abstractNum>
  <w:abstractNum w:abstractNumId="14">
    <w:nsid w:val="559C06D6"/>
    <w:multiLevelType w:val="hybridMultilevel"/>
    <w:tmpl w:val="208CE836"/>
    <w:lvl w:ilvl="0" w:tplc="E2902A10">
      <w:start w:val="1"/>
      <w:numFmt w:val="bullet"/>
      <w:lvlText w:val="•"/>
      <w:lvlJc w:val="left"/>
      <w:pPr>
        <w:tabs>
          <w:tab w:val="num" w:pos="720"/>
        </w:tabs>
        <w:ind w:left="720" w:hanging="360"/>
      </w:pPr>
      <w:rPr>
        <w:rFonts w:ascii="Arial" w:hAnsi="Arial" w:hint="default"/>
      </w:rPr>
    </w:lvl>
    <w:lvl w:ilvl="1" w:tplc="237EFBDE">
      <w:start w:val="4140"/>
      <w:numFmt w:val="bullet"/>
      <w:lvlText w:val="–"/>
      <w:lvlJc w:val="left"/>
      <w:pPr>
        <w:tabs>
          <w:tab w:val="num" w:pos="1440"/>
        </w:tabs>
        <w:ind w:left="1440" w:hanging="360"/>
      </w:pPr>
      <w:rPr>
        <w:rFonts w:ascii="Arial" w:hAnsi="Arial" w:hint="default"/>
      </w:rPr>
    </w:lvl>
    <w:lvl w:ilvl="2" w:tplc="141CC636" w:tentative="1">
      <w:start w:val="1"/>
      <w:numFmt w:val="bullet"/>
      <w:lvlText w:val="•"/>
      <w:lvlJc w:val="left"/>
      <w:pPr>
        <w:tabs>
          <w:tab w:val="num" w:pos="2160"/>
        </w:tabs>
        <w:ind w:left="2160" w:hanging="360"/>
      </w:pPr>
      <w:rPr>
        <w:rFonts w:ascii="Arial" w:hAnsi="Arial" w:hint="default"/>
      </w:rPr>
    </w:lvl>
    <w:lvl w:ilvl="3" w:tplc="B4E091BA" w:tentative="1">
      <w:start w:val="1"/>
      <w:numFmt w:val="bullet"/>
      <w:lvlText w:val="•"/>
      <w:lvlJc w:val="left"/>
      <w:pPr>
        <w:tabs>
          <w:tab w:val="num" w:pos="2880"/>
        </w:tabs>
        <w:ind w:left="2880" w:hanging="360"/>
      </w:pPr>
      <w:rPr>
        <w:rFonts w:ascii="Arial" w:hAnsi="Arial" w:hint="default"/>
      </w:rPr>
    </w:lvl>
    <w:lvl w:ilvl="4" w:tplc="0BBA45FA" w:tentative="1">
      <w:start w:val="1"/>
      <w:numFmt w:val="bullet"/>
      <w:lvlText w:val="•"/>
      <w:lvlJc w:val="left"/>
      <w:pPr>
        <w:tabs>
          <w:tab w:val="num" w:pos="3600"/>
        </w:tabs>
        <w:ind w:left="3600" w:hanging="360"/>
      </w:pPr>
      <w:rPr>
        <w:rFonts w:ascii="Arial" w:hAnsi="Arial" w:hint="default"/>
      </w:rPr>
    </w:lvl>
    <w:lvl w:ilvl="5" w:tplc="FEDAA58C" w:tentative="1">
      <w:start w:val="1"/>
      <w:numFmt w:val="bullet"/>
      <w:lvlText w:val="•"/>
      <w:lvlJc w:val="left"/>
      <w:pPr>
        <w:tabs>
          <w:tab w:val="num" w:pos="4320"/>
        </w:tabs>
        <w:ind w:left="4320" w:hanging="360"/>
      </w:pPr>
      <w:rPr>
        <w:rFonts w:ascii="Arial" w:hAnsi="Arial" w:hint="default"/>
      </w:rPr>
    </w:lvl>
    <w:lvl w:ilvl="6" w:tplc="670E04F2" w:tentative="1">
      <w:start w:val="1"/>
      <w:numFmt w:val="bullet"/>
      <w:lvlText w:val="•"/>
      <w:lvlJc w:val="left"/>
      <w:pPr>
        <w:tabs>
          <w:tab w:val="num" w:pos="5040"/>
        </w:tabs>
        <w:ind w:left="5040" w:hanging="360"/>
      </w:pPr>
      <w:rPr>
        <w:rFonts w:ascii="Arial" w:hAnsi="Arial" w:hint="default"/>
      </w:rPr>
    </w:lvl>
    <w:lvl w:ilvl="7" w:tplc="25E88C78" w:tentative="1">
      <w:start w:val="1"/>
      <w:numFmt w:val="bullet"/>
      <w:lvlText w:val="•"/>
      <w:lvlJc w:val="left"/>
      <w:pPr>
        <w:tabs>
          <w:tab w:val="num" w:pos="5760"/>
        </w:tabs>
        <w:ind w:left="5760" w:hanging="360"/>
      </w:pPr>
      <w:rPr>
        <w:rFonts w:ascii="Arial" w:hAnsi="Arial" w:hint="default"/>
      </w:rPr>
    </w:lvl>
    <w:lvl w:ilvl="8" w:tplc="751C1BFE" w:tentative="1">
      <w:start w:val="1"/>
      <w:numFmt w:val="bullet"/>
      <w:lvlText w:val="•"/>
      <w:lvlJc w:val="left"/>
      <w:pPr>
        <w:tabs>
          <w:tab w:val="num" w:pos="6480"/>
        </w:tabs>
        <w:ind w:left="6480" w:hanging="360"/>
      </w:pPr>
      <w:rPr>
        <w:rFonts w:ascii="Arial" w:hAnsi="Arial" w:hint="default"/>
      </w:rPr>
    </w:lvl>
  </w:abstractNum>
  <w:abstractNum w:abstractNumId="15">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6">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8">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9">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20">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20"/>
  </w:num>
  <w:num w:numId="4">
    <w:abstractNumId w:val="2"/>
  </w:num>
  <w:num w:numId="5">
    <w:abstractNumId w:val="4"/>
  </w:num>
  <w:num w:numId="6">
    <w:abstractNumId w:val="1"/>
  </w:num>
  <w:num w:numId="7">
    <w:abstractNumId w:val="7"/>
  </w:num>
  <w:num w:numId="8">
    <w:abstractNumId w:val="13"/>
  </w:num>
  <w:num w:numId="9">
    <w:abstractNumId w:val="5"/>
  </w:num>
  <w:num w:numId="10">
    <w:abstractNumId w:val="21"/>
  </w:num>
  <w:num w:numId="11">
    <w:abstractNumId w:val="3"/>
  </w:num>
  <w:num w:numId="12">
    <w:abstractNumId w:val="15"/>
  </w:num>
  <w:num w:numId="13">
    <w:abstractNumId w:val="9"/>
  </w:num>
  <w:num w:numId="14">
    <w:abstractNumId w:val="10"/>
  </w:num>
  <w:num w:numId="15">
    <w:abstractNumId w:val="8"/>
  </w:num>
  <w:num w:numId="16">
    <w:abstractNumId w:val="12"/>
  </w:num>
  <w:num w:numId="17">
    <w:abstractNumId w:val="14"/>
  </w:num>
  <w:num w:numId="18">
    <w:abstractNumId w:val="17"/>
  </w:num>
  <w:num w:numId="19">
    <w:abstractNumId w:val="18"/>
  </w:num>
  <w:num w:numId="20">
    <w:abstractNumId w:val="11"/>
  </w:num>
  <w:num w:numId="21">
    <w:abstractNumId w:val="19"/>
  </w:num>
  <w:num w:numId="22">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3721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3D48"/>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4F09"/>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061"/>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355E"/>
    <w:rsid w:val="000A45F5"/>
    <w:rsid w:val="000A56CE"/>
    <w:rsid w:val="000A5C23"/>
    <w:rsid w:val="000A66F3"/>
    <w:rsid w:val="000A6D28"/>
    <w:rsid w:val="000B0254"/>
    <w:rsid w:val="000B0477"/>
    <w:rsid w:val="000B21A5"/>
    <w:rsid w:val="000B26E0"/>
    <w:rsid w:val="000B3869"/>
    <w:rsid w:val="000B3B91"/>
    <w:rsid w:val="000B42AC"/>
    <w:rsid w:val="000B54AF"/>
    <w:rsid w:val="000B5A14"/>
    <w:rsid w:val="000B5CFA"/>
    <w:rsid w:val="000B5E78"/>
    <w:rsid w:val="000B60DF"/>
    <w:rsid w:val="000B62B6"/>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1342"/>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6BFC"/>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5B8"/>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4CE3"/>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2F95"/>
    <w:rsid w:val="001C3352"/>
    <w:rsid w:val="001C3566"/>
    <w:rsid w:val="001C38E9"/>
    <w:rsid w:val="001C413E"/>
    <w:rsid w:val="001C4BA7"/>
    <w:rsid w:val="001C4C73"/>
    <w:rsid w:val="001C5893"/>
    <w:rsid w:val="001C592C"/>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13EC"/>
    <w:rsid w:val="001E2231"/>
    <w:rsid w:val="001E27A8"/>
    <w:rsid w:val="001E301F"/>
    <w:rsid w:val="001E3B7F"/>
    <w:rsid w:val="001E40F3"/>
    <w:rsid w:val="001E45F3"/>
    <w:rsid w:val="001E4AC2"/>
    <w:rsid w:val="001E6555"/>
    <w:rsid w:val="001E7525"/>
    <w:rsid w:val="001E7EFC"/>
    <w:rsid w:val="001F1AD9"/>
    <w:rsid w:val="001F1D66"/>
    <w:rsid w:val="001F3820"/>
    <w:rsid w:val="001F4FD5"/>
    <w:rsid w:val="001F6DD2"/>
    <w:rsid w:val="001F7386"/>
    <w:rsid w:val="00200DCD"/>
    <w:rsid w:val="00202106"/>
    <w:rsid w:val="00202226"/>
    <w:rsid w:val="00203216"/>
    <w:rsid w:val="002060FA"/>
    <w:rsid w:val="00206533"/>
    <w:rsid w:val="002103CB"/>
    <w:rsid w:val="002109D7"/>
    <w:rsid w:val="002111F2"/>
    <w:rsid w:val="00212056"/>
    <w:rsid w:val="002122F0"/>
    <w:rsid w:val="00212E9D"/>
    <w:rsid w:val="0021363F"/>
    <w:rsid w:val="002136C8"/>
    <w:rsid w:val="00213C41"/>
    <w:rsid w:val="00214676"/>
    <w:rsid w:val="002149B6"/>
    <w:rsid w:val="00214ABE"/>
    <w:rsid w:val="00214C15"/>
    <w:rsid w:val="00215C13"/>
    <w:rsid w:val="00215FC8"/>
    <w:rsid w:val="002163F6"/>
    <w:rsid w:val="00216E2F"/>
    <w:rsid w:val="00217D5C"/>
    <w:rsid w:val="00221176"/>
    <w:rsid w:val="0022142F"/>
    <w:rsid w:val="002214D3"/>
    <w:rsid w:val="00221EC3"/>
    <w:rsid w:val="002225D8"/>
    <w:rsid w:val="00222D33"/>
    <w:rsid w:val="00223E6F"/>
    <w:rsid w:val="00224AD8"/>
    <w:rsid w:val="00224B7A"/>
    <w:rsid w:val="00225658"/>
    <w:rsid w:val="00225803"/>
    <w:rsid w:val="00226F0A"/>
    <w:rsid w:val="00227558"/>
    <w:rsid w:val="00227CB5"/>
    <w:rsid w:val="00227E97"/>
    <w:rsid w:val="00230943"/>
    <w:rsid w:val="002312E0"/>
    <w:rsid w:val="00232217"/>
    <w:rsid w:val="00232242"/>
    <w:rsid w:val="0023233B"/>
    <w:rsid w:val="00232381"/>
    <w:rsid w:val="00232814"/>
    <w:rsid w:val="00232A41"/>
    <w:rsid w:val="00233315"/>
    <w:rsid w:val="00233A95"/>
    <w:rsid w:val="00234C14"/>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ABB"/>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66E24"/>
    <w:rsid w:val="00270DAE"/>
    <w:rsid w:val="00271849"/>
    <w:rsid w:val="00272C1F"/>
    <w:rsid w:val="00272C58"/>
    <w:rsid w:val="00273E95"/>
    <w:rsid w:val="002742C1"/>
    <w:rsid w:val="00274A61"/>
    <w:rsid w:val="002751BF"/>
    <w:rsid w:val="002753B8"/>
    <w:rsid w:val="00277900"/>
    <w:rsid w:val="00281169"/>
    <w:rsid w:val="002811A1"/>
    <w:rsid w:val="002816BC"/>
    <w:rsid w:val="0028207F"/>
    <w:rsid w:val="00282754"/>
    <w:rsid w:val="00283143"/>
    <w:rsid w:val="002831C8"/>
    <w:rsid w:val="00285DB9"/>
    <w:rsid w:val="002860E0"/>
    <w:rsid w:val="00286797"/>
    <w:rsid w:val="00287689"/>
    <w:rsid w:val="00287A63"/>
    <w:rsid w:val="00290E5E"/>
    <w:rsid w:val="00291045"/>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4256"/>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C7D00"/>
    <w:rsid w:val="002D010D"/>
    <w:rsid w:val="002D0399"/>
    <w:rsid w:val="002D0934"/>
    <w:rsid w:val="002D0AE4"/>
    <w:rsid w:val="002D1C53"/>
    <w:rsid w:val="002D1F9F"/>
    <w:rsid w:val="002D4081"/>
    <w:rsid w:val="002D4B4F"/>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2936"/>
    <w:rsid w:val="00303F41"/>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5AC0"/>
    <w:rsid w:val="00376210"/>
    <w:rsid w:val="0037636D"/>
    <w:rsid w:val="00376731"/>
    <w:rsid w:val="00376BC4"/>
    <w:rsid w:val="00376E01"/>
    <w:rsid w:val="00377B67"/>
    <w:rsid w:val="00377DA3"/>
    <w:rsid w:val="00380740"/>
    <w:rsid w:val="00382DEA"/>
    <w:rsid w:val="00382F2A"/>
    <w:rsid w:val="00383A91"/>
    <w:rsid w:val="00383AFA"/>
    <w:rsid w:val="00383FEB"/>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602"/>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AC2"/>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494"/>
    <w:rsid w:val="0043487D"/>
    <w:rsid w:val="004349F2"/>
    <w:rsid w:val="00434FFC"/>
    <w:rsid w:val="00435176"/>
    <w:rsid w:val="00435AD7"/>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66EAB"/>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6AE7"/>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A7E6F"/>
    <w:rsid w:val="004B10DB"/>
    <w:rsid w:val="004B1DB1"/>
    <w:rsid w:val="004B2387"/>
    <w:rsid w:val="004B3910"/>
    <w:rsid w:val="004B4592"/>
    <w:rsid w:val="004B4D45"/>
    <w:rsid w:val="004B4F42"/>
    <w:rsid w:val="004B5702"/>
    <w:rsid w:val="004B5E47"/>
    <w:rsid w:val="004B5F16"/>
    <w:rsid w:val="004B7B38"/>
    <w:rsid w:val="004C063B"/>
    <w:rsid w:val="004C0685"/>
    <w:rsid w:val="004C1520"/>
    <w:rsid w:val="004C25CB"/>
    <w:rsid w:val="004C315A"/>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56CE"/>
    <w:rsid w:val="004D5738"/>
    <w:rsid w:val="004D680C"/>
    <w:rsid w:val="004D6C2E"/>
    <w:rsid w:val="004D6F6C"/>
    <w:rsid w:val="004D718D"/>
    <w:rsid w:val="004D7753"/>
    <w:rsid w:val="004D7A52"/>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4EE2"/>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5D57"/>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621"/>
    <w:rsid w:val="00542E44"/>
    <w:rsid w:val="005433D3"/>
    <w:rsid w:val="00543A8F"/>
    <w:rsid w:val="00544333"/>
    <w:rsid w:val="0054444F"/>
    <w:rsid w:val="0054482B"/>
    <w:rsid w:val="00545336"/>
    <w:rsid w:val="005456E6"/>
    <w:rsid w:val="00545912"/>
    <w:rsid w:val="00546399"/>
    <w:rsid w:val="005464D5"/>
    <w:rsid w:val="0054699E"/>
    <w:rsid w:val="00546C8C"/>
    <w:rsid w:val="00546D9C"/>
    <w:rsid w:val="00547F5C"/>
    <w:rsid w:val="00550607"/>
    <w:rsid w:val="00550B7B"/>
    <w:rsid w:val="00552214"/>
    <w:rsid w:val="005527F5"/>
    <w:rsid w:val="00552B18"/>
    <w:rsid w:val="0055306D"/>
    <w:rsid w:val="00553592"/>
    <w:rsid w:val="00553594"/>
    <w:rsid w:val="00553D85"/>
    <w:rsid w:val="00554AA1"/>
    <w:rsid w:val="00555C96"/>
    <w:rsid w:val="0055629D"/>
    <w:rsid w:val="00557209"/>
    <w:rsid w:val="005609DC"/>
    <w:rsid w:val="00561673"/>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6953"/>
    <w:rsid w:val="00577889"/>
    <w:rsid w:val="00577FC7"/>
    <w:rsid w:val="00581127"/>
    <w:rsid w:val="00582166"/>
    <w:rsid w:val="0058244E"/>
    <w:rsid w:val="00582939"/>
    <w:rsid w:val="00582F0A"/>
    <w:rsid w:val="00582F0E"/>
    <w:rsid w:val="0058315E"/>
    <w:rsid w:val="005831C5"/>
    <w:rsid w:val="0058440E"/>
    <w:rsid w:val="005852CD"/>
    <w:rsid w:val="005857B8"/>
    <w:rsid w:val="00586212"/>
    <w:rsid w:val="00586C5D"/>
    <w:rsid w:val="0058757B"/>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5795"/>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0CC5"/>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141A"/>
    <w:rsid w:val="005F2765"/>
    <w:rsid w:val="005F46DA"/>
    <w:rsid w:val="005F48F8"/>
    <w:rsid w:val="005F5D64"/>
    <w:rsid w:val="005F5DAD"/>
    <w:rsid w:val="005F60C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2428"/>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0C6A"/>
    <w:rsid w:val="006326FE"/>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180"/>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2B47"/>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3A57"/>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C7F02"/>
    <w:rsid w:val="006D0832"/>
    <w:rsid w:val="006D14BA"/>
    <w:rsid w:val="006D1679"/>
    <w:rsid w:val="006D2091"/>
    <w:rsid w:val="006D26D0"/>
    <w:rsid w:val="006D3593"/>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6AFC"/>
    <w:rsid w:val="00716C73"/>
    <w:rsid w:val="00717364"/>
    <w:rsid w:val="00717D35"/>
    <w:rsid w:val="00720946"/>
    <w:rsid w:val="0072107C"/>
    <w:rsid w:val="00721E15"/>
    <w:rsid w:val="00724138"/>
    <w:rsid w:val="00724321"/>
    <w:rsid w:val="00724965"/>
    <w:rsid w:val="00724EE9"/>
    <w:rsid w:val="0072530D"/>
    <w:rsid w:val="0072752A"/>
    <w:rsid w:val="00727613"/>
    <w:rsid w:val="007277FF"/>
    <w:rsid w:val="00727DB1"/>
    <w:rsid w:val="00727F01"/>
    <w:rsid w:val="00731FDA"/>
    <w:rsid w:val="007342B3"/>
    <w:rsid w:val="007346B4"/>
    <w:rsid w:val="00735264"/>
    <w:rsid w:val="00735AA3"/>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C1A"/>
    <w:rsid w:val="00761F4B"/>
    <w:rsid w:val="007629A2"/>
    <w:rsid w:val="007633EF"/>
    <w:rsid w:val="00763D11"/>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977E4"/>
    <w:rsid w:val="007A14EE"/>
    <w:rsid w:val="007A1526"/>
    <w:rsid w:val="007A25E8"/>
    <w:rsid w:val="007A2CEB"/>
    <w:rsid w:val="007A2F92"/>
    <w:rsid w:val="007A38EB"/>
    <w:rsid w:val="007A426D"/>
    <w:rsid w:val="007A55A4"/>
    <w:rsid w:val="007A5908"/>
    <w:rsid w:val="007A6061"/>
    <w:rsid w:val="007B0FEF"/>
    <w:rsid w:val="007B1102"/>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01A9"/>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1BE1"/>
    <w:rsid w:val="00822AB7"/>
    <w:rsid w:val="00823508"/>
    <w:rsid w:val="00823ED2"/>
    <w:rsid w:val="008249B8"/>
    <w:rsid w:val="00824F40"/>
    <w:rsid w:val="00825984"/>
    <w:rsid w:val="0083097D"/>
    <w:rsid w:val="00831A64"/>
    <w:rsid w:val="00831F5C"/>
    <w:rsid w:val="008324B7"/>
    <w:rsid w:val="008327C5"/>
    <w:rsid w:val="00833152"/>
    <w:rsid w:val="00833813"/>
    <w:rsid w:val="00833A82"/>
    <w:rsid w:val="00834D3F"/>
    <w:rsid w:val="00835D54"/>
    <w:rsid w:val="00836304"/>
    <w:rsid w:val="00836FA0"/>
    <w:rsid w:val="00840DD8"/>
    <w:rsid w:val="00841930"/>
    <w:rsid w:val="00842CB9"/>
    <w:rsid w:val="0084350E"/>
    <w:rsid w:val="008447A1"/>
    <w:rsid w:val="00845249"/>
    <w:rsid w:val="008474C6"/>
    <w:rsid w:val="00847678"/>
    <w:rsid w:val="00847714"/>
    <w:rsid w:val="0084780E"/>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556"/>
    <w:rsid w:val="00876601"/>
    <w:rsid w:val="008775F7"/>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4148"/>
    <w:rsid w:val="008955DA"/>
    <w:rsid w:val="00895BF4"/>
    <w:rsid w:val="00896E63"/>
    <w:rsid w:val="008A064D"/>
    <w:rsid w:val="008A0B72"/>
    <w:rsid w:val="008A1A41"/>
    <w:rsid w:val="008A1C2D"/>
    <w:rsid w:val="008A3E45"/>
    <w:rsid w:val="008A5382"/>
    <w:rsid w:val="008A5816"/>
    <w:rsid w:val="008A5A00"/>
    <w:rsid w:val="008A71F1"/>
    <w:rsid w:val="008B0487"/>
    <w:rsid w:val="008B04B7"/>
    <w:rsid w:val="008B1003"/>
    <w:rsid w:val="008B2CC7"/>
    <w:rsid w:val="008B5579"/>
    <w:rsid w:val="008B6355"/>
    <w:rsid w:val="008B65A9"/>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2D16"/>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44F"/>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007"/>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06E8"/>
    <w:rsid w:val="009316A1"/>
    <w:rsid w:val="00931A97"/>
    <w:rsid w:val="00931E5C"/>
    <w:rsid w:val="0093234C"/>
    <w:rsid w:val="009326E6"/>
    <w:rsid w:val="00932808"/>
    <w:rsid w:val="00932969"/>
    <w:rsid w:val="00932B26"/>
    <w:rsid w:val="009344AA"/>
    <w:rsid w:val="00934635"/>
    <w:rsid w:val="009354C5"/>
    <w:rsid w:val="00935590"/>
    <w:rsid w:val="009355AF"/>
    <w:rsid w:val="00936012"/>
    <w:rsid w:val="00937D9E"/>
    <w:rsid w:val="00940A25"/>
    <w:rsid w:val="0094123B"/>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2DC0"/>
    <w:rsid w:val="00963147"/>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21F"/>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CC1"/>
    <w:rsid w:val="009D1EF2"/>
    <w:rsid w:val="009D2166"/>
    <w:rsid w:val="009D3E29"/>
    <w:rsid w:val="009D4DB9"/>
    <w:rsid w:val="009D4DBF"/>
    <w:rsid w:val="009D6032"/>
    <w:rsid w:val="009D60A4"/>
    <w:rsid w:val="009D6319"/>
    <w:rsid w:val="009D69AD"/>
    <w:rsid w:val="009E049C"/>
    <w:rsid w:val="009E0D8F"/>
    <w:rsid w:val="009E1BA7"/>
    <w:rsid w:val="009E2526"/>
    <w:rsid w:val="009E26AB"/>
    <w:rsid w:val="009E2BD6"/>
    <w:rsid w:val="009E44DB"/>
    <w:rsid w:val="009E4578"/>
    <w:rsid w:val="009E5733"/>
    <w:rsid w:val="009E70CB"/>
    <w:rsid w:val="009F0202"/>
    <w:rsid w:val="009F1C34"/>
    <w:rsid w:val="009F329A"/>
    <w:rsid w:val="009F3358"/>
    <w:rsid w:val="009F3B53"/>
    <w:rsid w:val="009F46AD"/>
    <w:rsid w:val="009F676A"/>
    <w:rsid w:val="009F6E3C"/>
    <w:rsid w:val="009F7342"/>
    <w:rsid w:val="00A00952"/>
    <w:rsid w:val="00A0632E"/>
    <w:rsid w:val="00A1002D"/>
    <w:rsid w:val="00A11621"/>
    <w:rsid w:val="00A11922"/>
    <w:rsid w:val="00A12DD4"/>
    <w:rsid w:val="00A136A1"/>
    <w:rsid w:val="00A16017"/>
    <w:rsid w:val="00A16575"/>
    <w:rsid w:val="00A16746"/>
    <w:rsid w:val="00A16BB2"/>
    <w:rsid w:val="00A17067"/>
    <w:rsid w:val="00A21B27"/>
    <w:rsid w:val="00A22700"/>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05E5"/>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6C65"/>
    <w:rsid w:val="00A57084"/>
    <w:rsid w:val="00A607CC"/>
    <w:rsid w:val="00A61A8E"/>
    <w:rsid w:val="00A62F60"/>
    <w:rsid w:val="00A64084"/>
    <w:rsid w:val="00A64A13"/>
    <w:rsid w:val="00A65723"/>
    <w:rsid w:val="00A66733"/>
    <w:rsid w:val="00A66D93"/>
    <w:rsid w:val="00A66FC8"/>
    <w:rsid w:val="00A7116E"/>
    <w:rsid w:val="00A73169"/>
    <w:rsid w:val="00A73AC8"/>
    <w:rsid w:val="00A743CD"/>
    <w:rsid w:val="00A74641"/>
    <w:rsid w:val="00A754AB"/>
    <w:rsid w:val="00A766FF"/>
    <w:rsid w:val="00A76A37"/>
    <w:rsid w:val="00A777D6"/>
    <w:rsid w:val="00A77F20"/>
    <w:rsid w:val="00A80704"/>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7BB"/>
    <w:rsid w:val="00A95D20"/>
    <w:rsid w:val="00A969BC"/>
    <w:rsid w:val="00A97F04"/>
    <w:rsid w:val="00A97FD2"/>
    <w:rsid w:val="00AA12FB"/>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2E40"/>
    <w:rsid w:val="00AB32D7"/>
    <w:rsid w:val="00AB3733"/>
    <w:rsid w:val="00AB3A7D"/>
    <w:rsid w:val="00AB4C19"/>
    <w:rsid w:val="00AB52B5"/>
    <w:rsid w:val="00AB52FB"/>
    <w:rsid w:val="00AB769D"/>
    <w:rsid w:val="00AB7B54"/>
    <w:rsid w:val="00AC18C4"/>
    <w:rsid w:val="00AC33CC"/>
    <w:rsid w:val="00AC3B8A"/>
    <w:rsid w:val="00AC43D7"/>
    <w:rsid w:val="00AC4A35"/>
    <w:rsid w:val="00AC4B54"/>
    <w:rsid w:val="00AC584C"/>
    <w:rsid w:val="00AC594D"/>
    <w:rsid w:val="00AC6013"/>
    <w:rsid w:val="00AC66A8"/>
    <w:rsid w:val="00AC68DC"/>
    <w:rsid w:val="00AD1924"/>
    <w:rsid w:val="00AD2858"/>
    <w:rsid w:val="00AD2CCC"/>
    <w:rsid w:val="00AD30C8"/>
    <w:rsid w:val="00AD3789"/>
    <w:rsid w:val="00AD3CF7"/>
    <w:rsid w:val="00AD4F86"/>
    <w:rsid w:val="00AE0372"/>
    <w:rsid w:val="00AE0873"/>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0A4"/>
    <w:rsid w:val="00B003EE"/>
    <w:rsid w:val="00B01039"/>
    <w:rsid w:val="00B01BFC"/>
    <w:rsid w:val="00B02A87"/>
    <w:rsid w:val="00B033A1"/>
    <w:rsid w:val="00B03FEF"/>
    <w:rsid w:val="00B076FE"/>
    <w:rsid w:val="00B079B1"/>
    <w:rsid w:val="00B07CFF"/>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01C9"/>
    <w:rsid w:val="00B42398"/>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B15"/>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8ED"/>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52AB"/>
    <w:rsid w:val="00B97052"/>
    <w:rsid w:val="00BA0D93"/>
    <w:rsid w:val="00BA1F9D"/>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3318"/>
    <w:rsid w:val="00BB40BA"/>
    <w:rsid w:val="00BB5AC3"/>
    <w:rsid w:val="00BB6677"/>
    <w:rsid w:val="00BB6928"/>
    <w:rsid w:val="00BB6A6A"/>
    <w:rsid w:val="00BB7295"/>
    <w:rsid w:val="00BB7D10"/>
    <w:rsid w:val="00BC0223"/>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0A48"/>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ABE"/>
    <w:rsid w:val="00BF0ECE"/>
    <w:rsid w:val="00BF21A4"/>
    <w:rsid w:val="00BF288B"/>
    <w:rsid w:val="00BF2AD7"/>
    <w:rsid w:val="00BF318D"/>
    <w:rsid w:val="00BF34AF"/>
    <w:rsid w:val="00BF4DE9"/>
    <w:rsid w:val="00BF5E24"/>
    <w:rsid w:val="00BF761B"/>
    <w:rsid w:val="00BF784A"/>
    <w:rsid w:val="00BF7EB2"/>
    <w:rsid w:val="00C00732"/>
    <w:rsid w:val="00C01B7E"/>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5E5B"/>
    <w:rsid w:val="00C16041"/>
    <w:rsid w:val="00C160B5"/>
    <w:rsid w:val="00C16470"/>
    <w:rsid w:val="00C172AC"/>
    <w:rsid w:val="00C17D25"/>
    <w:rsid w:val="00C2046E"/>
    <w:rsid w:val="00C21844"/>
    <w:rsid w:val="00C21D5A"/>
    <w:rsid w:val="00C22BE3"/>
    <w:rsid w:val="00C22C3E"/>
    <w:rsid w:val="00C22E50"/>
    <w:rsid w:val="00C2559C"/>
    <w:rsid w:val="00C25A84"/>
    <w:rsid w:val="00C263D4"/>
    <w:rsid w:val="00C269D3"/>
    <w:rsid w:val="00C27536"/>
    <w:rsid w:val="00C3000B"/>
    <w:rsid w:val="00C33BF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CC1"/>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9D4"/>
    <w:rsid w:val="00C95C44"/>
    <w:rsid w:val="00C96643"/>
    <w:rsid w:val="00CA0F7A"/>
    <w:rsid w:val="00CA14F1"/>
    <w:rsid w:val="00CA2060"/>
    <w:rsid w:val="00CA2EDB"/>
    <w:rsid w:val="00CA3D92"/>
    <w:rsid w:val="00CA3E10"/>
    <w:rsid w:val="00CA5534"/>
    <w:rsid w:val="00CA597A"/>
    <w:rsid w:val="00CA5A7C"/>
    <w:rsid w:val="00CA5CBB"/>
    <w:rsid w:val="00CA6741"/>
    <w:rsid w:val="00CA76FC"/>
    <w:rsid w:val="00CA7EB7"/>
    <w:rsid w:val="00CB06EA"/>
    <w:rsid w:val="00CB0F89"/>
    <w:rsid w:val="00CB1585"/>
    <w:rsid w:val="00CB22FE"/>
    <w:rsid w:val="00CB267F"/>
    <w:rsid w:val="00CB590E"/>
    <w:rsid w:val="00CB6A3E"/>
    <w:rsid w:val="00CB6C1B"/>
    <w:rsid w:val="00CB743B"/>
    <w:rsid w:val="00CB7DD7"/>
    <w:rsid w:val="00CC0845"/>
    <w:rsid w:val="00CC0BFE"/>
    <w:rsid w:val="00CC2092"/>
    <w:rsid w:val="00CC2406"/>
    <w:rsid w:val="00CC2C60"/>
    <w:rsid w:val="00CC35C2"/>
    <w:rsid w:val="00CC5453"/>
    <w:rsid w:val="00CC5736"/>
    <w:rsid w:val="00CC5A57"/>
    <w:rsid w:val="00CC5B57"/>
    <w:rsid w:val="00CC6028"/>
    <w:rsid w:val="00CC6624"/>
    <w:rsid w:val="00CC6716"/>
    <w:rsid w:val="00CD01A0"/>
    <w:rsid w:val="00CD0FB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AC0"/>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1B0"/>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664"/>
    <w:rsid w:val="00D63DBD"/>
    <w:rsid w:val="00D63FCD"/>
    <w:rsid w:val="00D66BAE"/>
    <w:rsid w:val="00D66CB9"/>
    <w:rsid w:val="00D67490"/>
    <w:rsid w:val="00D67620"/>
    <w:rsid w:val="00D71F87"/>
    <w:rsid w:val="00D726D0"/>
    <w:rsid w:val="00D729D4"/>
    <w:rsid w:val="00D738C3"/>
    <w:rsid w:val="00D73EEA"/>
    <w:rsid w:val="00D74A6B"/>
    <w:rsid w:val="00D74AAA"/>
    <w:rsid w:val="00D74DA1"/>
    <w:rsid w:val="00D7563D"/>
    <w:rsid w:val="00D75FD2"/>
    <w:rsid w:val="00D808DF"/>
    <w:rsid w:val="00D809E1"/>
    <w:rsid w:val="00D8191C"/>
    <w:rsid w:val="00D81A15"/>
    <w:rsid w:val="00D81A35"/>
    <w:rsid w:val="00D81C7B"/>
    <w:rsid w:val="00D81D91"/>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4ED5"/>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56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1D55"/>
    <w:rsid w:val="00E231E4"/>
    <w:rsid w:val="00E250E1"/>
    <w:rsid w:val="00E259D3"/>
    <w:rsid w:val="00E25FBC"/>
    <w:rsid w:val="00E261D0"/>
    <w:rsid w:val="00E26E1E"/>
    <w:rsid w:val="00E272E1"/>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2E95"/>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23C"/>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1DE2"/>
    <w:rsid w:val="00EA292D"/>
    <w:rsid w:val="00EA4C84"/>
    <w:rsid w:val="00EA530C"/>
    <w:rsid w:val="00EA7ED8"/>
    <w:rsid w:val="00EA7F7A"/>
    <w:rsid w:val="00EB05E2"/>
    <w:rsid w:val="00EB13D6"/>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2BF9"/>
    <w:rsid w:val="00ED304D"/>
    <w:rsid w:val="00ED418A"/>
    <w:rsid w:val="00ED4D80"/>
    <w:rsid w:val="00ED53E0"/>
    <w:rsid w:val="00ED5508"/>
    <w:rsid w:val="00ED69C8"/>
    <w:rsid w:val="00ED6E13"/>
    <w:rsid w:val="00ED7090"/>
    <w:rsid w:val="00EE00BA"/>
    <w:rsid w:val="00EE0DB8"/>
    <w:rsid w:val="00EE0E1C"/>
    <w:rsid w:val="00EE1F35"/>
    <w:rsid w:val="00EE26DE"/>
    <w:rsid w:val="00EE351D"/>
    <w:rsid w:val="00EE3A84"/>
    <w:rsid w:val="00EE402E"/>
    <w:rsid w:val="00EE521E"/>
    <w:rsid w:val="00EE582B"/>
    <w:rsid w:val="00EE5A06"/>
    <w:rsid w:val="00EE5B59"/>
    <w:rsid w:val="00EE6CAC"/>
    <w:rsid w:val="00EE74DF"/>
    <w:rsid w:val="00EF185F"/>
    <w:rsid w:val="00EF3246"/>
    <w:rsid w:val="00EF44A4"/>
    <w:rsid w:val="00EF678F"/>
    <w:rsid w:val="00EF6A71"/>
    <w:rsid w:val="00EF7FBD"/>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0F5F"/>
    <w:rsid w:val="00F216FD"/>
    <w:rsid w:val="00F21A07"/>
    <w:rsid w:val="00F227FB"/>
    <w:rsid w:val="00F2413B"/>
    <w:rsid w:val="00F243C7"/>
    <w:rsid w:val="00F24763"/>
    <w:rsid w:val="00F24E8A"/>
    <w:rsid w:val="00F27096"/>
    <w:rsid w:val="00F27361"/>
    <w:rsid w:val="00F30DE3"/>
    <w:rsid w:val="00F30DF0"/>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60B0"/>
    <w:rsid w:val="00F47583"/>
    <w:rsid w:val="00F475A3"/>
    <w:rsid w:val="00F47708"/>
    <w:rsid w:val="00F519F7"/>
    <w:rsid w:val="00F51AAC"/>
    <w:rsid w:val="00F5221C"/>
    <w:rsid w:val="00F528C3"/>
    <w:rsid w:val="00F52AF6"/>
    <w:rsid w:val="00F53F26"/>
    <w:rsid w:val="00F5417D"/>
    <w:rsid w:val="00F54F0F"/>
    <w:rsid w:val="00F55593"/>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419"/>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21AD"/>
    <w:rsid w:val="00FC3DCF"/>
    <w:rsid w:val="00FC4213"/>
    <w:rsid w:val="00FC47B2"/>
    <w:rsid w:val="00FC6EFE"/>
    <w:rsid w:val="00FD128E"/>
    <w:rsid w:val="00FD2168"/>
    <w:rsid w:val="00FD26B7"/>
    <w:rsid w:val="00FD275A"/>
    <w:rsid w:val="00FD35D9"/>
    <w:rsid w:val="00FD3981"/>
    <w:rsid w:val="00FD456C"/>
    <w:rsid w:val="00FD5698"/>
    <w:rsid w:val="00FD5E7D"/>
    <w:rsid w:val="00FD741B"/>
    <w:rsid w:val="00FE1320"/>
    <w:rsid w:val="00FE18C0"/>
    <w:rsid w:val="00FE1B0C"/>
    <w:rsid w:val="00FE2663"/>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3"/>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4"/>
      </w:numPr>
      <w:spacing w:before="180"/>
      <w:ind w:left="576" w:hanging="576"/>
      <w:outlineLvl w:val="1"/>
    </w:pPr>
    <w:rPr>
      <w:sz w:val="32"/>
    </w:rPr>
  </w:style>
  <w:style w:type="paragraph" w:styleId="3">
    <w:name w:val="heading 3"/>
    <w:aliases w:val="h3,H3,Underrubrik2,no break,3,Heading 3 3GPP"/>
    <w:basedOn w:val="2"/>
    <w:next w:val="a"/>
    <w:link w:val="3Char"/>
    <w:qFormat/>
    <w:rsid w:val="00AC584C"/>
    <w:pPr>
      <w:numPr>
        <w:ilvl w:val="1"/>
        <w:numId w:val="1"/>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Heading 3 3GPP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831A64"/>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831A64"/>
    <w:rPr>
      <w:rFonts w:ascii="Times New Roman" w:eastAsia="Times New Roman" w:hAnsi="Times New Roman"/>
      <w:szCs w:val="24"/>
      <w:lang w:eastAsia="ja-JP"/>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 w:type="paragraph" w:customStyle="1" w:styleId="ComeBack">
    <w:name w:val="ComeBack"/>
    <w:basedOn w:val="a"/>
    <w:next w:val="a"/>
    <w:rsid w:val="00515D57"/>
    <w:pPr>
      <w:numPr>
        <w:numId w:val="9"/>
      </w:numPr>
      <w:spacing w:after="0"/>
    </w:pPr>
    <w:rPr>
      <w:rFonts w:ascii="Arial" w:hAnsi="Arial"/>
      <w:szCs w:val="24"/>
      <w:lang w:eastAsia="en-GB"/>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3400507">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17019099">
      <w:bodyDiv w:val="1"/>
      <w:marLeft w:val="0"/>
      <w:marRight w:val="0"/>
      <w:marTop w:val="0"/>
      <w:marBottom w:val="0"/>
      <w:divBdr>
        <w:top w:val="none" w:sz="0" w:space="0" w:color="auto"/>
        <w:left w:val="none" w:sz="0" w:space="0" w:color="auto"/>
        <w:bottom w:val="none" w:sz="0" w:space="0" w:color="auto"/>
        <w:right w:val="none" w:sz="0" w:space="0" w:color="auto"/>
      </w:divBdr>
      <w:divsChild>
        <w:div w:id="885146552">
          <w:marLeft w:val="547"/>
          <w:marRight w:val="0"/>
          <w:marTop w:val="96"/>
          <w:marBottom w:val="0"/>
          <w:divBdr>
            <w:top w:val="none" w:sz="0" w:space="0" w:color="auto"/>
            <w:left w:val="none" w:sz="0" w:space="0" w:color="auto"/>
            <w:bottom w:val="none" w:sz="0" w:space="0" w:color="auto"/>
            <w:right w:val="none" w:sz="0" w:space="0" w:color="auto"/>
          </w:divBdr>
        </w:div>
        <w:div w:id="2075229922">
          <w:marLeft w:val="1166"/>
          <w:marRight w:val="0"/>
          <w:marTop w:val="9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379816685">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03245615">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 w:id="213682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761ED13-21AB-4C6C-AE54-28587E5A5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2297</TotalTime>
  <Pages>5</Pages>
  <Words>1899</Words>
  <Characters>10825</Characters>
  <Application>Microsoft Office Word</Application>
  <DocSecurity>0</DocSecurity>
  <Lines>90</Lines>
  <Paragraphs>25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12699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39</cp:revision>
  <cp:lastPrinted>2006-02-09T13:55:00Z</cp:lastPrinted>
  <dcterms:created xsi:type="dcterms:W3CDTF">2016-12-23T20:58:00Z</dcterms:created>
  <dcterms:modified xsi:type="dcterms:W3CDTF">2017-06-14T05:31:00Z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