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A2E" w:rsidRPr="004A3A2E" w:rsidRDefault="001D01B9" w:rsidP="008841BB">
      <w:pPr>
        <w:pStyle w:val="CRCoverPage"/>
        <w:tabs>
          <w:tab w:val="right" w:pos="8505"/>
          <w:tab w:val="right" w:pos="13323"/>
        </w:tabs>
        <w:spacing w:after="0"/>
        <w:ind w:right="-1"/>
        <w:rPr>
          <w:rFonts w:cs="Arial"/>
          <w:b/>
          <w:bCs/>
          <w:sz w:val="26"/>
          <w:szCs w:val="26"/>
        </w:rPr>
      </w:pPr>
      <w:r>
        <w:rPr>
          <w:rFonts w:cs="Arial"/>
          <w:b/>
          <w:noProof/>
          <w:sz w:val="24"/>
          <w:szCs w:val="24"/>
        </w:rPr>
        <w:t xml:space="preserve">3GPP TSG RAN </w:t>
      </w:r>
      <w:r w:rsidR="007B7F9F">
        <w:rPr>
          <w:rFonts w:cs="Arial"/>
          <w:b/>
          <w:noProof/>
          <w:sz w:val="24"/>
          <w:szCs w:val="24"/>
        </w:rPr>
        <w:t xml:space="preserve">WG1 </w:t>
      </w:r>
      <w:r w:rsidR="009E3421" w:rsidRPr="009E3421">
        <w:rPr>
          <w:rFonts w:cs="Arial"/>
          <w:b/>
          <w:noProof/>
          <w:sz w:val="24"/>
          <w:szCs w:val="24"/>
        </w:rPr>
        <w:t>NR AH Meeting</w:t>
      </w:r>
      <w:r w:rsidR="008841BB">
        <w:rPr>
          <w:rFonts w:cs="Arial"/>
          <w:b/>
          <w:noProof/>
          <w:sz w:val="24"/>
          <w:szCs w:val="24"/>
        </w:rPr>
        <w:t xml:space="preserve"> </w:t>
      </w:r>
      <w:r w:rsidR="008841BB">
        <w:rPr>
          <w:rFonts w:cs="Arial"/>
          <w:b/>
          <w:noProof/>
          <w:sz w:val="24"/>
          <w:szCs w:val="24"/>
        </w:rPr>
        <w:tab/>
      </w:r>
      <w:r w:rsidR="004A3A2E">
        <w:rPr>
          <w:rFonts w:cs="Arial"/>
          <w:b/>
          <w:bCs/>
          <w:sz w:val="26"/>
          <w:szCs w:val="26"/>
        </w:rPr>
        <w:t>R1-1701198</w:t>
      </w:r>
    </w:p>
    <w:p w:rsidR="001D01B9" w:rsidRDefault="005719C3" w:rsidP="001D01B9">
      <w:pPr>
        <w:pStyle w:val="CRCoverPage"/>
        <w:tabs>
          <w:tab w:val="right" w:pos="9639"/>
          <w:tab w:val="right" w:pos="13323"/>
        </w:tabs>
        <w:spacing w:after="0"/>
        <w:jc w:val="right"/>
        <w:rPr>
          <w:rFonts w:cs="Arial"/>
          <w:b/>
          <w:noProof/>
          <w:sz w:val="24"/>
          <w:szCs w:val="24"/>
        </w:rPr>
      </w:pPr>
      <w:r>
        <w:rPr>
          <w:rFonts w:cs="Arial"/>
          <w:b/>
          <w:noProof/>
          <w:sz w:val="24"/>
          <w:szCs w:val="24"/>
        </w:rPr>
        <w:t>Spokane</w:t>
      </w:r>
      <w:r w:rsidR="00B77726">
        <w:rPr>
          <w:rFonts w:cs="Arial"/>
          <w:b/>
          <w:noProof/>
          <w:sz w:val="24"/>
          <w:szCs w:val="24"/>
        </w:rPr>
        <w:t xml:space="preserve">, </w:t>
      </w:r>
      <w:r w:rsidR="00AD2C5B">
        <w:rPr>
          <w:rFonts w:cs="Arial"/>
          <w:b/>
          <w:noProof/>
          <w:sz w:val="24"/>
          <w:szCs w:val="24"/>
        </w:rPr>
        <w:t>USA</w:t>
      </w:r>
      <w:r w:rsidR="001D01B9" w:rsidRPr="0033775D">
        <w:rPr>
          <w:rFonts w:cs="Arial"/>
          <w:b/>
          <w:noProof/>
          <w:sz w:val="24"/>
          <w:szCs w:val="24"/>
        </w:rPr>
        <w:t xml:space="preserve">, </w:t>
      </w:r>
      <w:r w:rsidR="00AD2C5B">
        <w:rPr>
          <w:rFonts w:cs="Arial"/>
          <w:b/>
          <w:noProof/>
          <w:sz w:val="24"/>
          <w:szCs w:val="24"/>
        </w:rPr>
        <w:t>1</w:t>
      </w:r>
      <w:r>
        <w:rPr>
          <w:rFonts w:cs="Arial"/>
          <w:b/>
          <w:noProof/>
          <w:sz w:val="24"/>
          <w:szCs w:val="24"/>
        </w:rPr>
        <w:t>6</w:t>
      </w:r>
      <w:r w:rsidR="001D01B9" w:rsidRPr="008B769D">
        <w:rPr>
          <w:rFonts w:cs="Arial"/>
          <w:b/>
          <w:noProof/>
          <w:sz w:val="24"/>
          <w:szCs w:val="24"/>
          <w:vertAlign w:val="superscript"/>
        </w:rPr>
        <w:t>th</w:t>
      </w:r>
      <w:r w:rsidR="001D01B9" w:rsidRPr="0033775D">
        <w:rPr>
          <w:rFonts w:cs="Arial"/>
          <w:b/>
          <w:noProof/>
          <w:sz w:val="24"/>
          <w:szCs w:val="24"/>
        </w:rPr>
        <w:t xml:space="preserve"> – </w:t>
      </w:r>
      <w:r>
        <w:rPr>
          <w:rFonts w:cs="Arial"/>
          <w:b/>
          <w:noProof/>
          <w:sz w:val="24"/>
          <w:szCs w:val="24"/>
        </w:rPr>
        <w:t>20</w:t>
      </w:r>
      <w:r w:rsidR="001D01B9" w:rsidRPr="008B769D">
        <w:rPr>
          <w:rFonts w:cs="Arial"/>
          <w:b/>
          <w:noProof/>
          <w:sz w:val="24"/>
          <w:szCs w:val="24"/>
          <w:vertAlign w:val="superscript"/>
        </w:rPr>
        <w:t>th</w:t>
      </w:r>
      <w:r w:rsidR="001D01B9" w:rsidRPr="0033775D">
        <w:rPr>
          <w:rFonts w:cs="Arial"/>
          <w:b/>
          <w:noProof/>
          <w:sz w:val="24"/>
          <w:szCs w:val="24"/>
        </w:rPr>
        <w:t xml:space="preserve"> </w:t>
      </w:r>
      <w:r>
        <w:rPr>
          <w:rFonts w:cs="Arial"/>
          <w:b/>
          <w:noProof/>
          <w:sz w:val="24"/>
          <w:szCs w:val="24"/>
        </w:rPr>
        <w:t>January</w:t>
      </w:r>
      <w:r w:rsidR="00E70DFF">
        <w:rPr>
          <w:rFonts w:cs="Arial"/>
          <w:b/>
          <w:noProof/>
          <w:sz w:val="24"/>
          <w:szCs w:val="24"/>
        </w:rPr>
        <w:t>, 201</w:t>
      </w:r>
      <w:r>
        <w:rPr>
          <w:rFonts w:cs="Arial"/>
          <w:b/>
          <w:noProof/>
          <w:sz w:val="24"/>
          <w:szCs w:val="24"/>
        </w:rPr>
        <w:t>7</w:t>
      </w:r>
      <w:r w:rsidR="004A3A2E">
        <w:rPr>
          <w:rFonts w:cs="Arial"/>
          <w:b/>
          <w:noProof/>
          <w:sz w:val="24"/>
          <w:szCs w:val="24"/>
        </w:rPr>
        <w:tab/>
      </w:r>
      <w:r w:rsidR="004A3A2E" w:rsidRPr="004A3A2E">
        <w:rPr>
          <w:rFonts w:cs="Arial"/>
          <w:noProof/>
          <w:sz w:val="24"/>
          <w:szCs w:val="24"/>
        </w:rPr>
        <w:t>Revision of R1-1701177</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F617E4">
        <w:rPr>
          <w:rFonts w:ascii="Arial" w:hAnsi="Arial" w:cs="Arial"/>
          <w:sz w:val="24"/>
          <w:szCs w:val="24"/>
        </w:rPr>
        <w:t xml:space="preserve">Uplink operation for </w:t>
      </w:r>
      <w:r w:rsidR="00854BB4">
        <w:rPr>
          <w:rFonts w:ascii="Arial" w:hAnsi="Arial" w:cs="Arial"/>
          <w:sz w:val="24"/>
          <w:szCs w:val="24"/>
        </w:rPr>
        <w:t xml:space="preserve">LTE+NR </w:t>
      </w:r>
      <w:r w:rsidR="00F617E4">
        <w:rPr>
          <w:rFonts w:ascii="Arial" w:hAnsi="Arial" w:cs="Arial"/>
          <w:sz w:val="24"/>
          <w:szCs w:val="24"/>
        </w:rPr>
        <w:t>Dual Connectivity</w:t>
      </w:r>
      <w:r w:rsidR="00BC3884">
        <w:rPr>
          <w:rFonts w:ascii="Arial" w:hAnsi="Arial" w:cs="Arial"/>
          <w:sz w:val="24"/>
          <w:szCs w:val="24"/>
        </w:rPr>
        <w:t xml:space="preserve"> </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r w:rsidR="00651673">
        <w:rPr>
          <w:rFonts w:ascii="Arial" w:hAnsi="Arial"/>
          <w:sz w:val="24"/>
        </w:rPr>
        <w:t xml:space="preserve"> Group Plc</w:t>
      </w:r>
      <w:r w:rsidR="00E46B1D">
        <w:rPr>
          <w:rFonts w:ascii="Arial" w:hAnsi="Arial"/>
          <w:sz w:val="24"/>
        </w:rPr>
        <w:t>, Orange</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EE1945">
        <w:rPr>
          <w:rFonts w:ascii="Arial" w:hAnsi="Arial"/>
          <w:sz w:val="24"/>
        </w:rPr>
        <w:t>5</w:t>
      </w:r>
      <w:r w:rsidR="00821D8D">
        <w:rPr>
          <w:rFonts w:ascii="Arial" w:hAnsi="Arial"/>
          <w:sz w:val="24"/>
        </w:rPr>
        <w:t>.1.</w:t>
      </w:r>
      <w:r w:rsidR="00EE1945">
        <w:rPr>
          <w:rFonts w:ascii="Arial" w:hAnsi="Arial"/>
          <w:sz w:val="24"/>
        </w:rPr>
        <w:t>9</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993586">
        <w:rPr>
          <w:rFonts w:ascii="Arial" w:hAnsi="Arial"/>
          <w:sz w:val="24"/>
        </w:rPr>
        <w:t>Decision</w:t>
      </w:r>
    </w:p>
    <w:p w:rsidR="001D01B9" w:rsidRPr="00CC27F5" w:rsidRDefault="001D01B9" w:rsidP="008E09E3">
      <w:pPr>
        <w:pStyle w:val="Heading1"/>
        <w:jc w:val="both"/>
      </w:pPr>
      <w:r>
        <w:t>1</w:t>
      </w:r>
      <w:r>
        <w:tab/>
        <w:t>Introduction</w:t>
      </w:r>
    </w:p>
    <w:p w:rsidR="0067407B" w:rsidRDefault="0067407B" w:rsidP="0067407B">
      <w:pPr>
        <w:pStyle w:val="Header"/>
        <w:jc w:val="both"/>
        <w:rPr>
          <w:rFonts w:ascii="Times New Roman" w:hAnsi="Times New Roman"/>
          <w:b w:val="0"/>
          <w:noProof w:val="0"/>
          <w:sz w:val="20"/>
          <w:lang w:val="en-GB"/>
        </w:rPr>
      </w:pPr>
      <w:r w:rsidRPr="00C236A0">
        <w:rPr>
          <w:rFonts w:ascii="Times New Roman" w:hAnsi="Times New Roman"/>
          <w:b w:val="0"/>
          <w:noProof w:val="0"/>
          <w:sz w:val="20"/>
          <w:lang w:val="en-GB"/>
        </w:rPr>
        <w:t>In RAN</w:t>
      </w:r>
      <w:r>
        <w:rPr>
          <w:rFonts w:ascii="Times New Roman" w:hAnsi="Times New Roman"/>
          <w:b w:val="0"/>
          <w:noProof w:val="0"/>
          <w:sz w:val="20"/>
          <w:lang w:val="en-GB"/>
        </w:rPr>
        <w:t>1</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8</w:t>
      </w:r>
      <w:r w:rsidR="00BA2648">
        <w:rPr>
          <w:rFonts w:ascii="Times New Roman" w:hAnsi="Times New Roman"/>
          <w:b w:val="0"/>
          <w:noProof w:val="0"/>
          <w:sz w:val="20"/>
          <w:lang w:val="en-GB"/>
        </w:rPr>
        <w:t>7</w:t>
      </w:r>
      <w:r w:rsidR="00692BF3">
        <w:rPr>
          <w:rFonts w:ascii="Times New Roman" w:hAnsi="Times New Roman"/>
          <w:b w:val="0"/>
          <w:noProof w:val="0"/>
          <w:sz w:val="20"/>
          <w:lang w:val="en-GB"/>
        </w:rPr>
        <w:t xml:space="preserve"> [1]</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we agreed the following regarding</w:t>
      </w:r>
      <w:r w:rsidR="009D5D80">
        <w:rPr>
          <w:rFonts w:ascii="Times New Roman" w:hAnsi="Times New Roman"/>
          <w:b w:val="0"/>
          <w:noProof w:val="0"/>
          <w:sz w:val="20"/>
          <w:lang w:val="en-GB"/>
        </w:rPr>
        <w:t xml:space="preserve"> the coexistence of LTE and NR</w:t>
      </w:r>
      <w:r>
        <w:rPr>
          <w:rFonts w:ascii="Times New Roman" w:hAnsi="Times New Roman"/>
          <w:b w:val="0"/>
          <w:noProof w:val="0"/>
          <w:sz w:val="20"/>
          <w:lang w:val="en-GB"/>
        </w:rPr>
        <w:t>:</w:t>
      </w:r>
    </w:p>
    <w:p w:rsidR="009D5D80" w:rsidRDefault="009D5D80" w:rsidP="0067407B">
      <w:pPr>
        <w:pStyle w:val="Header"/>
        <w:jc w:val="both"/>
        <w:rPr>
          <w:rFonts w:ascii="Times New Roman" w:hAnsi="Times New Roman"/>
          <w:b w:val="0"/>
          <w:noProof w:val="0"/>
          <w:sz w:val="20"/>
          <w:lang w:val="en-GB"/>
        </w:rPr>
      </w:pPr>
    </w:p>
    <w:p w:rsidR="009D5D80" w:rsidRPr="002A7140" w:rsidRDefault="009D5D80" w:rsidP="002A7140">
      <w:pPr>
        <w:rPr>
          <w:rFonts w:eastAsia="MS Mincho"/>
          <w:lang w:eastAsia="ja-JP"/>
        </w:rPr>
      </w:pPr>
      <w:r w:rsidRPr="00857EFA">
        <w:rPr>
          <w:rFonts w:eastAsia="MS Mincho"/>
          <w:highlight w:val="green"/>
          <w:lang w:eastAsia="ja-JP"/>
        </w:rPr>
        <w:t>Agreements:</w:t>
      </w:r>
    </w:p>
    <w:p w:rsidR="000B72CA" w:rsidRDefault="000B72CA" w:rsidP="000B72CA">
      <w:pPr>
        <w:numPr>
          <w:ilvl w:val="0"/>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For LTE and NR </w:t>
      </w:r>
      <w:r>
        <w:rPr>
          <w:rFonts w:eastAsia="MS Mincho"/>
          <w:lang w:val="en-US" w:eastAsia="ja-JP"/>
        </w:rPr>
        <w:t>coexistence</w:t>
      </w:r>
      <w:r>
        <w:rPr>
          <w:rFonts w:eastAsia="MS Mincho" w:hint="eastAsia"/>
          <w:lang w:val="en-US" w:eastAsia="ja-JP"/>
        </w:rPr>
        <w:t xml:space="preserve">, </w:t>
      </w:r>
    </w:p>
    <w:p w:rsidR="000B72CA" w:rsidRDefault="000B72CA" w:rsidP="000B72CA">
      <w:pPr>
        <w:numPr>
          <w:ilvl w:val="1"/>
          <w:numId w:val="28"/>
        </w:numPr>
        <w:overflowPunct/>
        <w:autoSpaceDE/>
        <w:autoSpaceDN/>
        <w:adjustRightInd/>
        <w:spacing w:after="0"/>
        <w:textAlignment w:val="auto"/>
        <w:rPr>
          <w:rFonts w:eastAsia="MS Mincho"/>
          <w:lang w:val="en-US" w:eastAsia="ja-JP"/>
        </w:rPr>
      </w:pPr>
      <w:r w:rsidRPr="00970A18">
        <w:rPr>
          <w:rFonts w:eastAsia="MS Mincho"/>
          <w:lang w:val="en-US" w:eastAsia="ja-JP"/>
        </w:rPr>
        <w:t xml:space="preserve">In NR design, consider support of flexible starting point and duration of scheduled resources as a tool to avoid for example the control region of MBSFN </w:t>
      </w:r>
      <w:proofErr w:type="spellStart"/>
      <w:r w:rsidRPr="00970A18">
        <w:rPr>
          <w:rFonts w:eastAsia="MS Mincho"/>
          <w:lang w:val="en-US" w:eastAsia="ja-JP"/>
        </w:rPr>
        <w:t>subframes</w:t>
      </w:r>
      <w:proofErr w:type="spellEnd"/>
      <w:r w:rsidRPr="00970A18">
        <w:rPr>
          <w:rFonts w:eastAsia="MS Mincho"/>
          <w:lang w:val="en-US" w:eastAsia="ja-JP"/>
        </w:rPr>
        <w:t xml:space="preserve"> and be able to use resources in the unused </w:t>
      </w:r>
      <w:r>
        <w:rPr>
          <w:rFonts w:eastAsia="MS Mincho" w:hint="eastAsia"/>
          <w:lang w:val="en-US" w:eastAsia="ja-JP"/>
        </w:rPr>
        <w:t>MBSFN</w:t>
      </w:r>
      <w:bookmarkStart w:id="0" w:name="_GoBack"/>
      <w:bookmarkEnd w:id="0"/>
      <w:r>
        <w:rPr>
          <w:rFonts w:eastAsia="MS Mincho" w:hint="eastAsia"/>
          <w:lang w:val="en-US" w:eastAsia="ja-JP"/>
        </w:rPr>
        <w:t xml:space="preserve"> </w:t>
      </w:r>
      <w:proofErr w:type="spellStart"/>
      <w:r w:rsidRPr="00970A18">
        <w:rPr>
          <w:rFonts w:eastAsia="MS Mincho"/>
          <w:lang w:val="en-US" w:eastAsia="ja-JP"/>
        </w:rPr>
        <w:t>subframes</w:t>
      </w:r>
      <w:proofErr w:type="spellEnd"/>
      <w:r w:rsidRPr="00970A18">
        <w:rPr>
          <w:rFonts w:eastAsia="MS Mincho"/>
          <w:lang w:val="en-US" w:eastAsia="ja-JP"/>
        </w:rPr>
        <w:t xml:space="preserve"> of an LTE carrier</w:t>
      </w:r>
    </w:p>
    <w:p w:rsidR="000B72CA" w:rsidRDefault="000B72CA" w:rsidP="000B72CA">
      <w:pPr>
        <w:numPr>
          <w:ilvl w:val="2"/>
          <w:numId w:val="28"/>
        </w:numPr>
        <w:overflowPunct/>
        <w:autoSpaceDE/>
        <w:autoSpaceDN/>
        <w:adjustRightInd/>
        <w:spacing w:after="0"/>
        <w:textAlignment w:val="auto"/>
        <w:rPr>
          <w:rFonts w:eastAsia="MS Mincho"/>
          <w:lang w:val="en-US" w:eastAsia="ja-JP"/>
        </w:rPr>
      </w:pPr>
      <w:r w:rsidRPr="00970A18">
        <w:rPr>
          <w:rFonts w:eastAsia="MS Mincho"/>
          <w:lang w:val="en-US" w:eastAsia="ja-JP"/>
        </w:rPr>
        <w:t>Note: those mechanisms may be reused from forward compatibility mechanisms</w:t>
      </w:r>
    </w:p>
    <w:p w:rsidR="000B72CA" w:rsidRDefault="000B72CA" w:rsidP="000B72CA">
      <w:pPr>
        <w:numPr>
          <w:ilvl w:val="2"/>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use of </w:t>
      </w:r>
      <w:r w:rsidRPr="00970A18">
        <w:rPr>
          <w:rFonts w:eastAsia="MS Mincho" w:hint="eastAsia"/>
          <w:lang w:val="en-US" w:eastAsia="ja-JP"/>
        </w:rPr>
        <w:t>mini-slot</w:t>
      </w:r>
    </w:p>
    <w:p w:rsidR="000B72CA" w:rsidRPr="00970A18" w:rsidRDefault="000B72CA" w:rsidP="000B72CA">
      <w:pPr>
        <w:numPr>
          <w:ilvl w:val="2"/>
          <w:numId w:val="28"/>
        </w:numPr>
        <w:overflowPunct/>
        <w:autoSpaceDE/>
        <w:autoSpaceDN/>
        <w:adjustRightInd/>
        <w:spacing w:after="0"/>
        <w:textAlignment w:val="auto"/>
        <w:rPr>
          <w:rFonts w:eastAsia="MS Mincho"/>
          <w:lang w:val="en-US" w:eastAsia="ja-JP"/>
        </w:rPr>
      </w:pPr>
      <w:r w:rsidRPr="00970A18">
        <w:rPr>
          <w:rFonts w:eastAsia="MS Mincho" w:hint="eastAsia"/>
          <w:lang w:val="en-US" w:eastAsia="ja-JP"/>
        </w:rPr>
        <w:t>FFS: Dynamic</w:t>
      </w:r>
      <w:r>
        <w:rPr>
          <w:rFonts w:eastAsia="MS Mincho" w:hint="eastAsia"/>
          <w:lang w:val="en-US" w:eastAsia="ja-JP"/>
        </w:rPr>
        <w:t>ally</w:t>
      </w:r>
      <w:r w:rsidRPr="00970A18">
        <w:rPr>
          <w:rFonts w:eastAsia="MS Mincho" w:hint="eastAsia"/>
          <w:lang w:val="en-US" w:eastAsia="ja-JP"/>
        </w:rPr>
        <w:t xml:space="preserve"> or semi-s</w:t>
      </w:r>
      <w:r>
        <w:rPr>
          <w:rFonts w:eastAsia="MS Mincho" w:hint="eastAsia"/>
          <w:lang w:val="en-US" w:eastAsia="ja-JP"/>
        </w:rPr>
        <w:t>tatically varying starting point and duration</w:t>
      </w:r>
    </w:p>
    <w:p w:rsidR="000B72CA" w:rsidRDefault="000B72CA" w:rsidP="000B72CA">
      <w:pPr>
        <w:numPr>
          <w:ilvl w:val="1"/>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NR design supports adapting the </w:t>
      </w:r>
      <w:r>
        <w:rPr>
          <w:rFonts w:eastAsia="MS Mincho"/>
          <w:lang w:val="en-US" w:eastAsia="ja-JP"/>
        </w:rPr>
        <w:t>bandwidth</w:t>
      </w:r>
      <w:r>
        <w:rPr>
          <w:rFonts w:eastAsia="MS Mincho" w:hint="eastAsia"/>
          <w:lang w:val="en-US" w:eastAsia="ja-JP"/>
        </w:rPr>
        <w:t xml:space="preserve"> occupied by NR carrier(s) at least as fast as LTE carrier aggregation schemes</w:t>
      </w:r>
    </w:p>
    <w:p w:rsidR="000B72CA" w:rsidRDefault="000B72CA" w:rsidP="000B72CA">
      <w:pPr>
        <w:numPr>
          <w:ilvl w:val="2"/>
          <w:numId w:val="28"/>
        </w:numPr>
        <w:overflowPunct/>
        <w:autoSpaceDE/>
        <w:autoSpaceDN/>
        <w:adjustRightInd/>
        <w:spacing w:after="0"/>
        <w:textAlignment w:val="auto"/>
        <w:rPr>
          <w:rFonts w:eastAsia="MS Mincho"/>
          <w:lang w:val="en-US" w:eastAsia="ja-JP"/>
        </w:rPr>
      </w:pPr>
      <w:r>
        <w:rPr>
          <w:rFonts w:eastAsia="MS Mincho" w:hint="eastAsia"/>
          <w:lang w:val="en-US" w:eastAsia="ja-JP"/>
        </w:rPr>
        <w:t>FFS: Detailed design</w:t>
      </w:r>
    </w:p>
    <w:p w:rsidR="000B72CA" w:rsidRPr="00C22D63" w:rsidRDefault="000B72CA" w:rsidP="000B72CA">
      <w:pPr>
        <w:numPr>
          <w:ilvl w:val="1"/>
          <w:numId w:val="28"/>
        </w:numPr>
        <w:overflowPunct/>
        <w:autoSpaceDE/>
        <w:autoSpaceDN/>
        <w:adjustRightInd/>
        <w:spacing w:after="0"/>
        <w:textAlignment w:val="auto"/>
        <w:rPr>
          <w:rFonts w:eastAsia="MS Mincho"/>
          <w:lang w:val="en-US" w:eastAsia="ja-JP"/>
        </w:rPr>
      </w:pPr>
      <w:r>
        <w:rPr>
          <w:rFonts w:eastAsia="MS Mincho" w:hint="eastAsia"/>
          <w:lang w:val="en-US" w:eastAsia="ja-JP"/>
        </w:rPr>
        <w:t>FFS: A</w:t>
      </w:r>
      <w:r w:rsidRPr="00C22D63">
        <w:rPr>
          <w:rFonts w:eastAsia="MS Mincho"/>
          <w:lang w:val="en-US" w:eastAsia="ja-JP"/>
        </w:rPr>
        <w:t>llowing NR transmissions while avoiding OFDM symbols carrying</w:t>
      </w:r>
      <w:r>
        <w:rPr>
          <w:rFonts w:eastAsia="MS Mincho"/>
          <w:lang w:val="en-US" w:eastAsia="ja-JP"/>
        </w:rPr>
        <w:t xml:space="preserve"> CRS on a DL LTE </w:t>
      </w:r>
      <w:proofErr w:type="spellStart"/>
      <w:r>
        <w:rPr>
          <w:rFonts w:eastAsia="MS Mincho" w:hint="eastAsia"/>
          <w:lang w:val="en-US" w:eastAsia="ja-JP"/>
        </w:rPr>
        <w:t>subframe</w:t>
      </w:r>
      <w:proofErr w:type="spellEnd"/>
    </w:p>
    <w:p w:rsidR="000B72CA" w:rsidRDefault="000B72CA" w:rsidP="000B72CA">
      <w:pPr>
        <w:numPr>
          <w:ilvl w:val="2"/>
          <w:numId w:val="28"/>
        </w:numPr>
        <w:overflowPunct/>
        <w:autoSpaceDE/>
        <w:autoSpaceDN/>
        <w:adjustRightInd/>
        <w:spacing w:after="0"/>
        <w:textAlignment w:val="auto"/>
        <w:rPr>
          <w:rFonts w:eastAsia="MS Mincho"/>
          <w:lang w:val="en-US" w:eastAsia="ja-JP"/>
        </w:rPr>
      </w:pPr>
      <w:r w:rsidRPr="00C22D63">
        <w:rPr>
          <w:rFonts w:eastAsia="MS Mincho"/>
          <w:lang w:val="en-US" w:eastAsia="ja-JP"/>
        </w:rPr>
        <w:t xml:space="preserve">Further discussion needed on how to handle </w:t>
      </w:r>
      <w:proofErr w:type="spellStart"/>
      <w:r w:rsidRPr="00C22D63">
        <w:rPr>
          <w:rFonts w:eastAsia="MS Mincho"/>
          <w:lang w:val="en-US" w:eastAsia="ja-JP"/>
        </w:rPr>
        <w:t>sTTI</w:t>
      </w:r>
      <w:proofErr w:type="spellEnd"/>
      <w:r w:rsidRPr="00C22D63">
        <w:rPr>
          <w:rFonts w:eastAsia="MS Mincho"/>
          <w:lang w:val="en-US" w:eastAsia="ja-JP"/>
        </w:rPr>
        <w:t xml:space="preserve"> transmissions of LTE</w:t>
      </w:r>
    </w:p>
    <w:p w:rsidR="000B72CA" w:rsidRDefault="000B72CA" w:rsidP="000B72CA">
      <w:pPr>
        <w:numPr>
          <w:ilvl w:val="2"/>
          <w:numId w:val="28"/>
        </w:numPr>
        <w:overflowPunct/>
        <w:autoSpaceDE/>
        <w:autoSpaceDN/>
        <w:adjustRightInd/>
        <w:spacing w:after="0"/>
        <w:textAlignment w:val="auto"/>
        <w:rPr>
          <w:rFonts w:eastAsia="MS Mincho"/>
          <w:lang w:val="en-US" w:eastAsia="ja-JP"/>
        </w:rPr>
      </w:pPr>
      <w:r w:rsidRPr="00C22D63">
        <w:rPr>
          <w:rFonts w:eastAsia="MS Mincho"/>
          <w:lang w:val="en-US" w:eastAsia="ja-JP"/>
        </w:rPr>
        <w:t>Note: those mechanisms may be reused from forward compatibility mechanisms</w:t>
      </w:r>
      <w:r>
        <w:rPr>
          <w:rFonts w:eastAsia="MS Mincho" w:hint="eastAsia"/>
          <w:lang w:val="en-US" w:eastAsia="ja-JP"/>
        </w:rPr>
        <w:t xml:space="preserve">, or mechanisms for multiplexing </w:t>
      </w:r>
      <w:proofErr w:type="spellStart"/>
      <w:r>
        <w:rPr>
          <w:rFonts w:eastAsia="MS Mincho" w:hint="eastAsia"/>
          <w:lang w:val="en-US" w:eastAsia="ja-JP"/>
        </w:rPr>
        <w:t>eMBB</w:t>
      </w:r>
      <w:proofErr w:type="spellEnd"/>
      <w:r>
        <w:rPr>
          <w:rFonts w:eastAsia="MS Mincho" w:hint="eastAsia"/>
          <w:lang w:val="en-US" w:eastAsia="ja-JP"/>
        </w:rPr>
        <w:t xml:space="preserve"> and URLLC on the DL, or mini-slot</w:t>
      </w:r>
    </w:p>
    <w:p w:rsidR="000B72CA" w:rsidRPr="00C22D63" w:rsidRDefault="000B72CA" w:rsidP="000B72CA">
      <w:pPr>
        <w:numPr>
          <w:ilvl w:val="1"/>
          <w:numId w:val="28"/>
        </w:numPr>
        <w:overflowPunct/>
        <w:autoSpaceDE/>
        <w:autoSpaceDN/>
        <w:adjustRightInd/>
        <w:spacing w:after="0"/>
        <w:textAlignment w:val="auto"/>
        <w:rPr>
          <w:rFonts w:eastAsia="MS Mincho"/>
          <w:lang w:val="en-US" w:eastAsia="ja-JP"/>
        </w:rPr>
      </w:pPr>
      <w:r w:rsidRPr="00C22D63">
        <w:rPr>
          <w:rFonts w:eastAsia="MS Mincho"/>
          <w:lang w:val="en-US" w:eastAsia="ja-JP"/>
        </w:rPr>
        <w:t>Allowing NR transmissions while avoiding O</w:t>
      </w:r>
      <w:r>
        <w:rPr>
          <w:rFonts w:eastAsia="MS Mincho"/>
          <w:lang w:val="en-US" w:eastAsia="ja-JP"/>
        </w:rPr>
        <w:t xml:space="preserve">FDM symbols carrying </w:t>
      </w:r>
      <w:r w:rsidRPr="00C22D63">
        <w:rPr>
          <w:rFonts w:eastAsia="MS Mincho"/>
          <w:lang w:val="en-US" w:eastAsia="ja-JP"/>
        </w:rPr>
        <w:t xml:space="preserve">SRS </w:t>
      </w:r>
      <w:r>
        <w:rPr>
          <w:rFonts w:eastAsia="MS Mincho"/>
          <w:lang w:val="en-US" w:eastAsia="ja-JP"/>
        </w:rPr>
        <w:t xml:space="preserve">on an UL LTE </w:t>
      </w:r>
      <w:proofErr w:type="spellStart"/>
      <w:r>
        <w:rPr>
          <w:rFonts w:eastAsia="MS Mincho" w:hint="eastAsia"/>
          <w:lang w:val="en-US" w:eastAsia="ja-JP"/>
        </w:rPr>
        <w:t>subframe</w:t>
      </w:r>
      <w:proofErr w:type="spellEnd"/>
    </w:p>
    <w:p w:rsidR="000B72CA" w:rsidRPr="00383DD0" w:rsidRDefault="000B72CA" w:rsidP="000B72CA">
      <w:pPr>
        <w:numPr>
          <w:ilvl w:val="2"/>
          <w:numId w:val="28"/>
        </w:numPr>
        <w:overflowPunct/>
        <w:autoSpaceDE/>
        <w:autoSpaceDN/>
        <w:adjustRightInd/>
        <w:spacing w:after="0"/>
        <w:textAlignment w:val="auto"/>
        <w:rPr>
          <w:rFonts w:eastAsia="MS Mincho"/>
          <w:lang w:val="en-US" w:eastAsia="ja-JP"/>
        </w:rPr>
      </w:pPr>
      <w:r w:rsidRPr="00C22D63">
        <w:rPr>
          <w:rFonts w:eastAsia="MS Mincho"/>
          <w:lang w:val="en-US" w:eastAsia="ja-JP"/>
        </w:rPr>
        <w:t xml:space="preserve">Further discussion needed on how to handle </w:t>
      </w:r>
      <w:proofErr w:type="spellStart"/>
      <w:r w:rsidRPr="00C22D63">
        <w:rPr>
          <w:rFonts w:eastAsia="MS Mincho"/>
          <w:lang w:val="en-US" w:eastAsia="ja-JP"/>
        </w:rPr>
        <w:t>sTTI</w:t>
      </w:r>
      <w:proofErr w:type="spellEnd"/>
      <w:r w:rsidRPr="00C22D63">
        <w:rPr>
          <w:rFonts w:eastAsia="MS Mincho"/>
          <w:lang w:val="en-US" w:eastAsia="ja-JP"/>
        </w:rPr>
        <w:t xml:space="preserve"> transmissions of LTE</w:t>
      </w:r>
    </w:p>
    <w:p w:rsidR="000B72CA" w:rsidRPr="00C22D63" w:rsidRDefault="000B72CA" w:rsidP="000B72CA">
      <w:pPr>
        <w:numPr>
          <w:ilvl w:val="1"/>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r w:rsidRPr="00C22D63">
        <w:rPr>
          <w:rFonts w:eastAsia="MS Mincho"/>
          <w:lang w:val="en-US" w:eastAsia="ja-JP"/>
        </w:rPr>
        <w:t>PRB-level resource allocation</w:t>
      </w:r>
      <w:r>
        <w:rPr>
          <w:rFonts w:eastAsia="MS Mincho" w:hint="eastAsia"/>
          <w:lang w:val="en-US" w:eastAsia="ja-JP"/>
        </w:rPr>
        <w:t xml:space="preserve"> can be used</w:t>
      </w:r>
      <w:r w:rsidRPr="00C22D63">
        <w:rPr>
          <w:rFonts w:eastAsia="MS Mincho"/>
          <w:lang w:val="en-US" w:eastAsia="ja-JP"/>
        </w:rPr>
        <w:t xml:space="preserve"> as a tool to avoid for example PSS/SSS, PBCH, EPDCCH, PUCCH, PRACH, as well as PRB-level scheduled LTE PDSCH and LTE PUSCH, of an LTE carrier</w:t>
      </w:r>
    </w:p>
    <w:p w:rsidR="000B72CA" w:rsidRPr="00C22D63" w:rsidRDefault="000B72CA" w:rsidP="000B72CA">
      <w:pPr>
        <w:numPr>
          <w:ilvl w:val="1"/>
          <w:numId w:val="28"/>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r w:rsidRPr="00C22D63">
        <w:rPr>
          <w:rFonts w:eastAsia="MS Mincho"/>
          <w:lang w:val="en-US" w:eastAsia="ja-JP"/>
        </w:rPr>
        <w:t>Mapping NR signals and chann</w:t>
      </w:r>
      <w:r>
        <w:rPr>
          <w:rFonts w:eastAsia="MS Mincho"/>
          <w:lang w:val="en-US" w:eastAsia="ja-JP"/>
        </w:rPr>
        <w:t>els around the LTE CRS patterns</w:t>
      </w:r>
    </w:p>
    <w:p w:rsidR="000B72CA" w:rsidRPr="00236D89" w:rsidRDefault="000B72CA" w:rsidP="000B72CA">
      <w:pPr>
        <w:numPr>
          <w:ilvl w:val="1"/>
          <w:numId w:val="28"/>
        </w:numPr>
        <w:overflowPunct/>
        <w:autoSpaceDE/>
        <w:autoSpaceDN/>
        <w:adjustRightInd/>
        <w:spacing w:after="0"/>
        <w:textAlignment w:val="auto"/>
        <w:rPr>
          <w:rFonts w:eastAsia="MS Mincho"/>
          <w:lang w:val="en-US" w:eastAsia="ja-JP"/>
        </w:rPr>
      </w:pPr>
      <w:r w:rsidRPr="00C22D63">
        <w:rPr>
          <w:rFonts w:eastAsia="MS Mincho"/>
          <w:lang w:val="en-US" w:eastAsia="ja-JP"/>
        </w:rPr>
        <w:t>Note: those mechanisms may be reused from forward compatibility mechanisms</w:t>
      </w:r>
    </w:p>
    <w:p w:rsidR="000B72CA" w:rsidRPr="00A157EF" w:rsidRDefault="000B72CA" w:rsidP="000B72CA">
      <w:pPr>
        <w:numPr>
          <w:ilvl w:val="0"/>
          <w:numId w:val="29"/>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For adjacent channel/band operation of NR </w:t>
      </w:r>
      <w:r>
        <w:rPr>
          <w:rFonts w:eastAsia="MS Mincho"/>
          <w:lang w:val="en-US" w:eastAsia="ja-JP"/>
        </w:rPr>
        <w:t>and</w:t>
      </w:r>
      <w:r>
        <w:rPr>
          <w:rFonts w:eastAsia="MS Mincho" w:hint="eastAsia"/>
          <w:lang w:val="en-US" w:eastAsia="ja-JP"/>
        </w:rPr>
        <w:t xml:space="preserve"> LTE </w:t>
      </w:r>
      <w:r>
        <w:rPr>
          <w:rFonts w:eastAsia="MS Mincho"/>
          <w:lang w:val="en-US" w:eastAsia="ja-JP"/>
        </w:rPr>
        <w:t>in the unpaired spectrum</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sidRPr="00A157EF">
        <w:rPr>
          <w:rFonts w:eastAsia="MS Mincho"/>
          <w:lang w:val="en-US" w:eastAsia="ja-JP"/>
        </w:rPr>
        <w:t xml:space="preserve">Design at least one semi-statically assigned DL/UL transmission direction </w:t>
      </w:r>
      <w:r>
        <w:rPr>
          <w:rFonts w:eastAsia="MS Mincho" w:hint="eastAsia"/>
          <w:lang w:val="en-US" w:eastAsia="ja-JP"/>
        </w:rPr>
        <w:t xml:space="preserve">configuration </w:t>
      </w:r>
      <w:r w:rsidRPr="00A157EF">
        <w:rPr>
          <w:rFonts w:eastAsia="MS Mincho"/>
          <w:lang w:val="en-US" w:eastAsia="ja-JP"/>
        </w:rPr>
        <w:t xml:space="preserve">for NR that avoids DL/UL interference with at least one LTE </w:t>
      </w:r>
      <w:r>
        <w:rPr>
          <w:rFonts w:eastAsia="MS Mincho" w:hint="eastAsia"/>
          <w:lang w:val="en-US" w:eastAsia="ja-JP"/>
        </w:rPr>
        <w:t xml:space="preserve">TDD </w:t>
      </w:r>
      <w:r w:rsidRPr="00A157EF">
        <w:rPr>
          <w:rFonts w:eastAsia="MS Mincho"/>
          <w:lang w:val="en-US" w:eastAsia="ja-JP"/>
        </w:rPr>
        <w:t>DL/UL configuration</w:t>
      </w:r>
      <w:r>
        <w:rPr>
          <w:rFonts w:eastAsia="MS Mincho" w:hint="eastAsia"/>
          <w:lang w:val="en-US" w:eastAsia="ja-JP"/>
        </w:rPr>
        <w:t xml:space="preserve"> and special </w:t>
      </w:r>
      <w:proofErr w:type="spellStart"/>
      <w:r>
        <w:rPr>
          <w:rFonts w:eastAsia="MS Mincho" w:hint="eastAsia"/>
          <w:lang w:val="en-US" w:eastAsia="ja-JP"/>
        </w:rPr>
        <w:t>subframe</w:t>
      </w:r>
      <w:proofErr w:type="spellEnd"/>
      <w:r>
        <w:rPr>
          <w:rFonts w:eastAsia="MS Mincho" w:hint="eastAsia"/>
          <w:lang w:val="en-US" w:eastAsia="ja-JP"/>
        </w:rPr>
        <w:t xml:space="preserve"> configuration</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Pr>
          <w:rFonts w:eastAsia="MS Mincho"/>
          <w:lang w:val="en-US" w:eastAsia="ja-JP"/>
        </w:rPr>
        <w:t>T</w:t>
      </w:r>
      <w:r>
        <w:rPr>
          <w:rFonts w:eastAsia="MS Mincho" w:hint="eastAsia"/>
          <w:lang w:val="en-US" w:eastAsia="ja-JP"/>
        </w:rPr>
        <w:t>his does not preclude at most one semi-statica</w:t>
      </w:r>
      <w:r>
        <w:rPr>
          <w:rFonts w:eastAsia="MS Mincho"/>
          <w:lang w:val="en-US" w:eastAsia="ja-JP"/>
        </w:rPr>
        <w:t xml:space="preserve">lly </w:t>
      </w:r>
      <w:r w:rsidRPr="00A157EF">
        <w:rPr>
          <w:rFonts w:eastAsia="MS Mincho"/>
          <w:lang w:val="en-US" w:eastAsia="ja-JP"/>
        </w:rPr>
        <w:t>DL/UL transmission direction</w:t>
      </w:r>
      <w:r>
        <w:rPr>
          <w:rFonts w:eastAsia="MS Mincho"/>
          <w:lang w:val="en-US" w:eastAsia="ja-JP"/>
        </w:rPr>
        <w:t xml:space="preserve"> </w:t>
      </w:r>
      <w:r>
        <w:rPr>
          <w:rFonts w:eastAsia="MS Mincho" w:hint="eastAsia"/>
          <w:lang w:val="en-US" w:eastAsia="ja-JP"/>
        </w:rPr>
        <w:t>configuration in NR specification</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Pr>
          <w:rFonts w:eastAsia="MS Mincho" w:hint="eastAsia"/>
          <w:lang w:val="en-US" w:eastAsia="ja-JP"/>
        </w:rPr>
        <w:t xml:space="preserve">Note: DL/UL interference also can be avoided by using dynamically </w:t>
      </w:r>
      <w:r>
        <w:rPr>
          <w:rFonts w:eastAsia="MS Mincho"/>
          <w:lang w:val="en-US" w:eastAsia="ja-JP"/>
        </w:rPr>
        <w:t>assigned</w:t>
      </w:r>
      <w:r>
        <w:rPr>
          <w:rFonts w:eastAsia="MS Mincho" w:hint="eastAsia"/>
          <w:lang w:val="en-US" w:eastAsia="ja-JP"/>
        </w:rPr>
        <w:t xml:space="preserve"> DL/UL transmission direction in some cases</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Pr>
          <w:rFonts w:eastAsia="MS Mincho" w:hint="eastAsia"/>
          <w:lang w:val="en-US" w:eastAsia="ja-JP"/>
        </w:rPr>
        <w:t>FFS: Backhaul signaling between NR and LTE for interference coordination</w:t>
      </w:r>
    </w:p>
    <w:p w:rsidR="000B72CA" w:rsidRDefault="000B72CA" w:rsidP="000B72CA">
      <w:pPr>
        <w:numPr>
          <w:ilvl w:val="1"/>
          <w:numId w:val="29"/>
        </w:numPr>
        <w:overflowPunct/>
        <w:autoSpaceDE/>
        <w:autoSpaceDN/>
        <w:adjustRightInd/>
        <w:spacing w:after="0"/>
        <w:textAlignment w:val="auto"/>
        <w:rPr>
          <w:rFonts w:eastAsia="MS Mincho"/>
          <w:lang w:val="en-US" w:eastAsia="ja-JP"/>
        </w:rPr>
      </w:pPr>
      <w:r>
        <w:rPr>
          <w:rFonts w:eastAsia="MS Mincho" w:hint="eastAsia"/>
          <w:lang w:val="en-US" w:eastAsia="ja-JP"/>
        </w:rPr>
        <w:t>FFS: Other mechanisms</w:t>
      </w:r>
    </w:p>
    <w:p w:rsidR="000B72CA" w:rsidRPr="00C10820" w:rsidRDefault="000B72CA" w:rsidP="000B72CA">
      <w:pPr>
        <w:numPr>
          <w:ilvl w:val="0"/>
          <w:numId w:val="29"/>
        </w:numPr>
        <w:overflowPunct/>
        <w:autoSpaceDE/>
        <w:autoSpaceDN/>
        <w:adjustRightInd/>
        <w:spacing w:after="0"/>
        <w:textAlignment w:val="auto"/>
        <w:rPr>
          <w:rFonts w:eastAsia="MS Mincho"/>
          <w:lang w:val="en-US" w:eastAsia="ja-JP"/>
        </w:rPr>
      </w:pPr>
      <w:r>
        <w:rPr>
          <w:rFonts w:eastAsia="MS Mincho" w:hint="eastAsia"/>
          <w:lang w:val="en-US" w:eastAsia="ja-JP"/>
        </w:rPr>
        <w:t>Note that the above agreements do not imply that UE has to support simultaneous connection of NR and LTE in the same or overlapping carrier</w:t>
      </w:r>
    </w:p>
    <w:p w:rsidR="009D5D80" w:rsidRPr="00AE64D6" w:rsidRDefault="009D5D80" w:rsidP="000B72CA">
      <w:pPr>
        <w:overflowPunct/>
        <w:autoSpaceDE/>
        <w:autoSpaceDN/>
        <w:adjustRightInd/>
        <w:spacing w:after="0"/>
        <w:textAlignment w:val="auto"/>
        <w:rPr>
          <w:rFonts w:eastAsia="MS Mincho"/>
          <w:sz w:val="16"/>
          <w:szCs w:val="16"/>
          <w:lang w:val="en-US" w:eastAsia="ja-JP"/>
        </w:rPr>
      </w:pPr>
    </w:p>
    <w:p w:rsidR="009D5D80" w:rsidRPr="002A7140" w:rsidRDefault="009D5D80" w:rsidP="0067407B">
      <w:pPr>
        <w:pStyle w:val="Header"/>
        <w:jc w:val="both"/>
        <w:rPr>
          <w:rFonts w:ascii="Times New Roman" w:hAnsi="Times New Roman"/>
          <w:b w:val="0"/>
          <w:noProof w:val="0"/>
          <w:sz w:val="20"/>
          <w:lang w:val="en-US"/>
        </w:rPr>
      </w:pPr>
    </w:p>
    <w:p w:rsidR="00E76D42" w:rsidRPr="00AE64D6" w:rsidRDefault="009D5D80" w:rsidP="00AE64D6">
      <w:pPr>
        <w:spacing w:after="0"/>
      </w:pPr>
      <w:r>
        <w:t xml:space="preserve">Also </w:t>
      </w:r>
      <w:r w:rsidR="006F7C6B">
        <w:t>RAN2 has agreed to study a Dual Connectivity approach for LTE-NR aggregation</w:t>
      </w:r>
      <w:r w:rsidR="003B5B82">
        <w:t xml:space="preserve"> to enable NR to be operated in a non-standalone manner with LTE radio as the master, and NR being configured on a secondary carrier.</w:t>
      </w:r>
      <w:r w:rsidR="00A45615">
        <w:t xml:space="preserve"> The aim of this contribution is to highlight a problem in particular when TDD is the secondary carrier, and proposes how to overcome that</w:t>
      </w:r>
      <w:r w:rsidR="00A45615">
        <w:rPr>
          <w:sz w:val="24"/>
          <w:szCs w:val="24"/>
          <w:lang w:val="es-ES"/>
        </w:rPr>
        <w:t>.</w:t>
      </w:r>
      <w:r w:rsidR="00A45615">
        <w:rPr>
          <w:rFonts w:ascii="Segoe UI" w:hAnsi="Segoe UI" w:cs="Segoe UI"/>
          <w:color w:val="000000"/>
          <w:lang w:val="es-ES"/>
        </w:rPr>
        <w:t xml:space="preserve"> </w:t>
      </w:r>
    </w:p>
    <w:p w:rsidR="00E76D42" w:rsidRDefault="00E76D42" w:rsidP="008E09E3">
      <w:pPr>
        <w:pStyle w:val="Heading1"/>
        <w:jc w:val="both"/>
      </w:pPr>
      <w:r>
        <w:lastRenderedPageBreak/>
        <w:t>2</w:t>
      </w:r>
      <w:r>
        <w:tab/>
      </w:r>
      <w:r w:rsidR="000268AE">
        <w:t>Discussion</w:t>
      </w:r>
    </w:p>
    <w:p w:rsidR="00E421AB" w:rsidRDefault="00E421AB" w:rsidP="008E09E3">
      <w:pPr>
        <w:pStyle w:val="Heading2"/>
        <w:spacing w:before="120" w:after="120"/>
        <w:jc w:val="both"/>
        <w:rPr>
          <w:rFonts w:ascii="Arial" w:hAnsi="Arial" w:cs="Arial"/>
          <w:b w:val="0"/>
          <w:color w:val="auto"/>
        </w:rPr>
      </w:pPr>
      <w:r w:rsidRPr="00E421AB">
        <w:rPr>
          <w:rFonts w:ascii="Arial" w:hAnsi="Arial" w:cs="Arial"/>
          <w:b w:val="0"/>
          <w:color w:val="auto"/>
        </w:rPr>
        <w:t>2.1</w:t>
      </w:r>
      <w:r w:rsidRPr="00E421AB">
        <w:rPr>
          <w:rFonts w:ascii="Arial" w:hAnsi="Arial" w:cs="Arial"/>
          <w:b w:val="0"/>
          <w:color w:val="auto"/>
        </w:rPr>
        <w:tab/>
      </w:r>
      <w:r w:rsidR="00A840B6">
        <w:rPr>
          <w:rFonts w:ascii="Arial" w:hAnsi="Arial" w:cs="Arial"/>
          <w:b w:val="0"/>
          <w:color w:val="auto"/>
        </w:rPr>
        <w:t>Issues with mandating 2 uplinks with LTE+NR Dual Connectivity</w:t>
      </w:r>
      <w:r w:rsidR="000E24EF">
        <w:rPr>
          <w:rFonts w:ascii="Arial" w:hAnsi="Arial" w:cs="Arial"/>
          <w:b w:val="0"/>
          <w:color w:val="auto"/>
        </w:rPr>
        <w:t xml:space="preserve"> and TDD as the </w:t>
      </w:r>
      <w:proofErr w:type="spellStart"/>
      <w:r w:rsidR="000E24EF">
        <w:rPr>
          <w:rFonts w:ascii="Arial" w:hAnsi="Arial" w:cs="Arial"/>
          <w:b w:val="0"/>
          <w:color w:val="auto"/>
        </w:rPr>
        <w:t>Scell</w:t>
      </w:r>
      <w:proofErr w:type="spellEnd"/>
      <w:r w:rsidR="000E24EF">
        <w:rPr>
          <w:rFonts w:ascii="Arial" w:hAnsi="Arial" w:cs="Arial"/>
          <w:b w:val="0"/>
          <w:color w:val="auto"/>
        </w:rPr>
        <w:t>/S-</w:t>
      </w:r>
      <w:proofErr w:type="spellStart"/>
      <w:r w:rsidR="000E24EF">
        <w:rPr>
          <w:rFonts w:ascii="Arial" w:hAnsi="Arial" w:cs="Arial"/>
          <w:b w:val="0"/>
          <w:color w:val="auto"/>
        </w:rPr>
        <w:t>gNB</w:t>
      </w:r>
      <w:proofErr w:type="spellEnd"/>
    </w:p>
    <w:p w:rsidR="009D1DAF" w:rsidRDefault="003B5B82" w:rsidP="009D1DAF">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RAN2 has decided to focus on the Dual Connectivity approach initially for LTE+NR aggregation, </w:t>
      </w:r>
      <w:r w:rsidR="00A45615">
        <w:rPr>
          <w:rFonts w:ascii="Times New Roman" w:hAnsi="Times New Roman"/>
          <w:b w:val="0"/>
          <w:noProof w:val="0"/>
          <w:sz w:val="20"/>
          <w:lang w:val="en-GB"/>
        </w:rPr>
        <w:t>t</w:t>
      </w:r>
      <w:r w:rsidR="003E7B52">
        <w:rPr>
          <w:rFonts w:ascii="Times New Roman" w:hAnsi="Times New Roman"/>
          <w:b w:val="0"/>
          <w:noProof w:val="0"/>
          <w:sz w:val="20"/>
          <w:lang w:val="en-GB"/>
        </w:rPr>
        <w:t xml:space="preserve">his requires that the UE operate in 2 uplink carriers, </w:t>
      </w:r>
      <w:r w:rsidR="009D1DAF">
        <w:rPr>
          <w:rFonts w:ascii="Times New Roman" w:hAnsi="Times New Roman"/>
          <w:b w:val="0"/>
          <w:noProof w:val="0"/>
          <w:sz w:val="20"/>
          <w:lang w:val="en-GB"/>
        </w:rPr>
        <w:t>an example scenario would be:</w:t>
      </w:r>
    </w:p>
    <w:p w:rsidR="009D1DAF" w:rsidRDefault="009D1DAF" w:rsidP="009D1DAF">
      <w:pPr>
        <w:pStyle w:val="Header"/>
        <w:jc w:val="both"/>
        <w:rPr>
          <w:rFonts w:ascii="Times New Roman" w:hAnsi="Times New Roman"/>
          <w:b w:val="0"/>
          <w:noProof w:val="0"/>
          <w:sz w:val="20"/>
          <w:lang w:val="en-GB"/>
        </w:rPr>
      </w:pPr>
    </w:p>
    <w:p w:rsidR="009D1DAF" w:rsidRPr="008C0FE5" w:rsidRDefault="009D1DAF" w:rsidP="009D1DAF">
      <w:pPr>
        <w:numPr>
          <w:ilvl w:val="0"/>
          <w:numId w:val="30"/>
        </w:numPr>
      </w:pPr>
      <w:r>
        <w:rPr>
          <w:lang w:val="en-US"/>
        </w:rPr>
        <w:t>LTE +NR dual connectivity for a UE</w:t>
      </w:r>
      <w:r w:rsidRPr="008C0FE5">
        <w:rPr>
          <w:lang w:val="en-US"/>
        </w:rPr>
        <w:t>, with:</w:t>
      </w:r>
    </w:p>
    <w:p w:rsidR="009D1DAF" w:rsidRPr="008C0FE5" w:rsidRDefault="009D1DAF" w:rsidP="009D1DAF">
      <w:pPr>
        <w:numPr>
          <w:ilvl w:val="1"/>
          <w:numId w:val="30"/>
        </w:numPr>
      </w:pPr>
      <w:r w:rsidRPr="008C0FE5">
        <w:rPr>
          <w:lang w:val="en-US"/>
        </w:rPr>
        <w:t>Collocated LTE and NR base stations</w:t>
      </w:r>
    </w:p>
    <w:p w:rsidR="009D1DAF" w:rsidRPr="008C0FE5" w:rsidRDefault="009D1DAF" w:rsidP="009D1DAF">
      <w:pPr>
        <w:numPr>
          <w:ilvl w:val="1"/>
          <w:numId w:val="30"/>
        </w:numPr>
      </w:pPr>
      <w:r w:rsidRPr="008C0FE5">
        <w:rPr>
          <w:lang w:val="en-US"/>
        </w:rPr>
        <w:t>LTE is the anchor</w:t>
      </w:r>
    </w:p>
    <w:p w:rsidR="009D1DAF" w:rsidRPr="008C0FE5" w:rsidRDefault="009D1DAF" w:rsidP="009D1DAF">
      <w:pPr>
        <w:numPr>
          <w:ilvl w:val="1"/>
          <w:numId w:val="30"/>
        </w:numPr>
      </w:pPr>
      <w:r w:rsidRPr="008C0FE5">
        <w:rPr>
          <w:lang w:val="en-US"/>
        </w:rPr>
        <w:t>LTE FDD DL+UL on (lower) frequency 1</w:t>
      </w:r>
    </w:p>
    <w:p w:rsidR="008C0FE5" w:rsidRPr="009D1DAF" w:rsidRDefault="009D1DAF" w:rsidP="009D1DAF">
      <w:pPr>
        <w:numPr>
          <w:ilvl w:val="1"/>
          <w:numId w:val="30"/>
        </w:numPr>
        <w:rPr>
          <w:lang w:val="en-US"/>
        </w:rPr>
      </w:pPr>
      <w:r w:rsidRPr="008C0FE5">
        <w:rPr>
          <w:lang w:val="en-US"/>
        </w:rPr>
        <w:t>NR TDD DL+UL (e.g. SRS) on (higher) frequency 2</w:t>
      </w:r>
    </w:p>
    <w:p w:rsidR="003E7B52" w:rsidRPr="00AE64D6" w:rsidRDefault="003E7B52" w:rsidP="003E7B52">
      <w:pPr>
        <w:pStyle w:val="Header"/>
        <w:spacing w:before="120"/>
        <w:jc w:val="both"/>
        <w:rPr>
          <w:rFonts w:ascii="Times New Roman" w:hAnsi="Times New Roman"/>
          <w:b w:val="0"/>
          <w:noProof w:val="0"/>
          <w:sz w:val="16"/>
          <w:szCs w:val="16"/>
          <w:lang w:val="en-US"/>
        </w:rPr>
      </w:pPr>
    </w:p>
    <w:p w:rsidR="00BF5604" w:rsidRDefault="00E537D9"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If the</w:t>
      </w:r>
      <w:r w:rsidR="003E7B52" w:rsidRPr="009D1DAF">
        <w:rPr>
          <w:rFonts w:ascii="Times New Roman" w:hAnsi="Times New Roman"/>
          <w:b w:val="0"/>
          <w:noProof w:val="0"/>
          <w:sz w:val="20"/>
          <w:lang w:val="en-GB"/>
        </w:rPr>
        <w:t xml:space="preserve"> high</w:t>
      </w:r>
      <w:r>
        <w:rPr>
          <w:rFonts w:ascii="Times New Roman" w:hAnsi="Times New Roman"/>
          <w:b w:val="0"/>
          <w:noProof w:val="0"/>
          <w:sz w:val="20"/>
          <w:lang w:val="en-GB"/>
        </w:rPr>
        <w:t>er frequency</w:t>
      </w:r>
      <w:r w:rsidR="003E7B52" w:rsidRPr="009D1DAF">
        <w:rPr>
          <w:rFonts w:ascii="Times New Roman" w:hAnsi="Times New Roman"/>
          <w:b w:val="0"/>
          <w:noProof w:val="0"/>
          <w:sz w:val="20"/>
          <w:lang w:val="en-GB"/>
        </w:rPr>
        <w:t xml:space="preserve"> dedicated to NR operate</w:t>
      </w:r>
      <w:r>
        <w:rPr>
          <w:rFonts w:ascii="Times New Roman" w:hAnsi="Times New Roman"/>
          <w:b w:val="0"/>
          <w:noProof w:val="0"/>
          <w:sz w:val="20"/>
          <w:lang w:val="en-GB"/>
        </w:rPr>
        <w:t>s</w:t>
      </w:r>
      <w:r w:rsidR="003E7B52" w:rsidRPr="009D1DAF">
        <w:rPr>
          <w:rFonts w:ascii="Times New Roman" w:hAnsi="Times New Roman"/>
          <w:b w:val="0"/>
          <w:noProof w:val="0"/>
          <w:sz w:val="20"/>
          <w:lang w:val="en-GB"/>
        </w:rPr>
        <w:t xml:space="preserve"> in TDD mode</w:t>
      </w:r>
      <w:r w:rsidR="007007D8">
        <w:rPr>
          <w:rFonts w:ascii="Times New Roman" w:hAnsi="Times New Roman"/>
          <w:b w:val="0"/>
          <w:noProof w:val="0"/>
          <w:sz w:val="20"/>
          <w:lang w:val="en-GB"/>
        </w:rPr>
        <w:t>,</w:t>
      </w:r>
      <w:r w:rsidR="003E7B52">
        <w:rPr>
          <w:rFonts w:ascii="Times New Roman" w:hAnsi="Times New Roman"/>
          <w:b w:val="0"/>
          <w:noProof w:val="0"/>
          <w:sz w:val="20"/>
          <w:lang w:val="en-GB"/>
        </w:rPr>
        <w:t xml:space="preserve"> </w:t>
      </w:r>
      <w:r w:rsidR="007007D8">
        <w:rPr>
          <w:rFonts w:ascii="Times New Roman" w:hAnsi="Times New Roman"/>
          <w:b w:val="0"/>
          <w:noProof w:val="0"/>
          <w:sz w:val="20"/>
          <w:lang w:val="en-GB"/>
        </w:rPr>
        <w:t>e</w:t>
      </w:r>
      <w:r>
        <w:rPr>
          <w:rFonts w:ascii="Times New Roman" w:hAnsi="Times New Roman"/>
          <w:b w:val="0"/>
          <w:noProof w:val="0"/>
          <w:sz w:val="20"/>
          <w:lang w:val="en-GB"/>
        </w:rPr>
        <w:t xml:space="preserve">specially when operating such bands in </w:t>
      </w:r>
      <w:proofErr w:type="spellStart"/>
      <w:r>
        <w:rPr>
          <w:rFonts w:ascii="Times New Roman" w:hAnsi="Times New Roman"/>
          <w:b w:val="0"/>
          <w:noProof w:val="0"/>
          <w:sz w:val="20"/>
          <w:lang w:val="en-GB"/>
        </w:rPr>
        <w:t>macrocellular</w:t>
      </w:r>
      <w:proofErr w:type="spellEnd"/>
      <w:r>
        <w:rPr>
          <w:rFonts w:ascii="Times New Roman" w:hAnsi="Times New Roman"/>
          <w:b w:val="0"/>
          <w:noProof w:val="0"/>
          <w:sz w:val="20"/>
          <w:lang w:val="en-GB"/>
        </w:rPr>
        <w:t xml:space="preserve"> deployments, either coordination of UL</w:t>
      </w:r>
      <w:r w:rsidR="00BF5604">
        <w:rPr>
          <w:rFonts w:ascii="Times New Roman" w:hAnsi="Times New Roman"/>
          <w:b w:val="0"/>
          <w:noProof w:val="0"/>
          <w:sz w:val="20"/>
          <w:lang w:val="en-GB"/>
        </w:rPr>
        <w:t xml:space="preserve"> and </w:t>
      </w:r>
      <w:r>
        <w:rPr>
          <w:rFonts w:ascii="Times New Roman" w:hAnsi="Times New Roman"/>
          <w:b w:val="0"/>
          <w:noProof w:val="0"/>
          <w:sz w:val="20"/>
          <w:lang w:val="en-GB"/>
        </w:rPr>
        <w:t xml:space="preserve">DL transmissions or a </w:t>
      </w:r>
      <w:proofErr w:type="spellStart"/>
      <w:r>
        <w:rPr>
          <w:rFonts w:ascii="Times New Roman" w:hAnsi="Times New Roman"/>
          <w:b w:val="0"/>
          <w:noProof w:val="0"/>
          <w:sz w:val="20"/>
          <w:lang w:val="en-GB"/>
        </w:rPr>
        <w:t>guardband</w:t>
      </w:r>
      <w:proofErr w:type="spellEnd"/>
      <w:r>
        <w:rPr>
          <w:rFonts w:ascii="Times New Roman" w:hAnsi="Times New Roman"/>
          <w:b w:val="0"/>
          <w:noProof w:val="0"/>
          <w:sz w:val="20"/>
          <w:lang w:val="en-GB"/>
        </w:rPr>
        <w:t xml:space="preserve"> is </w:t>
      </w:r>
      <w:r w:rsidR="00BF5604">
        <w:rPr>
          <w:rFonts w:ascii="Times New Roman" w:hAnsi="Times New Roman"/>
          <w:b w:val="0"/>
          <w:noProof w:val="0"/>
          <w:sz w:val="20"/>
          <w:lang w:val="en-GB"/>
        </w:rPr>
        <w:t>sometimes permitted</w:t>
      </w:r>
      <w:r>
        <w:rPr>
          <w:rFonts w:ascii="Times New Roman" w:hAnsi="Times New Roman"/>
          <w:b w:val="0"/>
          <w:noProof w:val="0"/>
          <w:sz w:val="20"/>
          <w:lang w:val="en-GB"/>
        </w:rPr>
        <w:t xml:space="preserve">. </w:t>
      </w:r>
      <w:r w:rsidR="00BF5604">
        <w:rPr>
          <w:rFonts w:ascii="Times New Roman" w:hAnsi="Times New Roman"/>
          <w:b w:val="0"/>
          <w:noProof w:val="0"/>
          <w:sz w:val="20"/>
          <w:lang w:val="en-GB"/>
        </w:rPr>
        <w:t xml:space="preserve">Often the exact method for coexistence is made on a national regulatory basis. </w:t>
      </w:r>
    </w:p>
    <w:p w:rsidR="00BF5604" w:rsidRDefault="00E537D9"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 xml:space="preserve">Operating with a </w:t>
      </w:r>
      <w:proofErr w:type="spellStart"/>
      <w:r>
        <w:rPr>
          <w:rFonts w:ascii="Times New Roman" w:hAnsi="Times New Roman"/>
          <w:b w:val="0"/>
          <w:noProof w:val="0"/>
          <w:sz w:val="20"/>
          <w:lang w:val="en-GB"/>
        </w:rPr>
        <w:t>guardband</w:t>
      </w:r>
      <w:proofErr w:type="spellEnd"/>
      <w:r>
        <w:rPr>
          <w:rFonts w:ascii="Times New Roman" w:hAnsi="Times New Roman"/>
          <w:b w:val="0"/>
          <w:noProof w:val="0"/>
          <w:sz w:val="20"/>
          <w:lang w:val="en-GB"/>
        </w:rPr>
        <w:t xml:space="preserve"> reduces spectrum efficiency for a given spectrum allocation. Also in sub-6GHz frequency bands, there is the high possibility that there may be LTE deployments within the same band, which would mean that UL-DL configurations may be restricted by what is </w:t>
      </w:r>
      <w:r w:rsidR="006A1D0D">
        <w:rPr>
          <w:rFonts w:ascii="Times New Roman" w:hAnsi="Times New Roman"/>
          <w:b w:val="0"/>
          <w:noProof w:val="0"/>
          <w:sz w:val="20"/>
          <w:lang w:val="en-GB"/>
        </w:rPr>
        <w:t>used for</w:t>
      </w:r>
      <w:r>
        <w:rPr>
          <w:rFonts w:ascii="Times New Roman" w:hAnsi="Times New Roman"/>
          <w:b w:val="0"/>
          <w:noProof w:val="0"/>
          <w:sz w:val="20"/>
          <w:lang w:val="en-GB"/>
        </w:rPr>
        <w:t xml:space="preserve"> LTE. In addition, in some markets for some bands regulators have actually indicated the specific UL-DL ratio that shall be used.</w:t>
      </w:r>
      <w:r w:rsidR="00D77936">
        <w:rPr>
          <w:rFonts w:ascii="Times New Roman" w:hAnsi="Times New Roman"/>
          <w:b w:val="0"/>
          <w:noProof w:val="0"/>
          <w:sz w:val="20"/>
          <w:lang w:val="en-GB"/>
        </w:rPr>
        <w:t xml:space="preserve"> </w:t>
      </w:r>
    </w:p>
    <w:p w:rsidR="00E537D9" w:rsidRDefault="00404FDA"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Restrictions on the UL-DL configuration would mean restrictions on when HARQ ACKs can be sent in response to data received on the TDD carrier, because the Dual Connectivity architecture requires self-feedback. For data transmitted on the TDD carrier requiring low latency, delays in transmitting ACK/NACK would be a problem.</w:t>
      </w:r>
    </w:p>
    <w:p w:rsidR="00D77936" w:rsidRDefault="00404FDA"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 xml:space="preserve">As an example, </w:t>
      </w:r>
      <w:r w:rsidR="007007D8" w:rsidRPr="007007D8">
        <w:rPr>
          <w:rFonts w:ascii="Times New Roman" w:hAnsi="Times New Roman"/>
          <w:b w:val="0"/>
          <w:noProof w:val="0"/>
          <w:sz w:val="20"/>
          <w:lang w:val="en-GB"/>
        </w:rPr>
        <w:t xml:space="preserve">the least restrictive UL/DL configuration </w:t>
      </w:r>
      <w:r w:rsidR="007007D8">
        <w:rPr>
          <w:rFonts w:ascii="Times New Roman" w:hAnsi="Times New Roman"/>
          <w:b w:val="0"/>
          <w:noProof w:val="0"/>
          <w:sz w:val="20"/>
          <w:lang w:val="en-GB"/>
        </w:rPr>
        <w:t xml:space="preserve">for LTE </w:t>
      </w:r>
      <w:r w:rsidR="007007D8" w:rsidRPr="007007D8">
        <w:rPr>
          <w:rFonts w:ascii="Times New Roman" w:hAnsi="Times New Roman"/>
          <w:b w:val="0"/>
          <w:noProof w:val="0"/>
          <w:sz w:val="20"/>
          <w:lang w:val="en-GB"/>
        </w:rPr>
        <w:t>is highlighted in yellow in Table 1</w:t>
      </w:r>
      <w:proofErr w:type="gramStart"/>
      <w:r w:rsidR="007007D8" w:rsidRPr="007007D8">
        <w:rPr>
          <w:rFonts w:ascii="Times New Roman" w:hAnsi="Times New Roman"/>
          <w:b w:val="0"/>
          <w:noProof w:val="0"/>
          <w:sz w:val="20"/>
          <w:lang w:val="en-GB"/>
        </w:rPr>
        <w:t>,,</w:t>
      </w:r>
      <w:proofErr w:type="gramEnd"/>
      <w:r w:rsidR="007007D8" w:rsidRPr="007007D8">
        <w:rPr>
          <w:rFonts w:ascii="Times New Roman" w:hAnsi="Times New Roman"/>
          <w:b w:val="0"/>
          <w:noProof w:val="0"/>
          <w:sz w:val="20"/>
          <w:lang w:val="en-GB"/>
        </w:rPr>
        <w:t xml:space="preserve"> which is taken from 36.21</w:t>
      </w:r>
      <w:r w:rsidR="007007D8">
        <w:rPr>
          <w:rFonts w:ascii="Times New Roman" w:hAnsi="Times New Roman"/>
          <w:b w:val="0"/>
          <w:noProof w:val="0"/>
          <w:sz w:val="20"/>
          <w:lang w:val="en-GB"/>
        </w:rPr>
        <w:t>1</w:t>
      </w:r>
      <w:r w:rsidR="004709B9">
        <w:rPr>
          <w:rFonts w:ascii="Times New Roman" w:hAnsi="Times New Roman"/>
          <w:b w:val="0"/>
          <w:noProof w:val="0"/>
          <w:sz w:val="20"/>
          <w:lang w:val="en-GB"/>
        </w:rPr>
        <w:t xml:space="preserve"> </w:t>
      </w:r>
      <w:r w:rsidR="00692BF3">
        <w:rPr>
          <w:rFonts w:ascii="Times New Roman" w:hAnsi="Times New Roman"/>
          <w:b w:val="0"/>
          <w:noProof w:val="0"/>
          <w:sz w:val="20"/>
          <w:lang w:val="en-GB"/>
        </w:rPr>
        <w:t>[2]</w:t>
      </w:r>
      <w:r w:rsidR="00D77936">
        <w:rPr>
          <w:rFonts w:ascii="Times New Roman" w:hAnsi="Times New Roman"/>
          <w:b w:val="0"/>
          <w:noProof w:val="0"/>
          <w:sz w:val="20"/>
          <w:lang w:val="en-GB"/>
        </w:rPr>
        <w:t>.</w:t>
      </w:r>
      <w:r w:rsidR="00D77936" w:rsidRPr="00D77936">
        <w:rPr>
          <w:rFonts w:ascii="Times New Roman" w:hAnsi="Times New Roman"/>
          <w:b w:val="0"/>
          <w:noProof w:val="0"/>
          <w:sz w:val="20"/>
          <w:lang w:val="en-GB"/>
        </w:rPr>
        <w:t xml:space="preserve"> </w:t>
      </w:r>
    </w:p>
    <w:p w:rsidR="00D77936" w:rsidRDefault="00D77936" w:rsidP="003E7B52">
      <w:pPr>
        <w:pStyle w:val="Header"/>
        <w:spacing w:before="120"/>
        <w:jc w:val="both"/>
        <w:rPr>
          <w:rFonts w:ascii="Times New Roman" w:hAnsi="Times New Roman"/>
          <w:b w:val="0"/>
          <w:noProof w:val="0"/>
          <w:sz w:val="20"/>
          <w:lang w:val="en-GB"/>
        </w:rPr>
      </w:pPr>
    </w:p>
    <w:p w:rsidR="00D77936" w:rsidRDefault="00D77936" w:rsidP="00D77936">
      <w:pPr>
        <w:pStyle w:val="TH"/>
      </w:pPr>
      <w:r>
        <w:t>Table 1: Uplink-downlink configurations</w:t>
      </w:r>
    </w:p>
    <w:tbl>
      <w:tblPr>
        <w:tblW w:w="5000" w:type="pct"/>
        <w:jc w:val="center"/>
        <w:tblLook w:val="01E0" w:firstRow="1" w:lastRow="1" w:firstColumn="1" w:lastColumn="1" w:noHBand="0" w:noVBand="0"/>
      </w:tblPr>
      <w:tblGrid>
        <w:gridCol w:w="1916"/>
        <w:gridCol w:w="2692"/>
        <w:gridCol w:w="414"/>
        <w:gridCol w:w="401"/>
        <w:gridCol w:w="413"/>
        <w:gridCol w:w="413"/>
        <w:gridCol w:w="413"/>
        <w:gridCol w:w="413"/>
        <w:gridCol w:w="413"/>
        <w:gridCol w:w="413"/>
        <w:gridCol w:w="413"/>
        <w:gridCol w:w="406"/>
      </w:tblGrid>
      <w:tr w:rsidR="00D77936" w:rsidRPr="005B11E1" w:rsidTr="00D572E0">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 xml:space="preserve">Uplink-downlink </w:t>
            </w:r>
          </w:p>
          <w:p w:rsidR="00D77936" w:rsidRDefault="00D77936" w:rsidP="00D572E0">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 xml:space="preserve">Downlink-to-Uplink </w:t>
            </w:r>
          </w:p>
          <w:p w:rsidR="00D77936" w:rsidRDefault="00D77936" w:rsidP="00D572E0">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proofErr w:type="spellStart"/>
            <w:r>
              <w:t>Subframe</w:t>
            </w:r>
            <w:proofErr w:type="spellEnd"/>
            <w:r>
              <w:t xml:space="preserve"> number</w:t>
            </w:r>
          </w:p>
        </w:tc>
      </w:tr>
      <w:tr w:rsidR="00D77936" w:rsidTr="00D572E0">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D77936" w:rsidRDefault="00D77936" w:rsidP="00D572E0">
            <w:pPr>
              <w:pStyle w:val="TAH"/>
            </w:pPr>
            <w:r>
              <w:t>9</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r>
      <w:tr w:rsidR="00D77936" w:rsidRPr="005B11E1" w:rsidTr="00E328AD">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r w:rsidR="00D77936" w:rsidRPr="005B11E1" w:rsidTr="00E328AD">
        <w:trPr>
          <w:cantSplit/>
          <w:jc w:val="center"/>
        </w:trPr>
        <w:tc>
          <w:tcPr>
            <w:tcW w:w="1098"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2</w:t>
            </w:r>
          </w:p>
        </w:tc>
        <w:tc>
          <w:tcPr>
            <w:tcW w:w="1543"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 xml:space="preserve">5 </w:t>
            </w:r>
            <w:proofErr w:type="spellStart"/>
            <w:r w:rsidRPr="00E328AD">
              <w:t>ms</w:t>
            </w:r>
            <w:proofErr w:type="spellEnd"/>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0"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S</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U</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S</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U</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c>
          <w:tcPr>
            <w:tcW w:w="237" w:type="pct"/>
            <w:tcBorders>
              <w:top w:val="single" w:sz="4" w:space="0" w:color="auto"/>
              <w:left w:val="single" w:sz="4" w:space="0" w:color="auto"/>
              <w:bottom w:val="single" w:sz="4" w:space="0" w:color="auto"/>
              <w:right w:val="single" w:sz="4" w:space="0" w:color="auto"/>
            </w:tcBorders>
            <w:shd w:val="solid" w:color="FFFF00" w:fill="auto"/>
            <w:vAlign w:val="center"/>
          </w:tcPr>
          <w:p w:rsidR="00D77936" w:rsidRPr="00E328AD" w:rsidRDefault="00D77936" w:rsidP="00D572E0">
            <w:pPr>
              <w:pStyle w:val="TAC"/>
            </w:pPr>
            <w:r w:rsidRPr="00E328AD">
              <w:t>D</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r w:rsidR="00D77936" w:rsidRPr="005B11E1" w:rsidTr="00D572E0">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D77936" w:rsidRDefault="00D77936" w:rsidP="00D572E0">
            <w:pPr>
              <w:pStyle w:val="TAC"/>
            </w:pPr>
            <w:r>
              <w:t>D</w:t>
            </w:r>
          </w:p>
        </w:tc>
      </w:tr>
    </w:tbl>
    <w:p w:rsidR="00D77936" w:rsidRPr="00AE64D6" w:rsidRDefault="00D77936" w:rsidP="00D77936">
      <w:pPr>
        <w:rPr>
          <w:sz w:val="16"/>
          <w:szCs w:val="16"/>
        </w:rPr>
      </w:pPr>
    </w:p>
    <w:p w:rsidR="00D77936" w:rsidRPr="00AE64D6" w:rsidRDefault="00D77936" w:rsidP="003E7B52">
      <w:pPr>
        <w:pStyle w:val="Header"/>
        <w:spacing w:before="120"/>
        <w:jc w:val="both"/>
        <w:rPr>
          <w:rFonts w:ascii="Times New Roman" w:hAnsi="Times New Roman"/>
          <w:b w:val="0"/>
          <w:noProof w:val="0"/>
          <w:sz w:val="16"/>
          <w:szCs w:val="16"/>
          <w:lang w:val="en-GB"/>
        </w:rPr>
      </w:pPr>
    </w:p>
    <w:p w:rsidR="00912ED1" w:rsidRDefault="00404FDA"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For</w:t>
      </w:r>
      <w:r w:rsidR="00D77936">
        <w:rPr>
          <w:rFonts w:ascii="Times New Roman" w:hAnsi="Times New Roman"/>
          <w:b w:val="0"/>
          <w:noProof w:val="0"/>
          <w:sz w:val="20"/>
          <w:lang w:val="en-GB"/>
        </w:rPr>
        <w:t xml:space="preserve"> </w:t>
      </w:r>
      <w:r w:rsidR="00A45615">
        <w:rPr>
          <w:rFonts w:ascii="Times New Roman" w:hAnsi="Times New Roman"/>
          <w:b w:val="0"/>
          <w:noProof w:val="0"/>
          <w:sz w:val="20"/>
          <w:lang w:val="en-GB"/>
        </w:rPr>
        <w:t xml:space="preserve">this configuration </w:t>
      </w:r>
      <w:r w:rsidR="00D77936">
        <w:rPr>
          <w:rFonts w:ascii="Times New Roman" w:hAnsi="Times New Roman"/>
          <w:b w:val="0"/>
          <w:noProof w:val="0"/>
          <w:sz w:val="20"/>
          <w:lang w:val="en-GB"/>
        </w:rPr>
        <w:t xml:space="preserve">we can see that </w:t>
      </w:r>
      <w:r>
        <w:rPr>
          <w:rFonts w:ascii="Times New Roman" w:hAnsi="Times New Roman"/>
          <w:b w:val="0"/>
          <w:noProof w:val="0"/>
          <w:sz w:val="20"/>
          <w:lang w:val="en-GB"/>
        </w:rPr>
        <w:t xml:space="preserve">the ACK/NACK transmission </w:t>
      </w:r>
      <w:r w:rsidR="00D77936">
        <w:rPr>
          <w:rFonts w:ascii="Times New Roman" w:hAnsi="Times New Roman"/>
          <w:b w:val="0"/>
          <w:noProof w:val="0"/>
          <w:sz w:val="20"/>
          <w:lang w:val="en-GB"/>
        </w:rPr>
        <w:t xml:space="preserve">will experience a delay </w:t>
      </w:r>
      <w:r w:rsidRPr="004709B9">
        <w:rPr>
          <w:rFonts w:ascii="Times New Roman" w:hAnsi="Times New Roman"/>
          <w:b w:val="0"/>
          <w:i/>
          <w:noProof w:val="0"/>
          <w:sz w:val="20"/>
          <w:lang w:val="en-GB"/>
        </w:rPr>
        <w:t>d</w:t>
      </w:r>
      <w:r>
        <w:rPr>
          <w:rFonts w:ascii="Times New Roman" w:hAnsi="Times New Roman"/>
          <w:b w:val="0"/>
          <w:noProof w:val="0"/>
          <w:sz w:val="20"/>
          <w:lang w:val="en-GB"/>
        </w:rPr>
        <w:t xml:space="preserve"> </w:t>
      </w:r>
      <w:r w:rsidR="00A15A37">
        <w:rPr>
          <w:rFonts w:ascii="Times New Roman" w:hAnsi="Times New Roman"/>
          <w:b w:val="0"/>
          <w:noProof w:val="0"/>
          <w:sz w:val="20"/>
          <w:lang w:val="en-GB"/>
        </w:rPr>
        <w:t>of</w:t>
      </w:r>
      <w:r w:rsidR="00D77936">
        <w:rPr>
          <w:rFonts w:ascii="Times New Roman" w:hAnsi="Times New Roman"/>
          <w:b w:val="0"/>
          <w:noProof w:val="0"/>
          <w:sz w:val="20"/>
          <w:lang w:val="en-GB"/>
        </w:rPr>
        <w:t xml:space="preserve"> 2</w:t>
      </w:r>
      <w:r w:rsidR="004709B9">
        <w:rPr>
          <w:rFonts w:ascii="Times New Roman" w:hAnsi="Times New Roman"/>
          <w:b w:val="0"/>
          <w:noProof w:val="0"/>
          <w:sz w:val="20"/>
          <w:lang w:val="en-GB"/>
        </w:rPr>
        <w:t>ms</w:t>
      </w:r>
      <w:r>
        <w:rPr>
          <w:rFonts w:ascii="Times New Roman" w:hAnsi="Times New Roman"/>
          <w:b w:val="0"/>
          <w:noProof w:val="0"/>
          <w:sz w:val="20"/>
          <w:lang w:val="en-GB"/>
        </w:rPr>
        <w:t>&lt;</w:t>
      </w:r>
      <w:r w:rsidRPr="004709B9">
        <w:rPr>
          <w:rFonts w:ascii="Times New Roman" w:hAnsi="Times New Roman"/>
          <w:b w:val="0"/>
          <w:i/>
          <w:noProof w:val="0"/>
          <w:sz w:val="20"/>
          <w:lang w:val="en-GB"/>
        </w:rPr>
        <w:t>d</w:t>
      </w:r>
      <w:r>
        <w:rPr>
          <w:rFonts w:ascii="Times New Roman" w:hAnsi="Times New Roman"/>
          <w:b w:val="0"/>
          <w:noProof w:val="0"/>
          <w:sz w:val="20"/>
          <w:lang w:val="en-GB"/>
        </w:rPr>
        <w:t>&lt;</w:t>
      </w:r>
      <w:r w:rsidR="004709B9">
        <w:rPr>
          <w:rFonts w:ascii="Times New Roman" w:hAnsi="Times New Roman"/>
          <w:b w:val="0"/>
          <w:noProof w:val="0"/>
          <w:sz w:val="20"/>
          <w:lang w:val="en-GB"/>
        </w:rPr>
        <w:t>3</w:t>
      </w:r>
      <w:r w:rsidR="00D77936">
        <w:rPr>
          <w:rFonts w:ascii="Times New Roman" w:hAnsi="Times New Roman"/>
          <w:b w:val="0"/>
          <w:noProof w:val="0"/>
          <w:sz w:val="20"/>
          <w:lang w:val="en-GB"/>
        </w:rPr>
        <w:t xml:space="preserve">ms depending on </w:t>
      </w:r>
      <w:r>
        <w:rPr>
          <w:rFonts w:ascii="Times New Roman" w:hAnsi="Times New Roman"/>
          <w:b w:val="0"/>
          <w:noProof w:val="0"/>
          <w:sz w:val="20"/>
          <w:lang w:val="en-GB"/>
        </w:rPr>
        <w:t xml:space="preserve">which DL </w:t>
      </w:r>
      <w:proofErr w:type="spellStart"/>
      <w:r w:rsidR="00D77936">
        <w:rPr>
          <w:rFonts w:ascii="Times New Roman" w:hAnsi="Times New Roman"/>
          <w:b w:val="0"/>
          <w:noProof w:val="0"/>
          <w:sz w:val="20"/>
          <w:lang w:val="en-GB"/>
        </w:rPr>
        <w:t>subframe</w:t>
      </w:r>
      <w:proofErr w:type="spellEnd"/>
      <w:r w:rsidR="00D77936">
        <w:rPr>
          <w:rFonts w:ascii="Times New Roman" w:hAnsi="Times New Roman"/>
          <w:b w:val="0"/>
          <w:noProof w:val="0"/>
          <w:sz w:val="20"/>
          <w:lang w:val="en-GB"/>
        </w:rPr>
        <w:t xml:space="preserve"> </w:t>
      </w:r>
      <w:r>
        <w:rPr>
          <w:rFonts w:ascii="Times New Roman" w:hAnsi="Times New Roman"/>
          <w:b w:val="0"/>
          <w:noProof w:val="0"/>
          <w:sz w:val="20"/>
          <w:lang w:val="en-GB"/>
        </w:rPr>
        <w:t>the downlink data was transmitted</w:t>
      </w:r>
      <w:r w:rsidR="004709B9">
        <w:rPr>
          <w:rFonts w:ascii="Times New Roman" w:hAnsi="Times New Roman"/>
          <w:b w:val="0"/>
          <w:noProof w:val="0"/>
          <w:sz w:val="20"/>
          <w:lang w:val="en-GB"/>
        </w:rPr>
        <w:t xml:space="preserve"> on</w:t>
      </w:r>
      <w:r w:rsidR="007A7E1C">
        <w:rPr>
          <w:rFonts w:ascii="Times New Roman" w:hAnsi="Times New Roman"/>
          <w:b w:val="0"/>
          <w:noProof w:val="0"/>
          <w:sz w:val="20"/>
          <w:lang w:val="en-GB"/>
        </w:rPr>
        <w:t xml:space="preserve">. </w:t>
      </w:r>
      <w:r>
        <w:rPr>
          <w:rFonts w:ascii="Times New Roman" w:hAnsi="Times New Roman"/>
          <w:b w:val="0"/>
          <w:noProof w:val="0"/>
          <w:sz w:val="20"/>
          <w:lang w:val="en-GB"/>
        </w:rPr>
        <w:t xml:space="preserve">If for the same </w:t>
      </w:r>
      <w:r w:rsidR="004A0B65">
        <w:rPr>
          <w:rFonts w:ascii="Times New Roman" w:hAnsi="Times New Roman"/>
          <w:b w:val="0"/>
          <w:noProof w:val="0"/>
          <w:sz w:val="20"/>
          <w:lang w:val="en-GB"/>
        </w:rPr>
        <w:t xml:space="preserve">deployment and aggregation </w:t>
      </w:r>
      <w:r>
        <w:rPr>
          <w:rFonts w:ascii="Times New Roman" w:hAnsi="Times New Roman"/>
          <w:b w:val="0"/>
          <w:noProof w:val="0"/>
          <w:sz w:val="20"/>
          <w:lang w:val="en-GB"/>
        </w:rPr>
        <w:t xml:space="preserve">scenario for frequency 1 and frequency 2, the radio technology used on frequency 2 was instead LTE, </w:t>
      </w:r>
      <w:proofErr w:type="gramStart"/>
      <w:r>
        <w:rPr>
          <w:rFonts w:ascii="Times New Roman" w:hAnsi="Times New Roman"/>
          <w:b w:val="0"/>
          <w:noProof w:val="0"/>
          <w:sz w:val="20"/>
          <w:lang w:val="en-GB"/>
        </w:rPr>
        <w:t>then</w:t>
      </w:r>
      <w:proofErr w:type="gramEnd"/>
      <w:r>
        <w:rPr>
          <w:rFonts w:ascii="Times New Roman" w:hAnsi="Times New Roman"/>
          <w:b w:val="0"/>
          <w:noProof w:val="0"/>
          <w:sz w:val="20"/>
          <w:lang w:val="en-GB"/>
        </w:rPr>
        <w:t xml:space="preserve"> there would not be such a problem because </w:t>
      </w:r>
      <w:r w:rsidR="004A0B65">
        <w:rPr>
          <w:rFonts w:ascii="Times New Roman" w:hAnsi="Times New Roman"/>
          <w:b w:val="0"/>
          <w:noProof w:val="0"/>
          <w:sz w:val="20"/>
          <w:lang w:val="en-GB"/>
        </w:rPr>
        <w:t xml:space="preserve">LTE would be used on frequency 1 and frequency 2, so </w:t>
      </w:r>
      <w:r>
        <w:rPr>
          <w:rFonts w:ascii="Times New Roman" w:hAnsi="Times New Roman"/>
          <w:b w:val="0"/>
          <w:noProof w:val="0"/>
          <w:sz w:val="20"/>
          <w:lang w:val="en-GB"/>
        </w:rPr>
        <w:t>LTE CA could be used, and feedback can be sent via frequency 1.</w:t>
      </w:r>
      <w:r w:rsidR="000A2632">
        <w:rPr>
          <w:rFonts w:ascii="Times New Roman" w:hAnsi="Times New Roman"/>
          <w:b w:val="0"/>
          <w:noProof w:val="0"/>
          <w:sz w:val="20"/>
          <w:lang w:val="en-GB"/>
        </w:rPr>
        <w:t xml:space="preserve"> </w:t>
      </w:r>
    </w:p>
    <w:p w:rsidR="00912ED1" w:rsidRDefault="00912ED1" w:rsidP="003E7B52">
      <w:pPr>
        <w:pStyle w:val="Header"/>
        <w:spacing w:before="120"/>
        <w:jc w:val="both"/>
        <w:rPr>
          <w:rFonts w:ascii="Times New Roman" w:hAnsi="Times New Roman"/>
          <w:b w:val="0"/>
          <w:noProof w:val="0"/>
          <w:sz w:val="20"/>
          <w:lang w:val="en-GB"/>
        </w:rPr>
      </w:pPr>
    </w:p>
    <w:p w:rsidR="00960EBD" w:rsidRPr="00912ED1" w:rsidRDefault="000A2632"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 xml:space="preserve">In addition, RLC status reporting would be restricted if confined to the TDD carrier in this type of configuration. This info would typically be transferred on the physical data channel. Therefore allowing the NR physical data channel to be sent on the FDD carrier would seem to remove this restriction. </w:t>
      </w:r>
    </w:p>
    <w:p w:rsidR="000E24EF" w:rsidRDefault="000E24EF"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lastRenderedPageBreak/>
        <w:t xml:space="preserve">Note that this same issue will apply for </w:t>
      </w:r>
      <w:proofErr w:type="gramStart"/>
      <w:r>
        <w:rPr>
          <w:rFonts w:ascii="Times New Roman" w:hAnsi="Times New Roman"/>
          <w:b w:val="0"/>
          <w:noProof w:val="0"/>
          <w:sz w:val="20"/>
          <w:lang w:val="en-GB"/>
        </w:rPr>
        <w:t>both UL</w:t>
      </w:r>
      <w:proofErr w:type="gramEnd"/>
      <w:r>
        <w:rPr>
          <w:rFonts w:ascii="Times New Roman" w:hAnsi="Times New Roman"/>
          <w:b w:val="0"/>
          <w:noProof w:val="0"/>
          <w:sz w:val="20"/>
          <w:lang w:val="en-GB"/>
        </w:rPr>
        <w:t xml:space="preserve"> and DL ACK/NACKs on the TDD carrier. But we assume that for DL data it is more of an issue because inter-band DL CA will most likely be useful in maximising the packet size that can be delivered at a certain coverage and latency</w:t>
      </w:r>
      <w:r w:rsidR="00F47F34">
        <w:rPr>
          <w:rFonts w:ascii="Times New Roman" w:hAnsi="Times New Roman"/>
          <w:b w:val="0"/>
          <w:noProof w:val="0"/>
          <w:sz w:val="20"/>
          <w:lang w:val="en-GB"/>
        </w:rPr>
        <w:t>, due to additional power likely being available by using different bands</w:t>
      </w:r>
      <w:r>
        <w:rPr>
          <w:rFonts w:ascii="Times New Roman" w:hAnsi="Times New Roman"/>
          <w:b w:val="0"/>
          <w:noProof w:val="0"/>
          <w:sz w:val="20"/>
          <w:lang w:val="en-GB"/>
        </w:rPr>
        <w:t xml:space="preserve">. </w:t>
      </w:r>
    </w:p>
    <w:p w:rsidR="00912ED1" w:rsidRPr="00AE64D6" w:rsidRDefault="00912ED1" w:rsidP="003E7B52">
      <w:pPr>
        <w:pStyle w:val="Header"/>
        <w:spacing w:before="120"/>
        <w:jc w:val="both"/>
        <w:rPr>
          <w:rFonts w:ascii="Times New Roman" w:hAnsi="Times New Roman"/>
          <w:b w:val="0"/>
          <w:noProof w:val="0"/>
          <w:sz w:val="20"/>
          <w:lang w:val="en-GB"/>
        </w:rPr>
      </w:pPr>
    </w:p>
    <w:p w:rsidR="000E24EF" w:rsidRDefault="000E24EF" w:rsidP="000E24EF">
      <w:pPr>
        <w:pStyle w:val="Heading2"/>
        <w:spacing w:before="120" w:after="120"/>
        <w:jc w:val="both"/>
        <w:rPr>
          <w:rFonts w:ascii="Arial" w:hAnsi="Arial" w:cs="Arial"/>
          <w:b w:val="0"/>
          <w:color w:val="auto"/>
        </w:rPr>
      </w:pPr>
      <w:r>
        <w:rPr>
          <w:rFonts w:ascii="Arial" w:hAnsi="Arial" w:cs="Arial"/>
          <w:b w:val="0"/>
          <w:color w:val="auto"/>
        </w:rPr>
        <w:t>2.2</w:t>
      </w:r>
      <w:r w:rsidRPr="00E421AB">
        <w:rPr>
          <w:rFonts w:ascii="Arial" w:hAnsi="Arial" w:cs="Arial"/>
          <w:b w:val="0"/>
          <w:color w:val="auto"/>
        </w:rPr>
        <w:tab/>
      </w:r>
      <w:r>
        <w:rPr>
          <w:rFonts w:ascii="Arial" w:hAnsi="Arial" w:cs="Arial"/>
          <w:b w:val="0"/>
          <w:color w:val="auto"/>
        </w:rPr>
        <w:t>Some other issues with relying on Dual Uplink</w:t>
      </w:r>
    </w:p>
    <w:p w:rsidR="00960EBD" w:rsidRDefault="00960EBD" w:rsidP="003E7B52">
      <w:pPr>
        <w:pStyle w:val="Header"/>
        <w:spacing w:before="120"/>
        <w:jc w:val="both"/>
        <w:rPr>
          <w:rFonts w:ascii="Times New Roman" w:hAnsi="Times New Roman"/>
          <w:b w:val="0"/>
          <w:noProof w:val="0"/>
          <w:sz w:val="20"/>
          <w:lang w:val="en-GB"/>
        </w:rPr>
      </w:pPr>
      <w:r>
        <w:rPr>
          <w:rFonts w:ascii="Times New Roman" w:hAnsi="Times New Roman"/>
          <w:b w:val="0"/>
          <w:noProof w:val="0"/>
          <w:sz w:val="20"/>
          <w:lang w:val="en-GB"/>
        </w:rPr>
        <w:t>In addition to the discussed issue for low latency requirements we should take into account that:</w:t>
      </w:r>
    </w:p>
    <w:p w:rsidR="00D77936" w:rsidRDefault="00960EBD" w:rsidP="00960EBD">
      <w:pPr>
        <w:pStyle w:val="Header"/>
        <w:numPr>
          <w:ilvl w:val="0"/>
          <w:numId w:val="32"/>
        </w:numPr>
        <w:spacing w:before="120"/>
        <w:jc w:val="both"/>
        <w:rPr>
          <w:rFonts w:ascii="Times New Roman" w:hAnsi="Times New Roman"/>
          <w:b w:val="0"/>
          <w:noProof w:val="0"/>
          <w:sz w:val="20"/>
          <w:lang w:val="en-GB"/>
        </w:rPr>
      </w:pPr>
      <w:r>
        <w:rPr>
          <w:rFonts w:ascii="Times New Roman" w:hAnsi="Times New Roman"/>
          <w:b w:val="0"/>
          <w:noProof w:val="0"/>
          <w:sz w:val="20"/>
          <w:lang w:val="en-GB"/>
        </w:rPr>
        <w:t>While m</w:t>
      </w:r>
      <w:r w:rsidRPr="000B72CA">
        <w:rPr>
          <w:rFonts w:ascii="Times New Roman" w:hAnsi="Times New Roman"/>
          <w:b w:val="0"/>
          <w:noProof w:val="0"/>
          <w:sz w:val="20"/>
          <w:lang w:val="en-GB"/>
        </w:rPr>
        <w:t>ost networks are still dominated by downlink traffi</w:t>
      </w:r>
      <w:r>
        <w:rPr>
          <w:rFonts w:ascii="Times New Roman" w:hAnsi="Times New Roman"/>
          <w:b w:val="0"/>
          <w:noProof w:val="0"/>
          <w:sz w:val="20"/>
          <w:lang w:val="en-GB"/>
        </w:rPr>
        <w:t xml:space="preserve">c demand, </w:t>
      </w:r>
      <w:r w:rsidR="00D77936">
        <w:rPr>
          <w:rFonts w:ascii="Times New Roman" w:hAnsi="Times New Roman"/>
          <w:b w:val="0"/>
          <w:noProof w:val="0"/>
          <w:sz w:val="20"/>
          <w:lang w:val="en-GB"/>
        </w:rPr>
        <w:t xml:space="preserve">allocation of time resource in uplink reduces the potential resource available in downlink. </w:t>
      </w:r>
      <w:r w:rsidR="000E24EF">
        <w:rPr>
          <w:rFonts w:ascii="Times New Roman" w:hAnsi="Times New Roman"/>
          <w:b w:val="0"/>
          <w:noProof w:val="0"/>
          <w:sz w:val="20"/>
          <w:lang w:val="en-GB"/>
        </w:rPr>
        <w:t>Also for each occasion where a small amount of UL resource needs to be allocated, also we need to consider that 2 guard period occasions would be required.</w:t>
      </w:r>
    </w:p>
    <w:p w:rsidR="008F7CD5" w:rsidRDefault="000E24EF" w:rsidP="000B72CA">
      <w:pPr>
        <w:pStyle w:val="Header"/>
        <w:numPr>
          <w:ilvl w:val="0"/>
          <w:numId w:val="32"/>
        </w:numPr>
        <w:spacing w:before="120"/>
        <w:jc w:val="both"/>
        <w:rPr>
          <w:rFonts w:ascii="Times New Roman" w:hAnsi="Times New Roman"/>
          <w:b w:val="0"/>
          <w:noProof w:val="0"/>
          <w:sz w:val="20"/>
          <w:lang w:val="en-GB"/>
        </w:rPr>
      </w:pPr>
      <w:r>
        <w:rPr>
          <w:rFonts w:ascii="Times New Roman" w:hAnsi="Times New Roman"/>
          <w:b w:val="0"/>
          <w:noProof w:val="0"/>
          <w:sz w:val="20"/>
          <w:lang w:val="en-GB"/>
        </w:rPr>
        <w:t>Depending on the band combinations used, there may be self-</w:t>
      </w:r>
      <w:proofErr w:type="spellStart"/>
      <w:r>
        <w:rPr>
          <w:rFonts w:ascii="Times New Roman" w:hAnsi="Times New Roman"/>
          <w:b w:val="0"/>
          <w:noProof w:val="0"/>
          <w:sz w:val="20"/>
          <w:lang w:val="en-GB"/>
        </w:rPr>
        <w:t>desense</w:t>
      </w:r>
      <w:proofErr w:type="spellEnd"/>
      <w:r>
        <w:rPr>
          <w:rFonts w:ascii="Times New Roman" w:hAnsi="Times New Roman"/>
          <w:b w:val="0"/>
          <w:noProof w:val="0"/>
          <w:sz w:val="20"/>
          <w:lang w:val="en-GB"/>
        </w:rPr>
        <w:t xml:space="preserve"> in relying on 2 uplinks, due to IMD or harmonics falling into one of the receive channels.</w:t>
      </w:r>
    </w:p>
    <w:p w:rsidR="00E46B1D" w:rsidRPr="00AE64D6" w:rsidRDefault="00E46B1D" w:rsidP="00E46B1D">
      <w:pPr>
        <w:pStyle w:val="Header"/>
        <w:spacing w:before="120"/>
        <w:ind w:left="720"/>
        <w:jc w:val="both"/>
        <w:rPr>
          <w:rFonts w:ascii="Times New Roman" w:hAnsi="Times New Roman"/>
          <w:b w:val="0"/>
          <w:noProof w:val="0"/>
          <w:sz w:val="16"/>
          <w:szCs w:val="16"/>
          <w:lang w:val="en-GB"/>
        </w:rPr>
      </w:pPr>
    </w:p>
    <w:p w:rsidR="001C7E04" w:rsidRDefault="002B324B" w:rsidP="000C7C46">
      <w:pPr>
        <w:pStyle w:val="Header"/>
        <w:spacing w:before="120"/>
        <w:jc w:val="both"/>
        <w:rPr>
          <w:rFonts w:ascii="Times New Roman" w:hAnsi="Times New Roman"/>
          <w:noProof w:val="0"/>
          <w:sz w:val="20"/>
          <w:lang w:val="en-GB"/>
        </w:rPr>
      </w:pPr>
      <w:r w:rsidRPr="00D652C8">
        <w:rPr>
          <w:rFonts w:ascii="Times New Roman" w:hAnsi="Times New Roman"/>
          <w:noProof w:val="0"/>
          <w:sz w:val="20"/>
          <w:u w:val="single"/>
          <w:lang w:val="en-GB"/>
        </w:rPr>
        <w:t>Observation</w:t>
      </w:r>
      <w:r w:rsidR="000C7C46">
        <w:rPr>
          <w:rFonts w:ascii="Times New Roman" w:hAnsi="Times New Roman"/>
          <w:noProof w:val="0"/>
          <w:sz w:val="20"/>
          <w:u w:val="single"/>
          <w:lang w:val="en-GB"/>
        </w:rPr>
        <w:t xml:space="preserve"> 1</w:t>
      </w:r>
      <w:r w:rsidRPr="00D652C8">
        <w:rPr>
          <w:rFonts w:ascii="Times New Roman" w:hAnsi="Times New Roman"/>
          <w:noProof w:val="0"/>
          <w:sz w:val="20"/>
          <w:lang w:val="en-GB"/>
        </w:rPr>
        <w:t xml:space="preserve">: There seem to be a real deployment issue here (which do not </w:t>
      </w:r>
      <w:r w:rsidR="00D652C8">
        <w:rPr>
          <w:rFonts w:ascii="Times New Roman" w:hAnsi="Times New Roman"/>
          <w:noProof w:val="0"/>
          <w:sz w:val="20"/>
          <w:lang w:val="en-GB"/>
        </w:rPr>
        <w:t>occur</w:t>
      </w:r>
      <w:r w:rsidRPr="00D652C8">
        <w:rPr>
          <w:rFonts w:ascii="Times New Roman" w:hAnsi="Times New Roman"/>
          <w:noProof w:val="0"/>
          <w:sz w:val="20"/>
          <w:lang w:val="en-GB"/>
        </w:rPr>
        <w:t xml:space="preserve"> in deployments of </w:t>
      </w:r>
      <w:r w:rsidR="00D652C8" w:rsidRPr="00D652C8">
        <w:rPr>
          <w:rFonts w:ascii="Times New Roman" w:hAnsi="Times New Roman"/>
          <w:noProof w:val="0"/>
          <w:sz w:val="20"/>
          <w:lang w:val="en-GB"/>
        </w:rPr>
        <w:t>LTE radio</w:t>
      </w:r>
      <w:r w:rsidR="00D652C8">
        <w:rPr>
          <w:rFonts w:ascii="Times New Roman" w:hAnsi="Times New Roman"/>
          <w:noProof w:val="0"/>
          <w:sz w:val="20"/>
          <w:lang w:val="en-GB"/>
        </w:rPr>
        <w:t>, but only occur when introducing NR</w:t>
      </w:r>
      <w:r w:rsidR="00BF5604">
        <w:rPr>
          <w:rFonts w:ascii="Times New Roman" w:hAnsi="Times New Roman"/>
          <w:noProof w:val="0"/>
          <w:sz w:val="20"/>
          <w:lang w:val="en-GB"/>
        </w:rPr>
        <w:t xml:space="preserve"> in one of the aggregated bands</w:t>
      </w:r>
      <w:r w:rsidRPr="00D652C8">
        <w:rPr>
          <w:rFonts w:ascii="Times New Roman" w:hAnsi="Times New Roman"/>
          <w:noProof w:val="0"/>
          <w:sz w:val="20"/>
          <w:lang w:val="en-GB"/>
        </w:rPr>
        <w:t>) to suggest that being able to transmit NR L1/2 control channel feedback efficiently on the same carrier as LTE should be given some serious consideration.</w:t>
      </w:r>
    </w:p>
    <w:p w:rsidR="000268AE" w:rsidRDefault="000268AE" w:rsidP="008E09E3">
      <w:pPr>
        <w:pStyle w:val="Header"/>
        <w:jc w:val="both"/>
        <w:rPr>
          <w:rFonts w:ascii="Times New Roman" w:hAnsi="Times New Roman"/>
          <w:b w:val="0"/>
          <w:noProof w:val="0"/>
          <w:sz w:val="20"/>
          <w:lang w:val="en-GB"/>
        </w:rPr>
      </w:pPr>
    </w:p>
    <w:p w:rsidR="00B41677" w:rsidRDefault="00E421AB" w:rsidP="00D652C8">
      <w:pPr>
        <w:pStyle w:val="Heading2"/>
        <w:spacing w:after="120"/>
        <w:ind w:left="705" w:hanging="705"/>
        <w:jc w:val="both"/>
        <w:rPr>
          <w:rFonts w:ascii="Arial" w:hAnsi="Arial" w:cs="Arial"/>
          <w:b w:val="0"/>
          <w:color w:val="auto"/>
        </w:rPr>
      </w:pPr>
      <w:r w:rsidRPr="00E421AB">
        <w:rPr>
          <w:rFonts w:ascii="Arial" w:hAnsi="Arial" w:cs="Arial"/>
          <w:b w:val="0"/>
          <w:color w:val="auto"/>
        </w:rPr>
        <w:t>2.</w:t>
      </w:r>
      <w:r w:rsidR="004709B9">
        <w:rPr>
          <w:rFonts w:ascii="Arial" w:hAnsi="Arial" w:cs="Arial"/>
          <w:b w:val="0"/>
          <w:color w:val="auto"/>
        </w:rPr>
        <w:t>3</w:t>
      </w:r>
      <w:r w:rsidRPr="00E421AB">
        <w:rPr>
          <w:rFonts w:ascii="Arial" w:hAnsi="Arial" w:cs="Arial"/>
          <w:b w:val="0"/>
          <w:color w:val="auto"/>
        </w:rPr>
        <w:tab/>
      </w:r>
      <w:r w:rsidR="00F47F34">
        <w:rPr>
          <w:rFonts w:ascii="Arial" w:hAnsi="Arial" w:cs="Arial"/>
          <w:b w:val="0"/>
          <w:color w:val="auto"/>
        </w:rPr>
        <w:t>For UL there is a simple solution available</w:t>
      </w:r>
      <w:r w:rsidR="005828F3">
        <w:rPr>
          <w:rFonts w:ascii="Arial" w:hAnsi="Arial" w:cs="Arial"/>
          <w:b w:val="0"/>
          <w:color w:val="auto"/>
        </w:rPr>
        <w:t xml:space="preserve"> </w:t>
      </w:r>
    </w:p>
    <w:p w:rsidR="00D652C8" w:rsidRDefault="00D652C8" w:rsidP="008C0FE5">
      <w:pPr>
        <w:jc w:val="both"/>
      </w:pPr>
      <w:r>
        <w:t xml:space="preserve">Unlike the LTE downlink, the LTE uplink fortunately implicitly allows resource blanking to a </w:t>
      </w:r>
      <w:proofErr w:type="spellStart"/>
      <w:r>
        <w:t>subframe</w:t>
      </w:r>
      <w:proofErr w:type="spellEnd"/>
      <w:r>
        <w:t xml:space="preserve"> or Resource Block level for PUSCH. Therefore it should be quite possible to dynamically reserve some LTE resource to allow the UE to transmit both LTE and NR L1/2 control channel feedback on the same carrier frequency</w:t>
      </w:r>
      <w:r w:rsidR="000C7C46">
        <w:t xml:space="preserve"> in an FDM and/or TDM manner</w:t>
      </w:r>
      <w:r>
        <w:t xml:space="preserve">. Introduction of the LTE short TTI should bring further flexibility to reserve even less time resource in uplink to transmit NR feedback information. </w:t>
      </w:r>
    </w:p>
    <w:p w:rsidR="008C0FE5" w:rsidRDefault="000C7C46" w:rsidP="008C0FE5">
      <w:pPr>
        <w:jc w:val="both"/>
      </w:pPr>
      <w:r>
        <w:t xml:space="preserve">Requiring a different numerology to be used for NR uplink and LTE uplink on the same carrier would obviously cause some issues in terms of interference, but RAN1 seems to agree to </w:t>
      </w:r>
      <w:r w:rsidR="00F47F34">
        <w:t xml:space="preserve">enable </w:t>
      </w:r>
      <w:r>
        <w:t>a numerology framework that allows alignment to LTE.</w:t>
      </w:r>
    </w:p>
    <w:p w:rsidR="00E46B1D" w:rsidRPr="00AE64D6" w:rsidRDefault="00E46B1D" w:rsidP="008C0FE5">
      <w:pPr>
        <w:jc w:val="both"/>
        <w:rPr>
          <w:sz w:val="16"/>
          <w:szCs w:val="16"/>
        </w:rPr>
      </w:pPr>
    </w:p>
    <w:p w:rsidR="004E27D1" w:rsidRPr="00854BB4" w:rsidRDefault="004E27D1" w:rsidP="008C0FE5">
      <w:pPr>
        <w:pStyle w:val="Header"/>
        <w:jc w:val="both"/>
        <w:rPr>
          <w:rFonts w:ascii="Times New Roman" w:hAnsi="Times New Roman"/>
          <w:noProof w:val="0"/>
          <w:sz w:val="20"/>
          <w:lang w:val="en-GB"/>
        </w:rPr>
      </w:pPr>
      <w:r w:rsidRPr="00BC6FCC">
        <w:rPr>
          <w:rFonts w:ascii="Times New Roman" w:hAnsi="Times New Roman"/>
          <w:noProof w:val="0"/>
          <w:sz w:val="20"/>
          <w:u w:val="single"/>
          <w:lang w:val="en-GB"/>
        </w:rPr>
        <w:t>Observation</w:t>
      </w:r>
      <w:r w:rsidR="00BC6FCC" w:rsidRPr="00BC6FCC">
        <w:rPr>
          <w:rFonts w:ascii="Times New Roman" w:hAnsi="Times New Roman"/>
          <w:noProof w:val="0"/>
          <w:sz w:val="20"/>
          <w:u w:val="single"/>
          <w:lang w:val="en-GB"/>
        </w:rPr>
        <w:t xml:space="preserve"> 2</w:t>
      </w:r>
      <w:r w:rsidRPr="00BC6FCC">
        <w:rPr>
          <w:rFonts w:ascii="Times New Roman" w:hAnsi="Times New Roman"/>
          <w:noProof w:val="0"/>
          <w:sz w:val="20"/>
          <w:lang w:val="en-GB"/>
        </w:rPr>
        <w:t xml:space="preserve">: </w:t>
      </w:r>
      <w:r w:rsidR="000C7C46">
        <w:rPr>
          <w:rFonts w:ascii="Times New Roman" w:hAnsi="Times New Roman"/>
          <w:noProof w:val="0"/>
          <w:sz w:val="20"/>
          <w:lang w:val="en-GB"/>
        </w:rPr>
        <w:t>Specification and operation to allow NR L1/2 control channel feedback to operate within the LTE carrier dynamically seems to be quite simple to achieve</w:t>
      </w:r>
      <w:r w:rsidR="0010037F">
        <w:rPr>
          <w:rFonts w:ascii="Times New Roman" w:hAnsi="Times New Roman"/>
          <w:noProof w:val="0"/>
          <w:sz w:val="20"/>
          <w:lang w:val="en-GB"/>
        </w:rPr>
        <w:t>.</w:t>
      </w:r>
    </w:p>
    <w:p w:rsidR="004E27D1" w:rsidRDefault="004E27D1" w:rsidP="008C0FE5">
      <w:pPr>
        <w:pStyle w:val="Header"/>
        <w:jc w:val="both"/>
        <w:rPr>
          <w:rFonts w:ascii="Times New Roman" w:hAnsi="Times New Roman"/>
          <w:b w:val="0"/>
          <w:noProof w:val="0"/>
          <w:sz w:val="20"/>
          <w:lang w:val="en-GB"/>
        </w:rPr>
      </w:pPr>
    </w:p>
    <w:p w:rsidR="00F47F34" w:rsidRPr="00AE64D6" w:rsidRDefault="00F47F34" w:rsidP="008C0FE5">
      <w:pPr>
        <w:pStyle w:val="Header"/>
        <w:jc w:val="both"/>
        <w:rPr>
          <w:rFonts w:ascii="Times New Roman" w:hAnsi="Times New Roman"/>
          <w:b w:val="0"/>
          <w:noProof w:val="0"/>
          <w:sz w:val="16"/>
          <w:szCs w:val="16"/>
          <w:lang w:val="en-GB"/>
        </w:rPr>
      </w:pPr>
    </w:p>
    <w:p w:rsidR="00986BE4" w:rsidRDefault="004D3D86" w:rsidP="008E09E3">
      <w:pPr>
        <w:pStyle w:val="Heading1"/>
        <w:numPr>
          <w:ilvl w:val="0"/>
          <w:numId w:val="21"/>
        </w:numPr>
        <w:ind w:hanging="720"/>
        <w:jc w:val="both"/>
      </w:pPr>
      <w:r>
        <w:t>Conclusion and proposal</w:t>
      </w:r>
    </w:p>
    <w:p w:rsidR="008C0FE5" w:rsidRDefault="004D3D86" w:rsidP="008C0FE5">
      <w:pPr>
        <w:jc w:val="both"/>
      </w:pPr>
      <w:r>
        <w:t xml:space="preserve">We believe that there </w:t>
      </w:r>
      <w:r w:rsidR="00EE785D">
        <w:t xml:space="preserve">could be a problem </w:t>
      </w:r>
      <w:r>
        <w:t xml:space="preserve"> </w:t>
      </w:r>
      <w:r w:rsidR="00EE785D">
        <w:t>for NR macro network deployments on a sub-6GHz TDD band operating as a secondary carrier in the LTE+NR interworking (Dual Connectivity) scenario, when the network wants to use this band to transmit data with low latency. The same problems do not exist when LTE is deployed on that TDD band. Enabling the UE to transmit both NR control feedback and LTE control feedback on the same uplink spectrum block would help to resolve this problem</w:t>
      </w:r>
      <w:r>
        <w:t xml:space="preserve">, and make it </w:t>
      </w:r>
      <w:r w:rsidR="00EE785D">
        <w:t xml:space="preserve">almost </w:t>
      </w:r>
      <w:r>
        <w:t xml:space="preserve">no </w:t>
      </w:r>
      <w:r w:rsidR="00EE785D">
        <w:t xml:space="preserve">different </w:t>
      </w:r>
      <w:r>
        <w:t xml:space="preserve">than deploying LTE radio in that band. We believe this will greatly help to maximise NR take-up in sub-6GHz frequency bands. Therefore we would like RAN1 to </w:t>
      </w:r>
      <w:r w:rsidR="008C0FE5">
        <w:t>agree on the following proposals:</w:t>
      </w:r>
    </w:p>
    <w:p w:rsidR="000A2632" w:rsidRDefault="008C0FE5" w:rsidP="000A2632">
      <w:pPr>
        <w:jc w:val="both"/>
        <w:rPr>
          <w:b/>
          <w:lang w:val="en-US"/>
        </w:rPr>
      </w:pPr>
      <w:r w:rsidRPr="008C0FE5">
        <w:rPr>
          <w:b/>
          <w:u w:val="single"/>
          <w:lang w:val="en-US"/>
        </w:rPr>
        <w:t>Proposal 1:</w:t>
      </w:r>
      <w:r w:rsidRPr="008C0FE5">
        <w:rPr>
          <w:b/>
          <w:lang w:val="en-US"/>
        </w:rPr>
        <w:t xml:space="preserve"> </w:t>
      </w:r>
      <w:r w:rsidR="000A2632" w:rsidRPr="008C0FE5">
        <w:rPr>
          <w:b/>
          <w:lang w:val="en-US"/>
        </w:rPr>
        <w:t>Enable NR UL physical control channel and NR UL physical data channel transmission from a NR UE on unused LTE UL resources, with NR DL transmission on NR bands, where LTE and NR base stations are collocated</w:t>
      </w:r>
      <w:r w:rsidR="000A2632">
        <w:rPr>
          <w:b/>
          <w:lang w:val="en-US"/>
        </w:rPr>
        <w:t>.</w:t>
      </w:r>
    </w:p>
    <w:p w:rsidR="00853A9E" w:rsidRDefault="008C0FE5" w:rsidP="000A2632">
      <w:pPr>
        <w:jc w:val="both"/>
        <w:rPr>
          <w:b/>
          <w:lang w:val="en-US"/>
        </w:rPr>
      </w:pPr>
      <w:r w:rsidRPr="008C0FE5">
        <w:rPr>
          <w:b/>
          <w:u w:val="single"/>
        </w:rPr>
        <w:t>Proposal 2</w:t>
      </w:r>
      <w:r w:rsidRPr="008C0FE5">
        <w:rPr>
          <w:b/>
        </w:rPr>
        <w:t xml:space="preserve">: </w:t>
      </w:r>
      <w:r w:rsidR="00853A9E" w:rsidRPr="008C0FE5">
        <w:rPr>
          <w:b/>
          <w:lang w:val="en-US"/>
        </w:rPr>
        <w:t xml:space="preserve">Support the operation above where a UE operates LTE+NR interworking (joint operation) where LTE is the anchor </w:t>
      </w:r>
      <w:r w:rsidRPr="008C0FE5">
        <w:rPr>
          <w:b/>
          <w:lang w:val="en-US"/>
        </w:rPr>
        <w:t>carrier.</w:t>
      </w:r>
    </w:p>
    <w:p w:rsidR="00692BF3" w:rsidRPr="00AE64D6" w:rsidRDefault="00EE785D" w:rsidP="00AE64D6">
      <w:pPr>
        <w:jc w:val="both"/>
      </w:pPr>
      <w:r>
        <w:rPr>
          <w:szCs w:val="22"/>
          <w:lang w:val="en-US"/>
        </w:rPr>
        <w:lastRenderedPageBreak/>
        <w:t xml:space="preserve">Note that </w:t>
      </w:r>
      <w:r>
        <w:t>enabling some level of minimal NR operation to carry DL ACK/NACK on the LTE carrier may also be useful. However, this may need more thought as to the impacts, e.g. whether a DL control channel can be transmitted on a carrier for which there is no synchronisation channel transmitted.</w:t>
      </w:r>
    </w:p>
    <w:p w:rsidR="00692BF3" w:rsidRDefault="00692BF3" w:rsidP="00692BF3">
      <w:pPr>
        <w:pStyle w:val="Heading1"/>
        <w:numPr>
          <w:ilvl w:val="0"/>
          <w:numId w:val="21"/>
        </w:numPr>
        <w:ind w:hanging="720"/>
        <w:jc w:val="both"/>
      </w:pPr>
      <w:r>
        <w:t>R</w:t>
      </w:r>
      <w:r w:rsidRPr="00692BF3">
        <w:t>eferences</w:t>
      </w:r>
    </w:p>
    <w:p w:rsidR="00692BF3" w:rsidRDefault="00692BF3" w:rsidP="00692BF3">
      <w:pPr>
        <w:pStyle w:val="Header"/>
        <w:tabs>
          <w:tab w:val="right" w:pos="9781"/>
        </w:tabs>
        <w:spacing w:after="120"/>
        <w:ind w:right="-57"/>
        <w:rPr>
          <w:rFonts w:ascii="Times" w:eastAsia="Malgun Gothic" w:hAnsi="Times"/>
          <w:b w:val="0"/>
          <w:noProof w:val="0"/>
          <w:sz w:val="20"/>
          <w:lang w:val="en-GB"/>
        </w:rPr>
      </w:pPr>
      <w:r w:rsidRPr="007A3F06">
        <w:rPr>
          <w:rFonts w:ascii="Times" w:eastAsia="Malgun Gothic" w:hAnsi="Times"/>
          <w:b w:val="0"/>
          <w:noProof w:val="0"/>
          <w:sz w:val="20"/>
          <w:lang w:val="en-GB"/>
        </w:rPr>
        <w:t>[1] RAN1 Chairman’s Notes</w:t>
      </w:r>
      <w:r>
        <w:rPr>
          <w:rFonts w:ascii="Times" w:eastAsia="Malgun Gothic" w:hAnsi="Times"/>
          <w:b w:val="0"/>
          <w:noProof w:val="0"/>
          <w:sz w:val="20"/>
          <w:lang w:val="en-GB"/>
        </w:rPr>
        <w:t xml:space="preserve">, </w:t>
      </w:r>
      <w:r w:rsidRPr="007A3F06">
        <w:rPr>
          <w:rFonts w:ascii="Times" w:eastAsia="Malgun Gothic" w:hAnsi="Times"/>
          <w:b w:val="0"/>
          <w:noProof w:val="0"/>
          <w:sz w:val="20"/>
          <w:lang w:val="en-GB"/>
        </w:rPr>
        <w:t>3GPP TSG RAN WG1 Meeting #8</w:t>
      </w:r>
      <w:r>
        <w:rPr>
          <w:rFonts w:ascii="Times" w:eastAsia="Malgun Gothic" w:hAnsi="Times"/>
          <w:b w:val="0"/>
          <w:noProof w:val="0"/>
          <w:sz w:val="20"/>
          <w:lang w:val="en-GB"/>
        </w:rPr>
        <w:t>9, Reno, Nevada, US.</w:t>
      </w:r>
    </w:p>
    <w:p w:rsidR="00692BF3" w:rsidRDefault="00692BF3" w:rsidP="00692BF3">
      <w:pPr>
        <w:spacing w:after="120"/>
        <w:jc w:val="both"/>
        <w:rPr>
          <w:lang w:eastAsia="zh-CN"/>
        </w:rPr>
      </w:pPr>
      <w:r>
        <w:rPr>
          <w:rFonts w:ascii="Times" w:eastAsia="Malgun Gothic" w:hAnsi="Times"/>
        </w:rPr>
        <w:t xml:space="preserve">[2] </w:t>
      </w:r>
      <w:r>
        <w:rPr>
          <w:rFonts w:eastAsia="Malgun Gothic"/>
          <w:bCs/>
          <w:color w:val="000000"/>
        </w:rPr>
        <w:t xml:space="preserve">3GPP </w:t>
      </w:r>
      <w:r>
        <w:t>TR 36.211, “</w:t>
      </w:r>
      <w:r>
        <w:rPr>
          <w:lang w:eastAsia="zh-CN"/>
        </w:rPr>
        <w:t>Evolved Universal Terrestrial Radio Access (E-UTRA); Physical channels and modulation”.</w:t>
      </w:r>
    </w:p>
    <w:p w:rsidR="00692BF3" w:rsidRPr="00692BF3" w:rsidRDefault="00692BF3" w:rsidP="00692BF3">
      <w:pPr>
        <w:pStyle w:val="Header"/>
        <w:tabs>
          <w:tab w:val="right" w:pos="9781"/>
        </w:tabs>
        <w:spacing w:after="120"/>
        <w:ind w:right="-57"/>
        <w:rPr>
          <w:rFonts w:eastAsia="MS Mincho" w:cs="Arial"/>
          <w:b w:val="0"/>
          <w:bCs/>
          <w:sz w:val="28"/>
          <w:lang w:val="en-GB" w:eastAsia="ja-JP"/>
        </w:rPr>
      </w:pPr>
    </w:p>
    <w:p w:rsidR="00692BF3" w:rsidRPr="00692BF3" w:rsidRDefault="00692BF3" w:rsidP="00692BF3">
      <w:pPr>
        <w:rPr>
          <w:lang w:val="en-US"/>
        </w:rPr>
      </w:pPr>
    </w:p>
    <w:sectPr w:rsidR="00692BF3" w:rsidRPr="00692BF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A4A" w:rsidRDefault="00903A4A" w:rsidP="004F5952">
      <w:pPr>
        <w:spacing w:after="0"/>
      </w:pPr>
      <w:r>
        <w:separator/>
      </w:r>
    </w:p>
  </w:endnote>
  <w:endnote w:type="continuationSeparator" w:id="0">
    <w:p w:rsidR="00903A4A" w:rsidRDefault="00903A4A"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A4A" w:rsidRDefault="00903A4A" w:rsidP="004F5952">
      <w:pPr>
        <w:spacing w:after="0"/>
      </w:pPr>
      <w:r>
        <w:separator/>
      </w:r>
    </w:p>
  </w:footnote>
  <w:footnote w:type="continuationSeparator" w:id="0">
    <w:p w:rsidR="00903A4A" w:rsidRDefault="00903A4A"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CBF341E"/>
    <w:multiLevelType w:val="hybridMultilevel"/>
    <w:tmpl w:val="D75EE5D2"/>
    <w:lvl w:ilvl="0" w:tplc="4FFE30CA">
      <w:start w:val="2"/>
      <w:numFmt w:val="bullet"/>
      <w:lvlText w:val="-"/>
      <w:lvlJc w:val="left"/>
      <w:pPr>
        <w:ind w:left="1068" w:hanging="360"/>
      </w:pPr>
      <w:rPr>
        <w:rFonts w:ascii="Times New Roman" w:eastAsia="Times New Roman" w:hAnsi="Times New Roman" w:cs="Times New Roman"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
    <w:nsid w:val="0E25666B"/>
    <w:multiLevelType w:val="hybridMultilevel"/>
    <w:tmpl w:val="B0703C04"/>
    <w:lvl w:ilvl="0" w:tplc="137CB8E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4">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0A0A0F"/>
    <w:multiLevelType w:val="hybridMultilevel"/>
    <w:tmpl w:val="2CDC6762"/>
    <w:lvl w:ilvl="0" w:tplc="8672548C">
      <w:start w:val="1"/>
      <w:numFmt w:val="bullet"/>
      <w:lvlText w:val="•"/>
      <w:lvlJc w:val="left"/>
      <w:pPr>
        <w:tabs>
          <w:tab w:val="num" w:pos="720"/>
        </w:tabs>
        <w:ind w:left="720" w:hanging="360"/>
      </w:pPr>
      <w:rPr>
        <w:rFonts w:ascii="Arial" w:hAnsi="Arial" w:hint="default"/>
      </w:rPr>
    </w:lvl>
    <w:lvl w:ilvl="1" w:tplc="F3BAC854">
      <w:start w:val="5327"/>
      <w:numFmt w:val="bullet"/>
      <w:lvlText w:val="–"/>
      <w:lvlJc w:val="left"/>
      <w:pPr>
        <w:tabs>
          <w:tab w:val="num" w:pos="1440"/>
        </w:tabs>
        <w:ind w:left="1440" w:hanging="360"/>
      </w:pPr>
      <w:rPr>
        <w:rFonts w:ascii="Arial" w:hAnsi="Arial" w:hint="default"/>
      </w:rPr>
    </w:lvl>
    <w:lvl w:ilvl="2" w:tplc="F4B20E48" w:tentative="1">
      <w:start w:val="1"/>
      <w:numFmt w:val="bullet"/>
      <w:lvlText w:val="•"/>
      <w:lvlJc w:val="left"/>
      <w:pPr>
        <w:tabs>
          <w:tab w:val="num" w:pos="2160"/>
        </w:tabs>
        <w:ind w:left="2160" w:hanging="360"/>
      </w:pPr>
      <w:rPr>
        <w:rFonts w:ascii="Arial" w:hAnsi="Arial" w:hint="default"/>
      </w:rPr>
    </w:lvl>
    <w:lvl w:ilvl="3" w:tplc="30E4E5F0" w:tentative="1">
      <w:start w:val="1"/>
      <w:numFmt w:val="bullet"/>
      <w:lvlText w:val="•"/>
      <w:lvlJc w:val="left"/>
      <w:pPr>
        <w:tabs>
          <w:tab w:val="num" w:pos="2880"/>
        </w:tabs>
        <w:ind w:left="2880" w:hanging="360"/>
      </w:pPr>
      <w:rPr>
        <w:rFonts w:ascii="Arial" w:hAnsi="Arial" w:hint="default"/>
      </w:rPr>
    </w:lvl>
    <w:lvl w:ilvl="4" w:tplc="E266112E" w:tentative="1">
      <w:start w:val="1"/>
      <w:numFmt w:val="bullet"/>
      <w:lvlText w:val="•"/>
      <w:lvlJc w:val="left"/>
      <w:pPr>
        <w:tabs>
          <w:tab w:val="num" w:pos="3600"/>
        </w:tabs>
        <w:ind w:left="3600" w:hanging="360"/>
      </w:pPr>
      <w:rPr>
        <w:rFonts w:ascii="Arial" w:hAnsi="Arial" w:hint="default"/>
      </w:rPr>
    </w:lvl>
    <w:lvl w:ilvl="5" w:tplc="747C3396" w:tentative="1">
      <w:start w:val="1"/>
      <w:numFmt w:val="bullet"/>
      <w:lvlText w:val="•"/>
      <w:lvlJc w:val="left"/>
      <w:pPr>
        <w:tabs>
          <w:tab w:val="num" w:pos="4320"/>
        </w:tabs>
        <w:ind w:left="4320" w:hanging="360"/>
      </w:pPr>
      <w:rPr>
        <w:rFonts w:ascii="Arial" w:hAnsi="Arial" w:hint="default"/>
      </w:rPr>
    </w:lvl>
    <w:lvl w:ilvl="6" w:tplc="8A9AB134" w:tentative="1">
      <w:start w:val="1"/>
      <w:numFmt w:val="bullet"/>
      <w:lvlText w:val="•"/>
      <w:lvlJc w:val="left"/>
      <w:pPr>
        <w:tabs>
          <w:tab w:val="num" w:pos="5040"/>
        </w:tabs>
        <w:ind w:left="5040" w:hanging="360"/>
      </w:pPr>
      <w:rPr>
        <w:rFonts w:ascii="Arial" w:hAnsi="Arial" w:hint="default"/>
      </w:rPr>
    </w:lvl>
    <w:lvl w:ilvl="7" w:tplc="B614BDAC" w:tentative="1">
      <w:start w:val="1"/>
      <w:numFmt w:val="bullet"/>
      <w:lvlText w:val="•"/>
      <w:lvlJc w:val="left"/>
      <w:pPr>
        <w:tabs>
          <w:tab w:val="num" w:pos="5760"/>
        </w:tabs>
        <w:ind w:left="5760" w:hanging="360"/>
      </w:pPr>
      <w:rPr>
        <w:rFonts w:ascii="Arial" w:hAnsi="Arial" w:hint="default"/>
      </w:rPr>
    </w:lvl>
    <w:lvl w:ilvl="8" w:tplc="1B68D20C" w:tentative="1">
      <w:start w:val="1"/>
      <w:numFmt w:val="bullet"/>
      <w:lvlText w:val="•"/>
      <w:lvlJc w:val="left"/>
      <w:pPr>
        <w:tabs>
          <w:tab w:val="num" w:pos="6480"/>
        </w:tabs>
        <w:ind w:left="6480" w:hanging="360"/>
      </w:pPr>
      <w:rPr>
        <w:rFonts w:ascii="Arial" w:hAnsi="Arial" w:hint="default"/>
      </w:rPr>
    </w:lvl>
  </w:abstractNum>
  <w:abstractNum w:abstractNumId="8">
    <w:nsid w:val="22236242"/>
    <w:multiLevelType w:val="hybridMultilevel"/>
    <w:tmpl w:val="DFD8049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4AB6B69"/>
    <w:multiLevelType w:val="hybridMultilevel"/>
    <w:tmpl w:val="DD78D896"/>
    <w:lvl w:ilvl="0" w:tplc="71124022">
      <w:start w:val="1"/>
      <w:numFmt w:val="bullet"/>
      <w:lvlText w:val="•"/>
      <w:lvlJc w:val="left"/>
      <w:pPr>
        <w:tabs>
          <w:tab w:val="num" w:pos="720"/>
        </w:tabs>
        <w:ind w:left="720" w:hanging="360"/>
      </w:pPr>
      <w:rPr>
        <w:rFonts w:ascii="Arial" w:hAnsi="Arial" w:hint="default"/>
      </w:rPr>
    </w:lvl>
    <w:lvl w:ilvl="1" w:tplc="AB824A9A">
      <w:start w:val="1"/>
      <w:numFmt w:val="bullet"/>
      <w:lvlText w:val="•"/>
      <w:lvlJc w:val="left"/>
      <w:pPr>
        <w:tabs>
          <w:tab w:val="num" w:pos="1440"/>
        </w:tabs>
        <w:ind w:left="1440" w:hanging="360"/>
      </w:pPr>
      <w:rPr>
        <w:rFonts w:ascii="Arial" w:hAnsi="Arial" w:hint="default"/>
      </w:rPr>
    </w:lvl>
    <w:lvl w:ilvl="2" w:tplc="533808B6">
      <w:start w:val="6664"/>
      <w:numFmt w:val="bullet"/>
      <w:lvlText w:val="•"/>
      <w:lvlJc w:val="left"/>
      <w:pPr>
        <w:tabs>
          <w:tab w:val="num" w:pos="2160"/>
        </w:tabs>
        <w:ind w:left="2160" w:hanging="360"/>
      </w:pPr>
      <w:rPr>
        <w:rFonts w:ascii="Arial" w:hAnsi="Arial" w:hint="default"/>
      </w:rPr>
    </w:lvl>
    <w:lvl w:ilvl="3" w:tplc="76F2B12C" w:tentative="1">
      <w:start w:val="1"/>
      <w:numFmt w:val="bullet"/>
      <w:lvlText w:val="•"/>
      <w:lvlJc w:val="left"/>
      <w:pPr>
        <w:tabs>
          <w:tab w:val="num" w:pos="2880"/>
        </w:tabs>
        <w:ind w:left="2880" w:hanging="360"/>
      </w:pPr>
      <w:rPr>
        <w:rFonts w:ascii="Arial" w:hAnsi="Arial" w:hint="default"/>
      </w:rPr>
    </w:lvl>
    <w:lvl w:ilvl="4" w:tplc="8FCC15A4" w:tentative="1">
      <w:start w:val="1"/>
      <w:numFmt w:val="bullet"/>
      <w:lvlText w:val="•"/>
      <w:lvlJc w:val="left"/>
      <w:pPr>
        <w:tabs>
          <w:tab w:val="num" w:pos="3600"/>
        </w:tabs>
        <w:ind w:left="3600" w:hanging="360"/>
      </w:pPr>
      <w:rPr>
        <w:rFonts w:ascii="Arial" w:hAnsi="Arial" w:hint="default"/>
      </w:rPr>
    </w:lvl>
    <w:lvl w:ilvl="5" w:tplc="A8C875AA" w:tentative="1">
      <w:start w:val="1"/>
      <w:numFmt w:val="bullet"/>
      <w:lvlText w:val="•"/>
      <w:lvlJc w:val="left"/>
      <w:pPr>
        <w:tabs>
          <w:tab w:val="num" w:pos="4320"/>
        </w:tabs>
        <w:ind w:left="4320" w:hanging="360"/>
      </w:pPr>
      <w:rPr>
        <w:rFonts w:ascii="Arial" w:hAnsi="Arial" w:hint="default"/>
      </w:rPr>
    </w:lvl>
    <w:lvl w:ilvl="6" w:tplc="74D2284A" w:tentative="1">
      <w:start w:val="1"/>
      <w:numFmt w:val="bullet"/>
      <w:lvlText w:val="•"/>
      <w:lvlJc w:val="left"/>
      <w:pPr>
        <w:tabs>
          <w:tab w:val="num" w:pos="5040"/>
        </w:tabs>
        <w:ind w:left="5040" w:hanging="360"/>
      </w:pPr>
      <w:rPr>
        <w:rFonts w:ascii="Arial" w:hAnsi="Arial" w:hint="default"/>
      </w:rPr>
    </w:lvl>
    <w:lvl w:ilvl="7" w:tplc="04B87438" w:tentative="1">
      <w:start w:val="1"/>
      <w:numFmt w:val="bullet"/>
      <w:lvlText w:val="•"/>
      <w:lvlJc w:val="left"/>
      <w:pPr>
        <w:tabs>
          <w:tab w:val="num" w:pos="5760"/>
        </w:tabs>
        <w:ind w:left="5760" w:hanging="360"/>
      </w:pPr>
      <w:rPr>
        <w:rFonts w:ascii="Arial" w:hAnsi="Arial" w:hint="default"/>
      </w:rPr>
    </w:lvl>
    <w:lvl w:ilvl="8" w:tplc="F14ED74E" w:tentative="1">
      <w:start w:val="1"/>
      <w:numFmt w:val="bullet"/>
      <w:lvlText w:val="•"/>
      <w:lvlJc w:val="left"/>
      <w:pPr>
        <w:tabs>
          <w:tab w:val="num" w:pos="6480"/>
        </w:tabs>
        <w:ind w:left="6480" w:hanging="360"/>
      </w:pPr>
      <w:rPr>
        <w:rFonts w:ascii="Arial" w:hAnsi="Arial" w:hint="default"/>
      </w:rPr>
    </w:lvl>
  </w:abstractNum>
  <w:abstractNum w:abstractNumId="10">
    <w:nsid w:val="26CC1C51"/>
    <w:multiLevelType w:val="hybridMultilevel"/>
    <w:tmpl w:val="090C7302"/>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2">
    <w:nsid w:val="2D7B09DE"/>
    <w:multiLevelType w:val="hybridMultilevel"/>
    <w:tmpl w:val="3F5AC5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825FCB"/>
    <w:multiLevelType w:val="hybridMultilevel"/>
    <w:tmpl w:val="BE321782"/>
    <w:lvl w:ilvl="0" w:tplc="21E24D1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7E803A0"/>
    <w:multiLevelType w:val="hybridMultilevel"/>
    <w:tmpl w:val="7A3A9232"/>
    <w:lvl w:ilvl="0" w:tplc="4FFE30CA">
      <w:start w:val="2"/>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FD4948"/>
    <w:multiLevelType w:val="hybridMultilevel"/>
    <w:tmpl w:val="380C8B3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18">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E225DE"/>
    <w:multiLevelType w:val="hybridMultilevel"/>
    <w:tmpl w:val="3D207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DB64D8E"/>
    <w:multiLevelType w:val="hybridMultilevel"/>
    <w:tmpl w:val="E16A5BE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CF4139"/>
    <w:multiLevelType w:val="hybridMultilevel"/>
    <w:tmpl w:val="04F689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5DC7BF0"/>
    <w:multiLevelType w:val="hybridMultilevel"/>
    <w:tmpl w:val="8A5ED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94B2AD2"/>
    <w:multiLevelType w:val="hybridMultilevel"/>
    <w:tmpl w:val="D28A8E80"/>
    <w:lvl w:ilvl="0" w:tplc="4FFE30C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A0B7A45"/>
    <w:multiLevelType w:val="hybridMultilevel"/>
    <w:tmpl w:val="082E2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FC949B2"/>
    <w:multiLevelType w:val="hybridMultilevel"/>
    <w:tmpl w:val="AD062D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EE164AC"/>
    <w:multiLevelType w:val="hybridMultilevel"/>
    <w:tmpl w:val="1960CB4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D44DE7"/>
    <w:multiLevelType w:val="hybridMultilevel"/>
    <w:tmpl w:val="DFD8049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5"/>
  </w:num>
  <w:num w:numId="2">
    <w:abstractNumId w:val="16"/>
  </w:num>
  <w:num w:numId="3">
    <w:abstractNumId w:val="30"/>
  </w:num>
  <w:num w:numId="4">
    <w:abstractNumId w:val="28"/>
  </w:num>
  <w:num w:numId="5">
    <w:abstractNumId w:val="18"/>
  </w:num>
  <w:num w:numId="6">
    <w:abstractNumId w:val="22"/>
  </w:num>
  <w:num w:numId="7">
    <w:abstractNumId w:val="4"/>
  </w:num>
  <w:num w:numId="8">
    <w:abstractNumId w:val="5"/>
  </w:num>
  <w:num w:numId="9">
    <w:abstractNumId w:val="17"/>
  </w:num>
  <w:num w:numId="10">
    <w:abstractNumId w:val="6"/>
  </w:num>
  <w:num w:numId="11">
    <w:abstractNumId w:val="19"/>
  </w:num>
  <w:num w:numId="12">
    <w:abstractNumId w:val="10"/>
  </w:num>
  <w:num w:numId="13">
    <w:abstractNumId w:val="25"/>
  </w:num>
  <w:num w:numId="14">
    <w:abstractNumId w:val="27"/>
  </w:num>
  <w:num w:numId="15">
    <w:abstractNumId w:val="0"/>
  </w:num>
  <w:num w:numId="16">
    <w:abstractNumId w:val="14"/>
  </w:num>
  <w:num w:numId="17">
    <w:abstractNumId w:val="12"/>
  </w:num>
  <w:num w:numId="18">
    <w:abstractNumId w:val="24"/>
  </w:num>
  <w:num w:numId="19">
    <w:abstractNumId w:val="1"/>
  </w:num>
  <w:num w:numId="20">
    <w:abstractNumId w:val="23"/>
  </w:num>
  <w:num w:numId="21">
    <w:abstractNumId w:val="2"/>
  </w:num>
  <w:num w:numId="22">
    <w:abstractNumId w:val="29"/>
  </w:num>
  <w:num w:numId="23">
    <w:abstractNumId w:val="13"/>
  </w:num>
  <w:num w:numId="24">
    <w:abstractNumId w:val="21"/>
  </w:num>
  <w:num w:numId="25">
    <w:abstractNumId w:val="31"/>
  </w:num>
  <w:num w:numId="26">
    <w:abstractNumId w:val="3"/>
  </w:num>
  <w:num w:numId="27">
    <w:abstractNumId w:val="8"/>
  </w:num>
  <w:num w:numId="28">
    <w:abstractNumId w:val="20"/>
  </w:num>
  <w:num w:numId="29">
    <w:abstractNumId w:val="11"/>
  </w:num>
  <w:num w:numId="30">
    <w:abstractNumId w:val="7"/>
  </w:num>
  <w:num w:numId="31">
    <w:abstractNumId w:val="9"/>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06FD0"/>
    <w:rsid w:val="000268AE"/>
    <w:rsid w:val="000355FB"/>
    <w:rsid w:val="00051147"/>
    <w:rsid w:val="00057895"/>
    <w:rsid w:val="00066C73"/>
    <w:rsid w:val="000733D1"/>
    <w:rsid w:val="00081259"/>
    <w:rsid w:val="00085744"/>
    <w:rsid w:val="000A2632"/>
    <w:rsid w:val="000B72CA"/>
    <w:rsid w:val="000C61FA"/>
    <w:rsid w:val="000C7C46"/>
    <w:rsid w:val="000E24EF"/>
    <w:rsid w:val="000F1FCC"/>
    <w:rsid w:val="000F3115"/>
    <w:rsid w:val="0010037F"/>
    <w:rsid w:val="0011629F"/>
    <w:rsid w:val="00155874"/>
    <w:rsid w:val="001624D9"/>
    <w:rsid w:val="00174E64"/>
    <w:rsid w:val="0017649B"/>
    <w:rsid w:val="001820E1"/>
    <w:rsid w:val="00191E5F"/>
    <w:rsid w:val="001941A9"/>
    <w:rsid w:val="001A54F8"/>
    <w:rsid w:val="001A733D"/>
    <w:rsid w:val="001B1B6D"/>
    <w:rsid w:val="001C00D8"/>
    <w:rsid w:val="001C34AC"/>
    <w:rsid w:val="001C4383"/>
    <w:rsid w:val="001C7E04"/>
    <w:rsid w:val="001D01B9"/>
    <w:rsid w:val="001D3D2B"/>
    <w:rsid w:val="001E5CBE"/>
    <w:rsid w:val="001F67BE"/>
    <w:rsid w:val="002102B9"/>
    <w:rsid w:val="0022081F"/>
    <w:rsid w:val="002440C0"/>
    <w:rsid w:val="00245A21"/>
    <w:rsid w:val="002476AC"/>
    <w:rsid w:val="0027248F"/>
    <w:rsid w:val="00294454"/>
    <w:rsid w:val="002A58A2"/>
    <w:rsid w:val="002A7140"/>
    <w:rsid w:val="002B324B"/>
    <w:rsid w:val="002C1A42"/>
    <w:rsid w:val="002F5971"/>
    <w:rsid w:val="0030055C"/>
    <w:rsid w:val="003015DE"/>
    <w:rsid w:val="00345F8D"/>
    <w:rsid w:val="0035672D"/>
    <w:rsid w:val="003913FA"/>
    <w:rsid w:val="003A6059"/>
    <w:rsid w:val="003A738E"/>
    <w:rsid w:val="003B3684"/>
    <w:rsid w:val="003B5B82"/>
    <w:rsid w:val="003C0E5F"/>
    <w:rsid w:val="003E7B52"/>
    <w:rsid w:val="003F3B33"/>
    <w:rsid w:val="003F4A3A"/>
    <w:rsid w:val="003F4F1B"/>
    <w:rsid w:val="00404FDA"/>
    <w:rsid w:val="0044250C"/>
    <w:rsid w:val="004657DB"/>
    <w:rsid w:val="004709B9"/>
    <w:rsid w:val="00480313"/>
    <w:rsid w:val="00495AC8"/>
    <w:rsid w:val="004A0B65"/>
    <w:rsid w:val="004A3A2E"/>
    <w:rsid w:val="004A76D1"/>
    <w:rsid w:val="004B07E8"/>
    <w:rsid w:val="004C38C2"/>
    <w:rsid w:val="004D3D86"/>
    <w:rsid w:val="004D434D"/>
    <w:rsid w:val="004E27D1"/>
    <w:rsid w:val="004F43CB"/>
    <w:rsid w:val="004F5952"/>
    <w:rsid w:val="00556578"/>
    <w:rsid w:val="005719C3"/>
    <w:rsid w:val="005828F3"/>
    <w:rsid w:val="005A3A12"/>
    <w:rsid w:val="005C3A39"/>
    <w:rsid w:val="005C5538"/>
    <w:rsid w:val="005E0076"/>
    <w:rsid w:val="005E5D7C"/>
    <w:rsid w:val="006022D8"/>
    <w:rsid w:val="0060598B"/>
    <w:rsid w:val="00626780"/>
    <w:rsid w:val="00643273"/>
    <w:rsid w:val="00651673"/>
    <w:rsid w:val="00655BDC"/>
    <w:rsid w:val="0067407B"/>
    <w:rsid w:val="0067528D"/>
    <w:rsid w:val="00677A11"/>
    <w:rsid w:val="00686907"/>
    <w:rsid w:val="00692BF3"/>
    <w:rsid w:val="00693727"/>
    <w:rsid w:val="006A1D0D"/>
    <w:rsid w:val="006D0F26"/>
    <w:rsid w:val="006D1ABB"/>
    <w:rsid w:val="006D7BB2"/>
    <w:rsid w:val="006E2AD1"/>
    <w:rsid w:val="006F7C6B"/>
    <w:rsid w:val="007007D8"/>
    <w:rsid w:val="00705D6F"/>
    <w:rsid w:val="007210BC"/>
    <w:rsid w:val="007638DC"/>
    <w:rsid w:val="007717D0"/>
    <w:rsid w:val="00777789"/>
    <w:rsid w:val="007A3F06"/>
    <w:rsid w:val="007A62B0"/>
    <w:rsid w:val="007A7E1C"/>
    <w:rsid w:val="007B54B7"/>
    <w:rsid w:val="007B7F9F"/>
    <w:rsid w:val="007D4BA7"/>
    <w:rsid w:val="007D4F0E"/>
    <w:rsid w:val="007D51E5"/>
    <w:rsid w:val="00807FDD"/>
    <w:rsid w:val="008112E1"/>
    <w:rsid w:val="0081382B"/>
    <w:rsid w:val="00817ADC"/>
    <w:rsid w:val="00821D8D"/>
    <w:rsid w:val="00834A5D"/>
    <w:rsid w:val="00853A9E"/>
    <w:rsid w:val="00854BB4"/>
    <w:rsid w:val="00875ED1"/>
    <w:rsid w:val="00883E17"/>
    <w:rsid w:val="008841BB"/>
    <w:rsid w:val="008B4CB6"/>
    <w:rsid w:val="008C0FE5"/>
    <w:rsid w:val="008D1FCD"/>
    <w:rsid w:val="008E09E3"/>
    <w:rsid w:val="008F7CD5"/>
    <w:rsid w:val="00903A4A"/>
    <w:rsid w:val="00912ED1"/>
    <w:rsid w:val="009601F9"/>
    <w:rsid w:val="00960EBD"/>
    <w:rsid w:val="00986BE4"/>
    <w:rsid w:val="00993586"/>
    <w:rsid w:val="009A03EC"/>
    <w:rsid w:val="009B61B7"/>
    <w:rsid w:val="009C347F"/>
    <w:rsid w:val="009D1DAF"/>
    <w:rsid w:val="009D282D"/>
    <w:rsid w:val="009D5D80"/>
    <w:rsid w:val="009E3421"/>
    <w:rsid w:val="00A02759"/>
    <w:rsid w:val="00A15A37"/>
    <w:rsid w:val="00A22B21"/>
    <w:rsid w:val="00A27722"/>
    <w:rsid w:val="00A45615"/>
    <w:rsid w:val="00A53021"/>
    <w:rsid w:val="00A77581"/>
    <w:rsid w:val="00A80B13"/>
    <w:rsid w:val="00A819B0"/>
    <w:rsid w:val="00A840B6"/>
    <w:rsid w:val="00A92A69"/>
    <w:rsid w:val="00AC3D08"/>
    <w:rsid w:val="00AC7E9E"/>
    <w:rsid w:val="00AD2C5B"/>
    <w:rsid w:val="00AD4594"/>
    <w:rsid w:val="00AE2D0A"/>
    <w:rsid w:val="00AE64D6"/>
    <w:rsid w:val="00B068DC"/>
    <w:rsid w:val="00B076BB"/>
    <w:rsid w:val="00B34A7B"/>
    <w:rsid w:val="00B41677"/>
    <w:rsid w:val="00B470A2"/>
    <w:rsid w:val="00B47D6E"/>
    <w:rsid w:val="00B77726"/>
    <w:rsid w:val="00B91418"/>
    <w:rsid w:val="00B91724"/>
    <w:rsid w:val="00BA2648"/>
    <w:rsid w:val="00BA4B9A"/>
    <w:rsid w:val="00BB794E"/>
    <w:rsid w:val="00BC3884"/>
    <w:rsid w:val="00BC6FCC"/>
    <w:rsid w:val="00BF5604"/>
    <w:rsid w:val="00BF564D"/>
    <w:rsid w:val="00C2184D"/>
    <w:rsid w:val="00C236A0"/>
    <w:rsid w:val="00C72A96"/>
    <w:rsid w:val="00C85518"/>
    <w:rsid w:val="00C90D12"/>
    <w:rsid w:val="00C97593"/>
    <w:rsid w:val="00CA5880"/>
    <w:rsid w:val="00CD539D"/>
    <w:rsid w:val="00CE45D0"/>
    <w:rsid w:val="00D12135"/>
    <w:rsid w:val="00D202B4"/>
    <w:rsid w:val="00D652C8"/>
    <w:rsid w:val="00D77936"/>
    <w:rsid w:val="00D86E15"/>
    <w:rsid w:val="00D9089B"/>
    <w:rsid w:val="00D908FA"/>
    <w:rsid w:val="00DD0FAA"/>
    <w:rsid w:val="00DD498B"/>
    <w:rsid w:val="00DF1A3B"/>
    <w:rsid w:val="00E077CE"/>
    <w:rsid w:val="00E2343D"/>
    <w:rsid w:val="00E328AD"/>
    <w:rsid w:val="00E421AB"/>
    <w:rsid w:val="00E46B1D"/>
    <w:rsid w:val="00E537D9"/>
    <w:rsid w:val="00E56839"/>
    <w:rsid w:val="00E5694D"/>
    <w:rsid w:val="00E66E8A"/>
    <w:rsid w:val="00E70DFF"/>
    <w:rsid w:val="00E75DD7"/>
    <w:rsid w:val="00E76D42"/>
    <w:rsid w:val="00EB0C8B"/>
    <w:rsid w:val="00EB6F69"/>
    <w:rsid w:val="00EC2EDB"/>
    <w:rsid w:val="00EC4D07"/>
    <w:rsid w:val="00ED29F0"/>
    <w:rsid w:val="00EE1945"/>
    <w:rsid w:val="00EE3FCB"/>
    <w:rsid w:val="00EE5F73"/>
    <w:rsid w:val="00EE785D"/>
    <w:rsid w:val="00F16B23"/>
    <w:rsid w:val="00F46A8B"/>
    <w:rsid w:val="00F47F34"/>
    <w:rsid w:val="00F617E4"/>
    <w:rsid w:val="00F71F4A"/>
    <w:rsid w:val="00F93DFA"/>
    <w:rsid w:val="00FA2F98"/>
    <w:rsid w:val="00FB007B"/>
    <w:rsid w:val="00FC3BB3"/>
    <w:rsid w:val="00FC7FF3"/>
    <w:rsid w:val="00FE3B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1677"/>
    <w:pPr>
      <w:keepNext/>
      <w:keepLines/>
      <w:spacing w:before="200" w:after="12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B41677"/>
    <w:pPr>
      <w:keepNext/>
      <w:keepLines/>
      <w:spacing w:before="200" w:after="120"/>
      <w:outlineLvl w:val="3"/>
    </w:pPr>
    <w:rPr>
      <w:rFonts w:ascii="Arial" w:eastAsiaTheme="majorEastAsia" w:hAnsi="Arial" w:cstheme="majorBidi"/>
      <w:bCs/>
      <w:iCs/>
      <w:sz w:val="22"/>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 w:type="character" w:customStyle="1" w:styleId="Heading3Char">
    <w:name w:val="Heading 3 Char"/>
    <w:basedOn w:val="DefaultParagraphFont"/>
    <w:link w:val="Heading3"/>
    <w:uiPriority w:val="9"/>
    <w:rsid w:val="00B41677"/>
    <w:rPr>
      <w:rFonts w:ascii="Arial" w:eastAsiaTheme="majorEastAsia" w:hAnsi="Arial" w:cstheme="majorBidi"/>
      <w:bCs/>
      <w:szCs w:val="20"/>
      <w:lang w:val="en-GB" w:eastAsia="fr-FR"/>
    </w:rPr>
  </w:style>
  <w:style w:type="character" w:customStyle="1" w:styleId="Heading4Char">
    <w:name w:val="Heading 4 Char"/>
    <w:basedOn w:val="DefaultParagraphFont"/>
    <w:link w:val="Heading4"/>
    <w:uiPriority w:val="9"/>
    <w:rsid w:val="00B41677"/>
    <w:rPr>
      <w:rFonts w:ascii="Arial" w:eastAsiaTheme="majorEastAsia" w:hAnsi="Arial" w:cstheme="majorBidi"/>
      <w:bCs/>
      <w:iCs/>
      <w:szCs w:val="20"/>
      <w:lang w:val="en-GB" w:eastAsia="fr-FR"/>
    </w:rPr>
  </w:style>
  <w:style w:type="character" w:customStyle="1" w:styleId="TACChar">
    <w:name w:val="TAC Char"/>
    <w:link w:val="TAC"/>
    <w:locked/>
    <w:rsid w:val="007A62B0"/>
    <w:rPr>
      <w:rFonts w:ascii="Arial" w:hAnsi="Arial" w:cs="Arial"/>
      <w:sz w:val="18"/>
      <w:szCs w:val="18"/>
      <w:lang w:val="en-GB" w:eastAsia="x-none"/>
    </w:rPr>
  </w:style>
  <w:style w:type="paragraph" w:customStyle="1" w:styleId="TAC">
    <w:name w:val="TAC"/>
    <w:basedOn w:val="Normal"/>
    <w:link w:val="TACChar"/>
    <w:rsid w:val="007A62B0"/>
    <w:pPr>
      <w:keepNext/>
      <w:keepLines/>
      <w:spacing w:after="0"/>
      <w:jc w:val="center"/>
      <w:textAlignment w:val="auto"/>
    </w:pPr>
    <w:rPr>
      <w:rFonts w:ascii="Arial" w:eastAsiaTheme="minorHAnsi" w:hAnsi="Arial" w:cs="Arial"/>
      <w:sz w:val="18"/>
      <w:szCs w:val="18"/>
      <w:lang w:eastAsia="x-none"/>
    </w:rPr>
  </w:style>
  <w:style w:type="paragraph" w:customStyle="1" w:styleId="TAH">
    <w:name w:val="TAH"/>
    <w:basedOn w:val="TAC"/>
    <w:link w:val="TAHCar"/>
    <w:rsid w:val="007A62B0"/>
    <w:rPr>
      <w:b/>
      <w:bCs/>
    </w:rPr>
  </w:style>
  <w:style w:type="character" w:customStyle="1" w:styleId="TAHCar">
    <w:name w:val="TAH Car"/>
    <w:link w:val="TAH"/>
    <w:locked/>
    <w:rsid w:val="007A62B0"/>
    <w:rPr>
      <w:rFonts w:ascii="Arial" w:hAnsi="Arial" w:cs="Arial"/>
      <w:b/>
      <w:bCs/>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1677"/>
    <w:pPr>
      <w:keepNext/>
      <w:keepLines/>
      <w:spacing w:before="200" w:after="12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B41677"/>
    <w:pPr>
      <w:keepNext/>
      <w:keepLines/>
      <w:spacing w:before="200" w:after="120"/>
      <w:outlineLvl w:val="3"/>
    </w:pPr>
    <w:rPr>
      <w:rFonts w:ascii="Arial" w:eastAsiaTheme="majorEastAsia" w:hAnsi="Arial" w:cstheme="majorBidi"/>
      <w:bCs/>
      <w:iCs/>
      <w:sz w:val="22"/>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 w:type="character" w:customStyle="1" w:styleId="Heading3Char">
    <w:name w:val="Heading 3 Char"/>
    <w:basedOn w:val="DefaultParagraphFont"/>
    <w:link w:val="Heading3"/>
    <w:uiPriority w:val="9"/>
    <w:rsid w:val="00B41677"/>
    <w:rPr>
      <w:rFonts w:ascii="Arial" w:eastAsiaTheme="majorEastAsia" w:hAnsi="Arial" w:cstheme="majorBidi"/>
      <w:bCs/>
      <w:szCs w:val="20"/>
      <w:lang w:val="en-GB" w:eastAsia="fr-FR"/>
    </w:rPr>
  </w:style>
  <w:style w:type="character" w:customStyle="1" w:styleId="Heading4Char">
    <w:name w:val="Heading 4 Char"/>
    <w:basedOn w:val="DefaultParagraphFont"/>
    <w:link w:val="Heading4"/>
    <w:uiPriority w:val="9"/>
    <w:rsid w:val="00B41677"/>
    <w:rPr>
      <w:rFonts w:ascii="Arial" w:eastAsiaTheme="majorEastAsia" w:hAnsi="Arial" w:cstheme="majorBidi"/>
      <w:bCs/>
      <w:iCs/>
      <w:szCs w:val="20"/>
      <w:lang w:val="en-GB" w:eastAsia="fr-FR"/>
    </w:rPr>
  </w:style>
  <w:style w:type="character" w:customStyle="1" w:styleId="TACChar">
    <w:name w:val="TAC Char"/>
    <w:link w:val="TAC"/>
    <w:locked/>
    <w:rsid w:val="007A62B0"/>
    <w:rPr>
      <w:rFonts w:ascii="Arial" w:hAnsi="Arial" w:cs="Arial"/>
      <w:sz w:val="18"/>
      <w:szCs w:val="18"/>
      <w:lang w:val="en-GB" w:eastAsia="x-none"/>
    </w:rPr>
  </w:style>
  <w:style w:type="paragraph" w:customStyle="1" w:styleId="TAC">
    <w:name w:val="TAC"/>
    <w:basedOn w:val="Normal"/>
    <w:link w:val="TACChar"/>
    <w:rsid w:val="007A62B0"/>
    <w:pPr>
      <w:keepNext/>
      <w:keepLines/>
      <w:spacing w:after="0"/>
      <w:jc w:val="center"/>
      <w:textAlignment w:val="auto"/>
    </w:pPr>
    <w:rPr>
      <w:rFonts w:ascii="Arial" w:eastAsiaTheme="minorHAnsi" w:hAnsi="Arial" w:cs="Arial"/>
      <w:sz w:val="18"/>
      <w:szCs w:val="18"/>
      <w:lang w:eastAsia="x-none"/>
    </w:rPr>
  </w:style>
  <w:style w:type="paragraph" w:customStyle="1" w:styleId="TAH">
    <w:name w:val="TAH"/>
    <w:basedOn w:val="TAC"/>
    <w:link w:val="TAHCar"/>
    <w:rsid w:val="007A62B0"/>
    <w:rPr>
      <w:b/>
      <w:bCs/>
    </w:rPr>
  </w:style>
  <w:style w:type="character" w:customStyle="1" w:styleId="TAHCar">
    <w:name w:val="TAH Car"/>
    <w:link w:val="TAH"/>
    <w:locked/>
    <w:rsid w:val="007A62B0"/>
    <w:rPr>
      <w:rFonts w:ascii="Arial" w:hAnsi="Arial" w:cs="Arial"/>
      <w:b/>
      <w:bCs/>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52720">
      <w:bodyDiv w:val="1"/>
      <w:marLeft w:val="0"/>
      <w:marRight w:val="0"/>
      <w:marTop w:val="0"/>
      <w:marBottom w:val="0"/>
      <w:divBdr>
        <w:top w:val="none" w:sz="0" w:space="0" w:color="auto"/>
        <w:left w:val="none" w:sz="0" w:space="0" w:color="auto"/>
        <w:bottom w:val="none" w:sz="0" w:space="0" w:color="auto"/>
        <w:right w:val="none" w:sz="0" w:space="0" w:color="auto"/>
      </w:divBdr>
      <w:divsChild>
        <w:div w:id="491410623">
          <w:marLeft w:val="547"/>
          <w:marRight w:val="0"/>
          <w:marTop w:val="134"/>
          <w:marBottom w:val="0"/>
          <w:divBdr>
            <w:top w:val="none" w:sz="0" w:space="0" w:color="auto"/>
            <w:left w:val="none" w:sz="0" w:space="0" w:color="auto"/>
            <w:bottom w:val="none" w:sz="0" w:space="0" w:color="auto"/>
            <w:right w:val="none" w:sz="0" w:space="0" w:color="auto"/>
          </w:divBdr>
        </w:div>
        <w:div w:id="673536307">
          <w:marLeft w:val="1166"/>
          <w:marRight w:val="0"/>
          <w:marTop w:val="115"/>
          <w:marBottom w:val="0"/>
          <w:divBdr>
            <w:top w:val="none" w:sz="0" w:space="0" w:color="auto"/>
            <w:left w:val="none" w:sz="0" w:space="0" w:color="auto"/>
            <w:bottom w:val="none" w:sz="0" w:space="0" w:color="auto"/>
            <w:right w:val="none" w:sz="0" w:space="0" w:color="auto"/>
          </w:divBdr>
        </w:div>
        <w:div w:id="1299191883">
          <w:marLeft w:val="1166"/>
          <w:marRight w:val="0"/>
          <w:marTop w:val="115"/>
          <w:marBottom w:val="0"/>
          <w:divBdr>
            <w:top w:val="none" w:sz="0" w:space="0" w:color="auto"/>
            <w:left w:val="none" w:sz="0" w:space="0" w:color="auto"/>
            <w:bottom w:val="none" w:sz="0" w:space="0" w:color="auto"/>
            <w:right w:val="none" w:sz="0" w:space="0" w:color="auto"/>
          </w:divBdr>
        </w:div>
        <w:div w:id="810563242">
          <w:marLeft w:val="1166"/>
          <w:marRight w:val="0"/>
          <w:marTop w:val="115"/>
          <w:marBottom w:val="0"/>
          <w:divBdr>
            <w:top w:val="none" w:sz="0" w:space="0" w:color="auto"/>
            <w:left w:val="none" w:sz="0" w:space="0" w:color="auto"/>
            <w:bottom w:val="none" w:sz="0" w:space="0" w:color="auto"/>
            <w:right w:val="none" w:sz="0" w:space="0" w:color="auto"/>
          </w:divBdr>
        </w:div>
        <w:div w:id="97330774">
          <w:marLeft w:val="1166"/>
          <w:marRight w:val="0"/>
          <w:marTop w:val="115"/>
          <w:marBottom w:val="0"/>
          <w:divBdr>
            <w:top w:val="none" w:sz="0" w:space="0" w:color="auto"/>
            <w:left w:val="none" w:sz="0" w:space="0" w:color="auto"/>
            <w:bottom w:val="none" w:sz="0" w:space="0" w:color="auto"/>
            <w:right w:val="none" w:sz="0" w:space="0" w:color="auto"/>
          </w:divBdr>
        </w:div>
        <w:div w:id="920213463">
          <w:marLeft w:val="1166"/>
          <w:marRight w:val="0"/>
          <w:marTop w:val="115"/>
          <w:marBottom w:val="0"/>
          <w:divBdr>
            <w:top w:val="none" w:sz="0" w:space="0" w:color="auto"/>
            <w:left w:val="none" w:sz="0" w:space="0" w:color="auto"/>
            <w:bottom w:val="none" w:sz="0" w:space="0" w:color="auto"/>
            <w:right w:val="none" w:sz="0" w:space="0" w:color="auto"/>
          </w:divBdr>
        </w:div>
      </w:divsChild>
    </w:div>
    <w:div w:id="134489721">
      <w:bodyDiv w:val="1"/>
      <w:marLeft w:val="0"/>
      <w:marRight w:val="0"/>
      <w:marTop w:val="0"/>
      <w:marBottom w:val="0"/>
      <w:divBdr>
        <w:top w:val="none" w:sz="0" w:space="0" w:color="auto"/>
        <w:left w:val="none" w:sz="0" w:space="0" w:color="auto"/>
        <w:bottom w:val="none" w:sz="0" w:space="0" w:color="auto"/>
        <w:right w:val="none" w:sz="0" w:space="0" w:color="auto"/>
      </w:divBdr>
    </w:div>
    <w:div w:id="352461603">
      <w:bodyDiv w:val="1"/>
      <w:marLeft w:val="0"/>
      <w:marRight w:val="0"/>
      <w:marTop w:val="0"/>
      <w:marBottom w:val="0"/>
      <w:divBdr>
        <w:top w:val="none" w:sz="0" w:space="0" w:color="auto"/>
        <w:left w:val="none" w:sz="0" w:space="0" w:color="auto"/>
        <w:bottom w:val="none" w:sz="0" w:space="0" w:color="auto"/>
        <w:right w:val="none" w:sz="0" w:space="0" w:color="auto"/>
      </w:divBdr>
      <w:divsChild>
        <w:div w:id="2122602776">
          <w:marLeft w:val="547"/>
          <w:marRight w:val="0"/>
          <w:marTop w:val="115"/>
          <w:marBottom w:val="0"/>
          <w:divBdr>
            <w:top w:val="none" w:sz="0" w:space="0" w:color="auto"/>
            <w:left w:val="none" w:sz="0" w:space="0" w:color="auto"/>
            <w:bottom w:val="none" w:sz="0" w:space="0" w:color="auto"/>
            <w:right w:val="none" w:sz="0" w:space="0" w:color="auto"/>
          </w:divBdr>
        </w:div>
        <w:div w:id="198129413">
          <w:marLeft w:val="547"/>
          <w:marRight w:val="0"/>
          <w:marTop w:val="115"/>
          <w:marBottom w:val="0"/>
          <w:divBdr>
            <w:top w:val="none" w:sz="0" w:space="0" w:color="auto"/>
            <w:left w:val="none" w:sz="0" w:space="0" w:color="auto"/>
            <w:bottom w:val="none" w:sz="0" w:space="0" w:color="auto"/>
            <w:right w:val="none" w:sz="0" w:space="0" w:color="auto"/>
          </w:divBdr>
        </w:div>
        <w:div w:id="352076727">
          <w:marLeft w:val="1166"/>
          <w:marRight w:val="0"/>
          <w:marTop w:val="96"/>
          <w:marBottom w:val="0"/>
          <w:divBdr>
            <w:top w:val="none" w:sz="0" w:space="0" w:color="auto"/>
            <w:left w:val="none" w:sz="0" w:space="0" w:color="auto"/>
            <w:bottom w:val="none" w:sz="0" w:space="0" w:color="auto"/>
            <w:right w:val="none" w:sz="0" w:space="0" w:color="auto"/>
          </w:divBdr>
        </w:div>
        <w:div w:id="1226186911">
          <w:marLeft w:val="547"/>
          <w:marRight w:val="0"/>
          <w:marTop w:val="115"/>
          <w:marBottom w:val="0"/>
          <w:divBdr>
            <w:top w:val="none" w:sz="0" w:space="0" w:color="auto"/>
            <w:left w:val="none" w:sz="0" w:space="0" w:color="auto"/>
            <w:bottom w:val="none" w:sz="0" w:space="0" w:color="auto"/>
            <w:right w:val="none" w:sz="0" w:space="0" w:color="auto"/>
          </w:divBdr>
        </w:div>
      </w:divsChild>
    </w:div>
    <w:div w:id="396781056">
      <w:bodyDiv w:val="1"/>
      <w:marLeft w:val="0"/>
      <w:marRight w:val="0"/>
      <w:marTop w:val="0"/>
      <w:marBottom w:val="0"/>
      <w:divBdr>
        <w:top w:val="none" w:sz="0" w:space="0" w:color="auto"/>
        <w:left w:val="none" w:sz="0" w:space="0" w:color="auto"/>
        <w:bottom w:val="none" w:sz="0" w:space="0" w:color="auto"/>
        <w:right w:val="none" w:sz="0" w:space="0" w:color="auto"/>
      </w:divBdr>
    </w:div>
    <w:div w:id="522983779">
      <w:bodyDiv w:val="1"/>
      <w:marLeft w:val="0"/>
      <w:marRight w:val="0"/>
      <w:marTop w:val="0"/>
      <w:marBottom w:val="0"/>
      <w:divBdr>
        <w:top w:val="none" w:sz="0" w:space="0" w:color="auto"/>
        <w:left w:val="none" w:sz="0" w:space="0" w:color="auto"/>
        <w:bottom w:val="none" w:sz="0" w:space="0" w:color="auto"/>
        <w:right w:val="none" w:sz="0" w:space="0" w:color="auto"/>
      </w:divBdr>
    </w:div>
    <w:div w:id="645085008">
      <w:bodyDiv w:val="1"/>
      <w:marLeft w:val="0"/>
      <w:marRight w:val="0"/>
      <w:marTop w:val="0"/>
      <w:marBottom w:val="0"/>
      <w:divBdr>
        <w:top w:val="none" w:sz="0" w:space="0" w:color="auto"/>
        <w:left w:val="none" w:sz="0" w:space="0" w:color="auto"/>
        <w:bottom w:val="none" w:sz="0" w:space="0" w:color="auto"/>
        <w:right w:val="none" w:sz="0" w:space="0" w:color="auto"/>
      </w:divBdr>
    </w:div>
    <w:div w:id="1179811317">
      <w:bodyDiv w:val="1"/>
      <w:marLeft w:val="0"/>
      <w:marRight w:val="0"/>
      <w:marTop w:val="0"/>
      <w:marBottom w:val="0"/>
      <w:divBdr>
        <w:top w:val="none" w:sz="0" w:space="0" w:color="auto"/>
        <w:left w:val="none" w:sz="0" w:space="0" w:color="auto"/>
        <w:bottom w:val="none" w:sz="0" w:space="0" w:color="auto"/>
        <w:right w:val="none" w:sz="0" w:space="0" w:color="auto"/>
      </w:divBdr>
    </w:div>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 w:id="1506093156">
      <w:bodyDiv w:val="1"/>
      <w:marLeft w:val="0"/>
      <w:marRight w:val="0"/>
      <w:marTop w:val="0"/>
      <w:marBottom w:val="0"/>
      <w:divBdr>
        <w:top w:val="none" w:sz="0" w:space="0" w:color="auto"/>
        <w:left w:val="none" w:sz="0" w:space="0" w:color="auto"/>
        <w:bottom w:val="none" w:sz="0" w:space="0" w:color="auto"/>
        <w:right w:val="none" w:sz="0" w:space="0" w:color="auto"/>
      </w:divBdr>
    </w:div>
    <w:div w:id="167984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D4D36-9DD1-430B-83BE-685D31B6C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1411</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Siva Subramani (Vodafone)</cp:lastModifiedBy>
  <cp:revision>2</cp:revision>
  <dcterms:created xsi:type="dcterms:W3CDTF">2017-01-16T16:40:00Z</dcterms:created>
  <dcterms:modified xsi:type="dcterms:W3CDTF">2017-01-16T16:40:00Z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847625333</vt:i4>
  </property>
  <property fmtid="{D5CDD505-2E9C-101B-9397-08002B2CF9AE}" pid="3" name="_NewReviewCycle">
    <vt:lpwstr/>
  </property>
  <property fmtid="{D5CDD505-2E9C-101B-9397-08002B2CF9AE}" pid="4" name="_EmailSubject">
    <vt:lpwstr>LTE+NR coexistance</vt:lpwstr>
  </property>
  <property fmtid="{D5CDD505-2E9C-101B-9397-08002B2CF9AE}" pid="5" name="_AuthorEmail">
    <vt:lpwstr>razieh.razavi@vodafone.com</vt:lpwstr>
  </property>
  <property fmtid="{D5CDD505-2E9C-101B-9397-08002B2CF9AE}" pid="6" name="_AuthorEmailDisplayName">
    <vt:lpwstr>Razavi, Razieh, Vodafone Group</vt:lpwstr>
  </property>
  <property fmtid="{D5CDD505-2E9C-101B-9397-08002B2CF9AE}" pid="7" name="_PreviousAdHocReviewCycleID">
    <vt:i4>-806643792</vt:i4>
  </property>
  <property fmtid="{D5CDD505-2E9C-101B-9397-08002B2CF9AE}" pid="8" name="_ReviewingToolsShownOnce">
    <vt:lpwstr/>
  </property>
</Properties>
</file>