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1FA" w:rsidRPr="00EE76A9" w:rsidRDefault="00D451FA" w:rsidP="00D451F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Pr>
          <w:noProof w:val="0"/>
          <w:sz w:val="24"/>
          <w:lang w:val="en-GB"/>
        </w:rPr>
        <w:t>#NR</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EF4B95">
        <w:rPr>
          <w:bCs/>
          <w:noProof w:val="0"/>
          <w:sz w:val="24"/>
          <w:lang w:val="en-GB" w:eastAsia="zh-CN"/>
        </w:rPr>
        <w:t>1701149</w:t>
      </w:r>
      <w:bookmarkStart w:id="3" w:name="_GoBack"/>
      <w:bookmarkEnd w:id="3"/>
    </w:p>
    <w:p w:rsidR="00D451FA" w:rsidRPr="00461210" w:rsidRDefault="00D451FA" w:rsidP="00D451FA">
      <w:pPr>
        <w:pStyle w:val="Header"/>
        <w:tabs>
          <w:tab w:val="right" w:pos="9639"/>
        </w:tabs>
        <w:rPr>
          <w:bCs/>
          <w:noProof w:val="0"/>
          <w:sz w:val="24"/>
          <w:lang w:val="en-GB"/>
        </w:rPr>
      </w:pPr>
      <w:r>
        <w:rPr>
          <w:noProof w:val="0"/>
          <w:sz w:val="24"/>
          <w:lang w:val="en-GB"/>
        </w:rPr>
        <w:t>Spokane, U.S.A., January</w:t>
      </w:r>
      <w:r>
        <w:rPr>
          <w:bCs/>
          <w:sz w:val="24"/>
          <w:lang w:eastAsia="zh-CN"/>
        </w:rPr>
        <w:t xml:space="preserve"> 16-20, </w:t>
      </w:r>
      <w:r w:rsidRPr="00235B77">
        <w:rPr>
          <w:bCs/>
          <w:sz w:val="24"/>
          <w:lang w:eastAsia="zh-CN"/>
        </w:rPr>
        <w:t>201</w:t>
      </w:r>
      <w:r>
        <w:rPr>
          <w:bCs/>
          <w:sz w:val="24"/>
          <w:lang w:eastAsia="zh-CN"/>
        </w:rPr>
        <w:t>7</w:t>
      </w:r>
    </w:p>
    <w:bookmarkEnd w:id="0"/>
    <w:bookmarkEnd w:id="1"/>
    <w:p w:rsidR="00D451FA" w:rsidRPr="007B7496" w:rsidRDefault="00D451FA" w:rsidP="00D451FA">
      <w:pPr>
        <w:pStyle w:val="Header"/>
        <w:rPr>
          <w:bCs/>
          <w:noProof w:val="0"/>
          <w:sz w:val="24"/>
          <w:lang w:val="en-GB" w:eastAsia="ja-JP"/>
        </w:rPr>
      </w:pPr>
    </w:p>
    <w:p w:rsidR="00D451FA" w:rsidRPr="007B7496" w:rsidRDefault="00D451FA" w:rsidP="00D451FA">
      <w:pPr>
        <w:pStyle w:val="CRCoverPage"/>
        <w:rPr>
          <w:rFonts w:cs="Arial"/>
          <w:b/>
          <w:bCs/>
          <w:sz w:val="24"/>
          <w:lang w:eastAsia="ja-JP"/>
        </w:rPr>
      </w:pPr>
      <w:r>
        <w:rPr>
          <w:rFonts w:cs="Arial"/>
          <w:b/>
          <w:bCs/>
          <w:sz w:val="24"/>
        </w:rPr>
        <w:t>Agenda item:</w:t>
      </w:r>
      <w:r>
        <w:rPr>
          <w:rFonts w:cs="Arial"/>
          <w:b/>
          <w:bCs/>
          <w:sz w:val="24"/>
        </w:rPr>
        <w:tab/>
      </w:r>
      <w:r>
        <w:rPr>
          <w:rFonts w:cs="Arial"/>
          <w:b/>
          <w:bCs/>
          <w:sz w:val="24"/>
        </w:rPr>
        <w:tab/>
        <w:t>5.1.11</w:t>
      </w:r>
    </w:p>
    <w:p w:rsidR="00D451FA" w:rsidRPr="00F174DB" w:rsidRDefault="00D451FA" w:rsidP="00D451F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Pr>
          <w:rFonts w:ascii="Arial" w:hAnsi="Arial" w:cs="Arial"/>
          <w:b/>
          <w:bCs/>
          <w:sz w:val="24"/>
        </w:rPr>
        <w:t xml:space="preserve">, Alcatel-Lucent Shanghai Bell </w:t>
      </w:r>
    </w:p>
    <w:p w:rsidR="00D451FA" w:rsidRPr="00F174DB" w:rsidRDefault="00D451FA" w:rsidP="00D451F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On extended CP</w:t>
      </w:r>
      <w:r w:rsidR="007F5DD3">
        <w:rPr>
          <w:rFonts w:ascii="Arial" w:hAnsi="Arial" w:cs="Arial"/>
          <w:b/>
          <w:bCs/>
          <w:sz w:val="24"/>
        </w:rPr>
        <w:t xml:space="preserve"> for 60 kHz SCS</w:t>
      </w:r>
    </w:p>
    <w:p w:rsidR="00D451FA" w:rsidRPr="007B7496" w:rsidRDefault="00D451FA" w:rsidP="00D451F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D451FA" w:rsidRDefault="00D451FA" w:rsidP="00CA26CE">
      <w:pPr>
        <w:pStyle w:val="Header"/>
        <w:rPr>
          <w:bCs/>
          <w:noProof w:val="0"/>
          <w:sz w:val="24"/>
          <w:lang w:val="en-GB"/>
        </w:rPr>
      </w:pPr>
    </w:p>
    <w:p w:rsidR="0034111C" w:rsidRPr="0016316A" w:rsidRDefault="0034111C">
      <w:pPr>
        <w:pStyle w:val="Heading1"/>
      </w:pPr>
      <w:r w:rsidRPr="0016316A">
        <w:t>1</w:t>
      </w:r>
      <w:r w:rsidRPr="0016316A">
        <w:tab/>
      </w:r>
      <w:r w:rsidR="00EE7FA7" w:rsidRPr="0016316A">
        <w:t>Introduction</w:t>
      </w:r>
    </w:p>
    <w:p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rsidR="00CC300C" w:rsidRDefault="00530FB4" w:rsidP="002E758C">
      <w:pPr>
        <w:spacing w:after="120"/>
        <w:jc w:val="both"/>
        <w:rPr>
          <w:rFonts w:eastAsia="Malgun Gothic"/>
        </w:rPr>
      </w:pPr>
      <w:r>
        <w:rPr>
          <w:bCs/>
        </w:rPr>
        <w:t xml:space="preserve">This contribution relates to the </w:t>
      </w:r>
      <w:r w:rsidR="00001D6D">
        <w:rPr>
          <w:bCs/>
        </w:rPr>
        <w:t>E</w:t>
      </w:r>
      <w:r w:rsidR="00D451FA">
        <w:rPr>
          <w:bCs/>
        </w:rPr>
        <w:t>tended CP</w:t>
      </w:r>
      <w:r w:rsidR="003052D4">
        <w:rPr>
          <w:bCs/>
        </w:rPr>
        <w:t xml:space="preserve">. The following agreements were </w:t>
      </w:r>
      <w:r w:rsidR="00E1660B">
        <w:rPr>
          <w:rFonts w:eastAsia="Malgun Gothic"/>
        </w:rPr>
        <w:t xml:space="preserve">made </w:t>
      </w:r>
      <w:r w:rsidR="003052D4">
        <w:rPr>
          <w:bCs/>
        </w:rPr>
        <w:t xml:space="preserve">RAN1#86bis </w:t>
      </w:r>
      <w:r w:rsidR="00342AD2">
        <w:rPr>
          <w:bCs/>
        </w:rPr>
        <w:t>[3]</w:t>
      </w:r>
      <w:r w:rsidR="00D451FA">
        <w:rPr>
          <w:bCs/>
        </w:rPr>
        <w:t xml:space="preserve"> and RAN1#87 [4]</w:t>
      </w:r>
      <w:r w:rsidR="00CC300C">
        <w:rPr>
          <w:rFonts w:eastAsia="Malgun Gothic"/>
        </w:rPr>
        <w:t>:</w:t>
      </w:r>
    </w:p>
    <w:p w:rsidR="00530FB4" w:rsidRPr="007E3B61" w:rsidRDefault="00530FB4" w:rsidP="00D451FA">
      <w:pPr>
        <w:ind w:left="568"/>
        <w:rPr>
          <w:rFonts w:eastAsia="MS Mincho"/>
          <w:b/>
          <w:u w:val="single"/>
          <w:lang w:val="en-US" w:eastAsia="ja-JP"/>
        </w:rPr>
      </w:pPr>
      <w:r w:rsidRPr="000250F0">
        <w:rPr>
          <w:rFonts w:eastAsia="MS Mincho" w:hint="eastAsia"/>
          <w:b/>
          <w:highlight w:val="green"/>
          <w:u w:val="single"/>
          <w:lang w:val="en-US" w:eastAsia="ja-JP"/>
        </w:rPr>
        <w:t>Agreements:</w:t>
      </w:r>
      <w:r w:rsidR="00D451FA">
        <w:rPr>
          <w:rFonts w:eastAsia="MS Mincho"/>
          <w:b/>
          <w:u w:val="single"/>
          <w:lang w:val="en-US" w:eastAsia="ja-JP"/>
        </w:rPr>
        <w:t xml:space="preserve"> [3]</w:t>
      </w:r>
    </w:p>
    <w:p w:rsidR="00530FB4" w:rsidRPr="007E3B61" w:rsidRDefault="00530FB4" w:rsidP="00D451FA">
      <w:pPr>
        <w:numPr>
          <w:ilvl w:val="0"/>
          <w:numId w:val="2"/>
        </w:numPr>
        <w:tabs>
          <w:tab w:val="clear" w:pos="720"/>
          <w:tab w:val="num" w:pos="1288"/>
        </w:tabs>
        <w:overflowPunct/>
        <w:autoSpaceDE/>
        <w:autoSpaceDN/>
        <w:adjustRightInd/>
        <w:spacing w:after="0"/>
        <w:ind w:left="1288"/>
        <w:textAlignment w:val="auto"/>
        <w:rPr>
          <w:rFonts w:eastAsia="MS Mincho"/>
          <w:lang w:val="en-US" w:eastAsia="ja-JP"/>
        </w:rPr>
      </w:pPr>
      <w:r w:rsidRPr="007E3B61">
        <w:rPr>
          <w:rFonts w:eastAsia="MS Mincho" w:hint="eastAsia"/>
          <w:lang w:val="en-US" w:eastAsia="ja-JP"/>
        </w:rPr>
        <w:t>For SCS of up to 60kHz with NCP, y = 7 and 14</w:t>
      </w:r>
    </w:p>
    <w:p w:rsidR="00530FB4" w:rsidRPr="007E3B61" w:rsidRDefault="00530FB4" w:rsidP="00D451FA">
      <w:pPr>
        <w:numPr>
          <w:ilvl w:val="1"/>
          <w:numId w:val="2"/>
        </w:numPr>
        <w:tabs>
          <w:tab w:val="clear" w:pos="1440"/>
          <w:tab w:val="num" w:pos="2008"/>
        </w:tabs>
        <w:overflowPunct/>
        <w:autoSpaceDE/>
        <w:autoSpaceDN/>
        <w:adjustRightInd/>
        <w:spacing w:after="0"/>
        <w:ind w:left="2008"/>
        <w:textAlignment w:val="auto"/>
        <w:rPr>
          <w:rFonts w:eastAsia="MS Mincho"/>
          <w:lang w:val="en-US" w:eastAsia="ja-JP"/>
        </w:rPr>
      </w:pPr>
      <w:r w:rsidRPr="007E3B61">
        <w:rPr>
          <w:rFonts w:eastAsia="MS Mincho" w:hint="eastAsia"/>
          <w:lang w:val="en-US" w:eastAsia="ja-JP"/>
        </w:rPr>
        <w:t>FFS: whether/which to down select for certain SCS(s)</w:t>
      </w:r>
    </w:p>
    <w:p w:rsidR="00530FB4" w:rsidRPr="007E3B61" w:rsidRDefault="00530FB4" w:rsidP="00D451FA">
      <w:pPr>
        <w:numPr>
          <w:ilvl w:val="0"/>
          <w:numId w:val="2"/>
        </w:numPr>
        <w:tabs>
          <w:tab w:val="clear" w:pos="720"/>
          <w:tab w:val="num" w:pos="1288"/>
        </w:tabs>
        <w:overflowPunct/>
        <w:autoSpaceDE/>
        <w:autoSpaceDN/>
        <w:adjustRightInd/>
        <w:spacing w:after="0"/>
        <w:ind w:left="1288"/>
        <w:textAlignment w:val="auto"/>
        <w:rPr>
          <w:rFonts w:eastAsia="MS Mincho"/>
          <w:lang w:val="en-US" w:eastAsia="ja-JP"/>
        </w:rPr>
      </w:pPr>
      <w:r w:rsidRPr="007E3B61">
        <w:rPr>
          <w:rFonts w:eastAsia="MS Mincho" w:hint="eastAsia"/>
          <w:lang w:val="en-US" w:eastAsia="ja-JP"/>
        </w:rPr>
        <w:t>For SCS of higher than 60kHz with NCP, y = 14</w:t>
      </w:r>
    </w:p>
    <w:p w:rsidR="00530FB4" w:rsidRPr="00530FB4" w:rsidRDefault="00530FB4" w:rsidP="002E758C">
      <w:pPr>
        <w:spacing w:after="120"/>
        <w:jc w:val="both"/>
        <w:rPr>
          <w:bCs/>
          <w:lang w:val="en-US"/>
        </w:rPr>
      </w:pPr>
    </w:p>
    <w:p w:rsidR="003052D4" w:rsidRDefault="003052D4" w:rsidP="00D451FA">
      <w:pPr>
        <w:ind w:left="568"/>
        <w:rPr>
          <w:rFonts w:eastAsia="MS Mincho"/>
          <w:b/>
          <w:u w:val="single"/>
          <w:lang w:val="en-US" w:eastAsia="ja-JP"/>
        </w:rPr>
      </w:pPr>
      <w:r>
        <w:rPr>
          <w:rFonts w:eastAsia="MS Mincho"/>
          <w:b/>
          <w:highlight w:val="green"/>
          <w:u w:val="single"/>
          <w:lang w:val="en-US" w:eastAsia="ja-JP"/>
        </w:rPr>
        <w:t>Agreements:</w:t>
      </w:r>
      <w:r w:rsidR="00D451FA">
        <w:rPr>
          <w:rFonts w:eastAsia="MS Mincho"/>
          <w:b/>
          <w:u w:val="single"/>
          <w:lang w:val="en-US" w:eastAsia="ja-JP"/>
        </w:rPr>
        <w:t xml:space="preserve"> [3]</w:t>
      </w:r>
    </w:p>
    <w:p w:rsidR="003052D4" w:rsidRDefault="003052D4" w:rsidP="00D451FA">
      <w:pPr>
        <w:numPr>
          <w:ilvl w:val="0"/>
          <w:numId w:val="5"/>
        </w:numPr>
        <w:tabs>
          <w:tab w:val="clear" w:pos="720"/>
          <w:tab w:val="num" w:pos="1288"/>
        </w:tabs>
        <w:overflowPunct/>
        <w:autoSpaceDE/>
        <w:autoSpaceDN/>
        <w:adjustRightInd/>
        <w:spacing w:after="0"/>
        <w:ind w:left="1288"/>
        <w:textAlignment w:val="auto"/>
        <w:rPr>
          <w:rFonts w:eastAsia="MS Mincho"/>
          <w:lang w:val="en-US" w:eastAsia="ja-JP"/>
        </w:rPr>
      </w:pPr>
      <w:r>
        <w:rPr>
          <w:rFonts w:eastAsia="MS Mincho"/>
          <w:lang w:val="en-US" w:eastAsia="ja-JP"/>
        </w:rPr>
        <w:t>From Phase 1, physical layer design should support an extended CP</w:t>
      </w:r>
    </w:p>
    <w:p w:rsidR="003052D4" w:rsidRDefault="003052D4" w:rsidP="00D451FA">
      <w:pPr>
        <w:numPr>
          <w:ilvl w:val="1"/>
          <w:numId w:val="5"/>
        </w:numPr>
        <w:tabs>
          <w:tab w:val="clear" w:pos="1440"/>
          <w:tab w:val="num" w:pos="2008"/>
        </w:tabs>
        <w:overflowPunct/>
        <w:autoSpaceDE/>
        <w:autoSpaceDN/>
        <w:adjustRightInd/>
        <w:spacing w:after="0"/>
        <w:ind w:left="2008"/>
        <w:textAlignment w:val="auto"/>
        <w:rPr>
          <w:rFonts w:eastAsia="MS Mincho"/>
          <w:lang w:val="en-US" w:eastAsia="ja-JP"/>
        </w:rPr>
      </w:pPr>
      <w:r>
        <w:rPr>
          <w:rFonts w:eastAsia="MS Mincho"/>
          <w:lang w:val="en-US" w:eastAsia="ja-JP"/>
        </w:rPr>
        <w:t>Extended CP will be only one in given subcarrier spacing</w:t>
      </w:r>
    </w:p>
    <w:p w:rsidR="003052D4" w:rsidRDefault="003052D4" w:rsidP="00D451FA">
      <w:pPr>
        <w:numPr>
          <w:ilvl w:val="0"/>
          <w:numId w:val="5"/>
        </w:numPr>
        <w:tabs>
          <w:tab w:val="clear" w:pos="720"/>
          <w:tab w:val="num" w:pos="1288"/>
        </w:tabs>
        <w:overflowPunct/>
        <w:autoSpaceDE/>
        <w:autoSpaceDN/>
        <w:adjustRightInd/>
        <w:spacing w:after="0"/>
        <w:ind w:left="1288"/>
        <w:textAlignment w:val="auto"/>
        <w:rPr>
          <w:rFonts w:eastAsia="MS Mincho"/>
          <w:lang w:val="en-US" w:eastAsia="ja-JP"/>
        </w:rPr>
      </w:pPr>
      <w:r>
        <w:rPr>
          <w:rFonts w:eastAsia="MS Mincho"/>
          <w:lang w:val="en-US" w:eastAsia="ja-JP"/>
        </w:rPr>
        <w:t>FFS: Exact for the services/scenarios for extended CP</w:t>
      </w:r>
    </w:p>
    <w:p w:rsidR="00E1660B" w:rsidRDefault="00E1660B" w:rsidP="00D451FA">
      <w:pPr>
        <w:spacing w:after="120"/>
        <w:jc w:val="both"/>
        <w:rPr>
          <w:bCs/>
          <w:lang w:val="en-US"/>
        </w:rPr>
      </w:pPr>
    </w:p>
    <w:p w:rsidR="00D451FA" w:rsidRPr="00F34673" w:rsidRDefault="00D451FA" w:rsidP="00D451FA">
      <w:pPr>
        <w:ind w:left="568"/>
        <w:rPr>
          <w:rFonts w:eastAsia="MS Mincho"/>
          <w:b/>
          <w:highlight w:val="yellow"/>
          <w:u w:val="single"/>
          <w:lang w:val="en-US" w:eastAsia="ja-JP"/>
        </w:rPr>
      </w:pPr>
      <w:r w:rsidRPr="00863832">
        <w:rPr>
          <w:rFonts w:eastAsia="MS Mincho" w:hint="eastAsia"/>
          <w:b/>
          <w:highlight w:val="green"/>
          <w:u w:val="single"/>
          <w:lang w:val="en-US" w:eastAsia="ja-JP"/>
        </w:rPr>
        <w:t>Agreements:</w:t>
      </w:r>
      <w:r w:rsidRPr="00D451FA">
        <w:rPr>
          <w:rFonts w:eastAsia="MS Mincho"/>
          <w:b/>
          <w:u w:val="single"/>
          <w:lang w:val="en-US" w:eastAsia="ja-JP"/>
        </w:rPr>
        <w:t xml:space="preserve"> [4]</w:t>
      </w:r>
    </w:p>
    <w:p w:rsidR="00D451FA" w:rsidRPr="00863832" w:rsidRDefault="00D451FA" w:rsidP="00D451FA">
      <w:pPr>
        <w:numPr>
          <w:ilvl w:val="0"/>
          <w:numId w:val="12"/>
        </w:numPr>
        <w:tabs>
          <w:tab w:val="clear" w:pos="360"/>
          <w:tab w:val="num" w:pos="928"/>
        </w:tabs>
        <w:overflowPunct/>
        <w:autoSpaceDE/>
        <w:autoSpaceDN/>
        <w:adjustRightInd/>
        <w:spacing w:after="0"/>
        <w:ind w:left="928"/>
        <w:textAlignment w:val="auto"/>
        <w:rPr>
          <w:rFonts w:eastAsia="MS Mincho"/>
          <w:lang w:val="en-US" w:eastAsia="ja-JP"/>
        </w:rPr>
      </w:pPr>
      <w:r w:rsidRPr="00863832">
        <w:rPr>
          <w:rFonts w:eastAsia="MS Mincho"/>
          <w:bCs/>
          <w:lang w:eastAsia="ja-JP"/>
        </w:rPr>
        <w:t>Possible use case</w:t>
      </w:r>
      <w:r w:rsidRPr="00863832">
        <w:rPr>
          <w:rFonts w:eastAsia="MS Mincho" w:hint="eastAsia"/>
          <w:bCs/>
          <w:lang w:eastAsia="ja-JP"/>
        </w:rPr>
        <w:t>s</w:t>
      </w:r>
      <w:r w:rsidRPr="00863832">
        <w:rPr>
          <w:rFonts w:eastAsia="MS Mincho"/>
          <w:bCs/>
          <w:lang w:eastAsia="ja-JP"/>
        </w:rPr>
        <w:t xml:space="preserve"> for the extended CP </w:t>
      </w:r>
      <w:r w:rsidRPr="00863832">
        <w:rPr>
          <w:rFonts w:eastAsia="MS Mincho" w:hint="eastAsia"/>
          <w:bCs/>
          <w:lang w:eastAsia="ja-JP"/>
        </w:rPr>
        <w:t>include</w:t>
      </w:r>
    </w:p>
    <w:p w:rsidR="00D451FA" w:rsidRPr="00863832" w:rsidRDefault="00D451FA" w:rsidP="00D451FA">
      <w:pPr>
        <w:numPr>
          <w:ilvl w:val="1"/>
          <w:numId w:val="12"/>
        </w:numPr>
        <w:tabs>
          <w:tab w:val="clear" w:pos="1080"/>
          <w:tab w:val="num" w:pos="1648"/>
        </w:tabs>
        <w:overflowPunct/>
        <w:autoSpaceDE/>
        <w:autoSpaceDN/>
        <w:adjustRightInd/>
        <w:spacing w:after="0"/>
        <w:ind w:left="1648"/>
        <w:textAlignment w:val="auto"/>
        <w:rPr>
          <w:rFonts w:eastAsia="MS Mincho"/>
          <w:lang w:val="en-US" w:eastAsia="ja-JP"/>
        </w:rPr>
      </w:pPr>
      <w:r w:rsidRPr="00863832">
        <w:rPr>
          <w:rFonts w:eastAsia="MS Mincho"/>
          <w:bCs/>
          <w:lang w:val="en-US" w:eastAsia="ja-JP"/>
        </w:rPr>
        <w:t>Multiplexing of eMBB and URLLC deployed below 6 GHz</w:t>
      </w:r>
    </w:p>
    <w:p w:rsidR="00D451FA" w:rsidRPr="00863832" w:rsidRDefault="00D451FA" w:rsidP="00D451FA">
      <w:pPr>
        <w:numPr>
          <w:ilvl w:val="2"/>
          <w:numId w:val="12"/>
        </w:numPr>
        <w:tabs>
          <w:tab w:val="clear" w:pos="1800"/>
          <w:tab w:val="num" w:pos="2084"/>
          <w:tab w:val="num" w:pos="2444"/>
        </w:tabs>
        <w:overflowPunct/>
        <w:autoSpaceDE/>
        <w:autoSpaceDN/>
        <w:adjustRightInd/>
        <w:spacing w:after="0"/>
        <w:ind w:left="2368"/>
        <w:textAlignment w:val="auto"/>
        <w:rPr>
          <w:rFonts w:eastAsia="MS Mincho"/>
          <w:lang w:val="en-US" w:eastAsia="ja-JP"/>
        </w:rPr>
      </w:pPr>
      <w:r w:rsidRPr="00863832">
        <w:rPr>
          <w:rFonts w:eastAsia="MS Mincho"/>
          <w:bCs/>
          <w:lang w:val="en-US" w:eastAsia="ja-JP"/>
        </w:rPr>
        <w:t>SCS for eMBB 15(NCP)/30/60kHz, SCS for URLLC = 60 kHz</w:t>
      </w:r>
    </w:p>
    <w:p w:rsidR="00D451FA" w:rsidRPr="00863832" w:rsidRDefault="00D451FA" w:rsidP="00D451FA">
      <w:pPr>
        <w:numPr>
          <w:ilvl w:val="1"/>
          <w:numId w:val="12"/>
        </w:numPr>
        <w:tabs>
          <w:tab w:val="clear" w:pos="1080"/>
          <w:tab w:val="num" w:pos="1648"/>
        </w:tabs>
        <w:overflowPunct/>
        <w:autoSpaceDE/>
        <w:autoSpaceDN/>
        <w:adjustRightInd/>
        <w:spacing w:after="0"/>
        <w:ind w:left="1648"/>
        <w:textAlignment w:val="auto"/>
        <w:rPr>
          <w:rFonts w:eastAsia="MS Mincho"/>
          <w:lang w:val="en-US" w:eastAsia="ja-JP"/>
        </w:rPr>
      </w:pPr>
      <w:r w:rsidRPr="00863832">
        <w:rPr>
          <w:rFonts w:eastAsia="MS Mincho" w:hint="eastAsia"/>
          <w:lang w:val="en-US" w:eastAsia="ja-JP"/>
        </w:rPr>
        <w:t>Transmission of URLLC with 60 kHz SCS</w:t>
      </w:r>
    </w:p>
    <w:p w:rsidR="00D451FA" w:rsidRPr="00863832" w:rsidRDefault="00D451FA" w:rsidP="00D451FA">
      <w:pPr>
        <w:numPr>
          <w:ilvl w:val="1"/>
          <w:numId w:val="12"/>
        </w:numPr>
        <w:tabs>
          <w:tab w:val="clear" w:pos="1080"/>
          <w:tab w:val="num" w:pos="1648"/>
        </w:tabs>
        <w:overflowPunct/>
        <w:autoSpaceDE/>
        <w:autoSpaceDN/>
        <w:adjustRightInd/>
        <w:spacing w:after="0"/>
        <w:ind w:left="1648"/>
        <w:textAlignment w:val="auto"/>
        <w:rPr>
          <w:rFonts w:eastAsia="MS Mincho"/>
          <w:lang w:val="en-US" w:eastAsia="ja-JP"/>
        </w:rPr>
      </w:pPr>
      <w:r w:rsidRPr="00863832">
        <w:rPr>
          <w:rFonts w:eastAsia="MS Mincho"/>
          <w:bCs/>
          <w:lang w:eastAsia="ja-JP"/>
        </w:rPr>
        <w:t>High speed scenarios for 30kHz and 60kHz</w:t>
      </w:r>
    </w:p>
    <w:p w:rsidR="00D451FA" w:rsidRPr="00863832" w:rsidRDefault="00D451FA" w:rsidP="00D451FA">
      <w:pPr>
        <w:numPr>
          <w:ilvl w:val="0"/>
          <w:numId w:val="12"/>
        </w:numPr>
        <w:tabs>
          <w:tab w:val="clear" w:pos="360"/>
          <w:tab w:val="num" w:pos="928"/>
        </w:tabs>
        <w:overflowPunct/>
        <w:autoSpaceDE/>
        <w:autoSpaceDN/>
        <w:adjustRightInd/>
        <w:spacing w:after="0"/>
        <w:ind w:left="928"/>
        <w:textAlignment w:val="auto"/>
        <w:rPr>
          <w:rFonts w:eastAsia="MS Mincho"/>
          <w:lang w:val="en-US" w:eastAsia="ja-JP"/>
        </w:rPr>
      </w:pPr>
      <w:r w:rsidRPr="00863832">
        <w:rPr>
          <w:rFonts w:eastAsia="MS Mincho"/>
          <w:bCs/>
          <w:lang w:val="en-US" w:eastAsia="ja-JP"/>
        </w:rPr>
        <w:t>Support extended CP at least for 60 kHz SCS</w:t>
      </w:r>
    </w:p>
    <w:p w:rsidR="00D451FA" w:rsidRPr="00863832" w:rsidRDefault="00D451FA" w:rsidP="00D451FA">
      <w:pPr>
        <w:numPr>
          <w:ilvl w:val="1"/>
          <w:numId w:val="12"/>
        </w:numPr>
        <w:tabs>
          <w:tab w:val="clear" w:pos="1080"/>
          <w:tab w:val="num" w:pos="1648"/>
        </w:tabs>
        <w:overflowPunct/>
        <w:autoSpaceDE/>
        <w:autoSpaceDN/>
        <w:adjustRightInd/>
        <w:spacing w:after="0"/>
        <w:ind w:left="1648"/>
        <w:textAlignment w:val="auto"/>
        <w:rPr>
          <w:rFonts w:eastAsia="MS Mincho"/>
          <w:lang w:val="en-US" w:eastAsia="ja-JP"/>
        </w:rPr>
      </w:pPr>
      <w:r w:rsidRPr="00863832">
        <w:rPr>
          <w:rFonts w:eastAsia="MS Mincho"/>
          <w:bCs/>
          <w:lang w:val="en-US" w:eastAsia="ja-JP"/>
        </w:rPr>
        <w:t>UE support for ECP may depend on UE type/capability</w:t>
      </w:r>
    </w:p>
    <w:p w:rsidR="00D451FA" w:rsidRPr="00863832" w:rsidRDefault="00D451FA" w:rsidP="00D451FA">
      <w:pPr>
        <w:numPr>
          <w:ilvl w:val="1"/>
          <w:numId w:val="12"/>
        </w:numPr>
        <w:tabs>
          <w:tab w:val="clear" w:pos="1080"/>
          <w:tab w:val="num" w:pos="1648"/>
        </w:tabs>
        <w:overflowPunct/>
        <w:autoSpaceDE/>
        <w:autoSpaceDN/>
        <w:adjustRightInd/>
        <w:spacing w:after="0"/>
        <w:ind w:left="1648"/>
        <w:textAlignment w:val="auto"/>
        <w:rPr>
          <w:rFonts w:eastAsia="MS Mincho"/>
          <w:lang w:val="en-US" w:eastAsia="ja-JP"/>
        </w:rPr>
      </w:pPr>
      <w:r w:rsidRPr="00863832">
        <w:rPr>
          <w:rFonts w:eastAsia="MS Mincho"/>
          <w:bCs/>
          <w:lang w:val="en-US" w:eastAsia="ja-JP"/>
        </w:rPr>
        <w:t>FFS how to configure UE using different CP overhead</w:t>
      </w:r>
    </w:p>
    <w:p w:rsidR="00D451FA" w:rsidRPr="00863832" w:rsidRDefault="00D451FA" w:rsidP="00D451FA">
      <w:pPr>
        <w:numPr>
          <w:ilvl w:val="1"/>
          <w:numId w:val="12"/>
        </w:numPr>
        <w:tabs>
          <w:tab w:val="clear" w:pos="1080"/>
          <w:tab w:val="num" w:pos="1648"/>
        </w:tabs>
        <w:overflowPunct/>
        <w:autoSpaceDE/>
        <w:autoSpaceDN/>
        <w:adjustRightInd/>
        <w:spacing w:after="0"/>
        <w:ind w:left="1648"/>
        <w:textAlignment w:val="auto"/>
        <w:rPr>
          <w:rFonts w:eastAsia="MS Mincho"/>
          <w:lang w:val="en-US" w:eastAsia="ja-JP"/>
        </w:rPr>
      </w:pPr>
      <w:r w:rsidRPr="00863832">
        <w:rPr>
          <w:rFonts w:eastAsia="MS Mincho"/>
          <w:bCs/>
          <w:lang w:val="en-US" w:eastAsia="ja-JP"/>
        </w:rPr>
        <w:t>FFS the length of ECP</w:t>
      </w:r>
    </w:p>
    <w:p w:rsidR="00D451FA" w:rsidRPr="00863832" w:rsidRDefault="00D451FA" w:rsidP="00D451FA">
      <w:pPr>
        <w:numPr>
          <w:ilvl w:val="0"/>
          <w:numId w:val="12"/>
        </w:numPr>
        <w:tabs>
          <w:tab w:val="clear" w:pos="360"/>
          <w:tab w:val="num" w:pos="928"/>
        </w:tabs>
        <w:overflowPunct/>
        <w:autoSpaceDE/>
        <w:autoSpaceDN/>
        <w:adjustRightInd/>
        <w:spacing w:after="0"/>
        <w:ind w:left="928"/>
        <w:textAlignment w:val="auto"/>
        <w:rPr>
          <w:rFonts w:eastAsia="MS Mincho"/>
          <w:lang w:val="en-US" w:eastAsia="ja-JP"/>
        </w:rPr>
      </w:pPr>
      <w:r w:rsidRPr="00863832">
        <w:rPr>
          <w:rFonts w:eastAsia="MS Mincho"/>
          <w:bCs/>
          <w:lang w:val="en-US" w:eastAsia="ja-JP"/>
        </w:rPr>
        <w:t xml:space="preserve">FFS extended CP for other </w:t>
      </w:r>
      <w:r w:rsidRPr="00863832">
        <w:rPr>
          <w:rFonts w:eastAsia="MS Mincho"/>
          <w:bCs/>
          <w:lang w:eastAsia="ja-JP"/>
        </w:rPr>
        <w:t>scenarios</w:t>
      </w:r>
      <w:r w:rsidRPr="00863832">
        <w:rPr>
          <w:rFonts w:eastAsia="MS Mincho"/>
          <w:bCs/>
          <w:lang w:val="en-US" w:eastAsia="ja-JP"/>
        </w:rPr>
        <w:t>/numerologies</w:t>
      </w:r>
    </w:p>
    <w:p w:rsidR="00D451FA" w:rsidRPr="00D451FA" w:rsidRDefault="00D451FA" w:rsidP="00D451FA">
      <w:pPr>
        <w:rPr>
          <w:rFonts w:eastAsia="MS Mincho"/>
          <w:lang w:val="en-US" w:eastAsia="ja-JP"/>
        </w:rPr>
      </w:pPr>
    </w:p>
    <w:p w:rsidR="00001D6D" w:rsidRDefault="00001D6D" w:rsidP="00001D6D">
      <w:pPr>
        <w:pStyle w:val="Heading1"/>
      </w:pPr>
      <w:r>
        <w:t>2</w:t>
      </w:r>
      <w:r>
        <w:tab/>
      </w:r>
      <w:r w:rsidR="007F5DD3">
        <w:t>Motivation for ECP</w:t>
      </w:r>
    </w:p>
    <w:p w:rsidR="00001D6D" w:rsidRDefault="003052D4" w:rsidP="003052D4">
      <w:r>
        <w:fldChar w:fldCharType="begin"/>
      </w:r>
      <w:r>
        <w:instrText xml:space="preserve"> REF _Ref452368703 \h </w:instrText>
      </w:r>
      <w:r>
        <w:fldChar w:fldCharType="separate"/>
      </w:r>
      <w:r>
        <w:t xml:space="preserve">Table </w:t>
      </w:r>
      <w:r>
        <w:rPr>
          <w:noProof/>
        </w:rPr>
        <w:t>1</w:t>
      </w:r>
      <w:r>
        <w:fldChar w:fldCharType="end"/>
      </w:r>
      <w:r>
        <w:t xml:space="preserve"> below provides an exemplary set of numerologies as a function of carrier frequency for non-MTC services. The time domain parameters such as symbol length and CP length are scaled down (compared to LTE) </w:t>
      </w:r>
      <w:r w:rsidR="007A54AB">
        <w:t>exponentially (2</w:t>
      </w:r>
      <w:r w:rsidR="007A54AB" w:rsidRPr="007E6833">
        <w:rPr>
          <w:vertAlign w:val="superscript"/>
        </w:rPr>
        <w:t>N</w:t>
      </w:r>
      <w:r w:rsidR="007A54AB">
        <w:t xml:space="preserve">) </w:t>
      </w:r>
      <w:r>
        <w:t>by parameter N, whereas subcarrier spacing are scaled up</w:t>
      </w:r>
      <w:r w:rsidR="007A54AB">
        <w:t xml:space="preserve"> exponentially (2</w:t>
      </w:r>
      <w:r w:rsidR="007A54AB" w:rsidRPr="00D107FA">
        <w:rPr>
          <w:vertAlign w:val="superscript"/>
        </w:rPr>
        <w:t>N</w:t>
      </w:r>
      <w:r w:rsidR="007A54AB">
        <w:t>)</w:t>
      </w:r>
      <w:r>
        <w:t>.</w:t>
      </w:r>
    </w:p>
    <w:p w:rsidR="003052D4" w:rsidRDefault="003052D4" w:rsidP="003052D4">
      <w:pPr>
        <w:pStyle w:val="Caption"/>
        <w:jc w:val="center"/>
      </w:pPr>
      <w:r>
        <w:t xml:space="preserve">Table </w:t>
      </w:r>
      <w:r w:rsidR="00E317D9">
        <w:fldChar w:fldCharType="begin"/>
      </w:r>
      <w:r w:rsidR="00E317D9">
        <w:instrText xml:space="preserve"> SEQ Table \* ARABIC </w:instrText>
      </w:r>
      <w:r w:rsidR="00E317D9">
        <w:fldChar w:fldCharType="separate"/>
      </w:r>
      <w:r>
        <w:rPr>
          <w:noProof/>
        </w:rPr>
        <w:t>1</w:t>
      </w:r>
      <w:r w:rsidR="00E317D9">
        <w:rPr>
          <w:noProof/>
        </w:rPr>
        <w:fldChar w:fldCharType="end"/>
      </w:r>
      <w:r w:rsidR="007A54AB" w:rsidRPr="007E6833">
        <w:rPr>
          <w:noProof/>
          <w:lang w:val="en-US"/>
        </w:rPr>
        <w:t>:</w:t>
      </w:r>
      <w:r>
        <w:t xml:space="preserve"> Example numerologies as a function of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79"/>
        <w:gridCol w:w="755"/>
        <w:gridCol w:w="851"/>
        <w:gridCol w:w="550"/>
        <w:gridCol w:w="708"/>
        <w:gridCol w:w="768"/>
      </w:tblGrid>
      <w:tr w:rsidR="003052D4" w:rsidTr="00D164CC">
        <w:trPr>
          <w:jc w:val="center"/>
        </w:trPr>
        <w:tc>
          <w:tcPr>
            <w:tcW w:w="3145" w:type="dxa"/>
            <w:shd w:val="clear" w:color="auto" w:fill="BFBFBF"/>
          </w:tcPr>
          <w:p w:rsidR="003052D4" w:rsidRPr="00383A78" w:rsidRDefault="003052D4" w:rsidP="00D164CC">
            <w:pPr>
              <w:pStyle w:val="00BodyText"/>
              <w:spacing w:after="0"/>
              <w:rPr>
                <w:sz w:val="20"/>
                <w:lang w:val="x-none"/>
              </w:rPr>
            </w:pPr>
          </w:p>
        </w:tc>
        <w:tc>
          <w:tcPr>
            <w:tcW w:w="2285" w:type="dxa"/>
            <w:gridSpan w:val="3"/>
            <w:shd w:val="clear" w:color="auto" w:fill="BFBFBF"/>
          </w:tcPr>
          <w:p w:rsidR="003052D4" w:rsidRPr="00383A78" w:rsidRDefault="003052D4" w:rsidP="00D164CC">
            <w:pPr>
              <w:pStyle w:val="00BodyText"/>
              <w:spacing w:after="0"/>
              <w:jc w:val="center"/>
              <w:rPr>
                <w:rFonts w:ascii="Times New Roman" w:hAnsi="Times New Roman"/>
                <w:sz w:val="20"/>
                <w:lang w:val="en-GB"/>
              </w:rPr>
            </w:pPr>
            <w:r w:rsidRPr="00383A78">
              <w:rPr>
                <w:rFonts w:ascii="Times New Roman" w:hAnsi="Times New Roman"/>
                <w:sz w:val="20"/>
                <w:lang w:val="en-GB"/>
              </w:rPr>
              <w:t>&lt; 6 GHz</w:t>
            </w:r>
          </w:p>
        </w:tc>
        <w:tc>
          <w:tcPr>
            <w:tcW w:w="2026" w:type="dxa"/>
            <w:gridSpan w:val="3"/>
            <w:shd w:val="clear" w:color="auto" w:fill="BFBFBF"/>
          </w:tcPr>
          <w:p w:rsidR="003052D4" w:rsidRPr="00383A78" w:rsidRDefault="003052D4" w:rsidP="00D164CC">
            <w:pPr>
              <w:pStyle w:val="00BodyText"/>
              <w:spacing w:after="0"/>
              <w:jc w:val="center"/>
              <w:rPr>
                <w:rFonts w:ascii="Times New Roman" w:hAnsi="Times New Roman"/>
                <w:sz w:val="20"/>
                <w:lang w:val="en-GB"/>
              </w:rPr>
            </w:pPr>
            <w:r w:rsidRPr="00383A78">
              <w:rPr>
                <w:rFonts w:ascii="Times New Roman" w:hAnsi="Times New Roman"/>
                <w:sz w:val="20"/>
                <w:lang w:val="en-GB"/>
              </w:rPr>
              <w:t>6-40 GHz</w:t>
            </w:r>
          </w:p>
        </w:tc>
      </w:tr>
      <w:tr w:rsidR="003052D4" w:rsidTr="00D164CC">
        <w:trPr>
          <w:jc w:val="center"/>
        </w:trPr>
        <w:tc>
          <w:tcPr>
            <w:tcW w:w="3145" w:type="dxa"/>
            <w:shd w:val="clear" w:color="auto" w:fill="auto"/>
          </w:tcPr>
          <w:p w:rsidR="003052D4" w:rsidRPr="006A4FC5" w:rsidRDefault="003052D4" w:rsidP="00D164CC">
            <w:pPr>
              <w:pStyle w:val="00BodyText"/>
              <w:spacing w:after="0"/>
              <w:rPr>
                <w:rFonts w:ascii="Times New Roman" w:hAnsi="Times New Roman"/>
                <w:sz w:val="20"/>
                <w:lang w:val="en-GB"/>
              </w:rPr>
            </w:pPr>
            <w:r w:rsidRPr="006A4FC5">
              <w:rPr>
                <w:rFonts w:ascii="Times New Roman" w:hAnsi="Times New Roman"/>
                <w:sz w:val="20"/>
                <w:lang w:val="en-GB"/>
              </w:rPr>
              <w:t>Subcarrier spacing</w:t>
            </w:r>
            <w:r>
              <w:rPr>
                <w:rFonts w:ascii="Times New Roman" w:hAnsi="Times New Roman"/>
                <w:sz w:val="20"/>
                <w:lang w:val="en-GB"/>
              </w:rPr>
              <w:t xml:space="preserve"> [kHz]</w:t>
            </w:r>
          </w:p>
        </w:tc>
        <w:tc>
          <w:tcPr>
            <w:tcW w:w="679" w:type="dxa"/>
          </w:tcPr>
          <w:p w:rsidR="003052D4" w:rsidRPr="006A4FC5"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15</w:t>
            </w:r>
          </w:p>
        </w:tc>
        <w:tc>
          <w:tcPr>
            <w:tcW w:w="755" w:type="dxa"/>
          </w:tcPr>
          <w:p w:rsidR="003052D4" w:rsidRPr="006A4FC5"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30</w:t>
            </w:r>
          </w:p>
        </w:tc>
        <w:tc>
          <w:tcPr>
            <w:tcW w:w="851" w:type="dxa"/>
          </w:tcPr>
          <w:p w:rsidR="003052D4" w:rsidRPr="006A4FC5"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60</w:t>
            </w:r>
          </w:p>
        </w:tc>
        <w:tc>
          <w:tcPr>
            <w:tcW w:w="550" w:type="dxa"/>
          </w:tcPr>
          <w:p w:rsidR="003052D4"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60</w:t>
            </w:r>
          </w:p>
        </w:tc>
        <w:tc>
          <w:tcPr>
            <w:tcW w:w="708" w:type="dxa"/>
          </w:tcPr>
          <w:p w:rsidR="003052D4"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120</w:t>
            </w:r>
          </w:p>
        </w:tc>
        <w:tc>
          <w:tcPr>
            <w:tcW w:w="768" w:type="dxa"/>
          </w:tcPr>
          <w:p w:rsidR="003052D4"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240</w:t>
            </w:r>
          </w:p>
        </w:tc>
      </w:tr>
      <w:tr w:rsidR="003052D4" w:rsidTr="00D164CC">
        <w:trPr>
          <w:jc w:val="center"/>
        </w:trPr>
        <w:tc>
          <w:tcPr>
            <w:tcW w:w="3145" w:type="dxa"/>
            <w:shd w:val="clear" w:color="auto" w:fill="auto"/>
          </w:tcPr>
          <w:p w:rsidR="003052D4" w:rsidRPr="006A4FC5" w:rsidRDefault="003052D4" w:rsidP="00D164CC">
            <w:pPr>
              <w:pStyle w:val="00BodyText"/>
              <w:spacing w:after="0"/>
              <w:rPr>
                <w:rFonts w:ascii="Times New Roman" w:hAnsi="Times New Roman"/>
                <w:sz w:val="20"/>
                <w:lang w:val="en-GB"/>
              </w:rPr>
            </w:pPr>
            <w:r w:rsidRPr="006A4FC5">
              <w:rPr>
                <w:rFonts w:ascii="Times New Roman" w:hAnsi="Times New Roman"/>
                <w:sz w:val="20"/>
                <w:lang w:val="en-GB"/>
              </w:rPr>
              <w:t>Cyclic prefix</w:t>
            </w:r>
            <w:r>
              <w:rPr>
                <w:rFonts w:ascii="Times New Roman" w:hAnsi="Times New Roman"/>
                <w:sz w:val="20"/>
                <w:lang w:val="en-GB"/>
              </w:rPr>
              <w:t xml:space="preserve"> [us]</w:t>
            </w:r>
          </w:p>
        </w:tc>
        <w:tc>
          <w:tcPr>
            <w:tcW w:w="679" w:type="dxa"/>
          </w:tcPr>
          <w:p w:rsidR="003052D4" w:rsidRPr="006A4FC5"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4.8</w:t>
            </w:r>
          </w:p>
        </w:tc>
        <w:tc>
          <w:tcPr>
            <w:tcW w:w="755" w:type="dxa"/>
          </w:tcPr>
          <w:p w:rsidR="003052D4" w:rsidRPr="006A4FC5"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2.4</w:t>
            </w:r>
          </w:p>
        </w:tc>
        <w:tc>
          <w:tcPr>
            <w:tcW w:w="851" w:type="dxa"/>
          </w:tcPr>
          <w:p w:rsidR="003052D4" w:rsidRPr="006A4FC5"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1.2</w:t>
            </w:r>
          </w:p>
        </w:tc>
        <w:tc>
          <w:tcPr>
            <w:tcW w:w="550" w:type="dxa"/>
          </w:tcPr>
          <w:p w:rsidR="003052D4"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1.2</w:t>
            </w:r>
          </w:p>
        </w:tc>
        <w:tc>
          <w:tcPr>
            <w:tcW w:w="708" w:type="dxa"/>
          </w:tcPr>
          <w:p w:rsidR="003052D4"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0.6</w:t>
            </w:r>
          </w:p>
        </w:tc>
        <w:tc>
          <w:tcPr>
            <w:tcW w:w="768" w:type="dxa"/>
          </w:tcPr>
          <w:p w:rsidR="003052D4"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0.3</w:t>
            </w:r>
          </w:p>
        </w:tc>
      </w:tr>
    </w:tbl>
    <w:p w:rsidR="003052D4" w:rsidRDefault="003052D4" w:rsidP="003052D4">
      <w:pPr>
        <w:overflowPunct/>
        <w:autoSpaceDE/>
        <w:autoSpaceDN/>
        <w:adjustRightInd/>
        <w:spacing w:after="0"/>
        <w:textAlignment w:val="auto"/>
      </w:pPr>
    </w:p>
    <w:p w:rsidR="00C86179" w:rsidRDefault="00C86179" w:rsidP="003052D4">
      <w:pPr>
        <w:overflowPunct/>
        <w:autoSpaceDE/>
        <w:autoSpaceDN/>
        <w:adjustRightInd/>
        <w:spacing w:after="0"/>
        <w:textAlignment w:val="auto"/>
      </w:pPr>
    </w:p>
    <w:p w:rsidR="00DE2ED2" w:rsidRDefault="003052D4" w:rsidP="00DE2ED2">
      <w:pPr>
        <w:overflowPunct/>
        <w:autoSpaceDE/>
        <w:autoSpaceDN/>
        <w:adjustRightInd/>
        <w:spacing w:after="0"/>
        <w:textAlignment w:val="auto"/>
      </w:pPr>
      <w:r>
        <w:lastRenderedPageBreak/>
        <w:t xml:space="preserve">Direct scaling </w:t>
      </w:r>
      <w:r w:rsidRPr="00376EC0">
        <w:t>from LTE numerology and 15</w:t>
      </w:r>
      <w:r>
        <w:t xml:space="preserve"> </w:t>
      </w:r>
      <w:r w:rsidRPr="00376EC0">
        <w:t>kHz subcarrier spacing to 60</w:t>
      </w:r>
      <w:r>
        <w:t xml:space="preserve"> </w:t>
      </w:r>
      <w:r w:rsidRPr="00376EC0">
        <w:t xml:space="preserve">kHz subcarrier spacing leads to </w:t>
      </w:r>
      <w:r>
        <w:t xml:space="preserve">shortened </w:t>
      </w:r>
      <w:r w:rsidRPr="00376EC0">
        <w:t>cyclic prefix</w:t>
      </w:r>
      <w:r>
        <w:t xml:space="preserve"> length</w:t>
      </w:r>
      <w:r w:rsidRPr="00376EC0">
        <w:t xml:space="preserve"> </w:t>
      </w:r>
      <w:r>
        <w:t>(CP length is 1.2us,</w:t>
      </w:r>
      <w:r w:rsidRPr="00376EC0">
        <w:t xml:space="preserve"> </w:t>
      </w:r>
      <w:r>
        <w:t xml:space="preserve">as indicated in Table 1). If 60 kHz subcarrier spacing is wanted to be deployed in long delay spread channels, this normal CP (NCP) length may be too short and limiting the performance of data reception. </w:t>
      </w:r>
    </w:p>
    <w:p w:rsidR="00DE2ED2" w:rsidRDefault="00DE2ED2" w:rsidP="00DE2ED2">
      <w:pPr>
        <w:overflowPunct/>
        <w:autoSpaceDE/>
        <w:autoSpaceDN/>
        <w:adjustRightInd/>
        <w:spacing w:after="0"/>
        <w:textAlignment w:val="auto"/>
      </w:pPr>
    </w:p>
    <w:p w:rsidR="003052D4" w:rsidRDefault="003052D4" w:rsidP="00DE2ED2">
      <w:pPr>
        <w:overflowPunct/>
        <w:autoSpaceDE/>
        <w:autoSpaceDN/>
        <w:adjustRightInd/>
        <w:spacing w:after="0"/>
        <w:textAlignment w:val="auto"/>
      </w:pPr>
      <w:r>
        <w:t>Using an extended CP (ECP) the signal transmission can be made more robust to long channel delay spread</w:t>
      </w:r>
      <w:r w:rsidR="009E4071">
        <w:t>,</w:t>
      </w:r>
      <w:r w:rsidR="00DE2ED2">
        <w:t xml:space="preserve"> at the expense CP overhead.</w:t>
      </w:r>
      <w:r>
        <w:t xml:space="preserve"> However, while extended CP would provide robustness against channel delay spread, additionally dense placement of DMRS symbols in frequency domain may be needed to ensure that channel estimation is not compromised due to too sparse channel measurement points in frequency.</w:t>
      </w:r>
      <w:r w:rsidR="00987B0E">
        <w:t xml:space="preserve"> </w:t>
      </w:r>
    </w:p>
    <w:p w:rsidR="00987B0E" w:rsidRPr="00001D6D" w:rsidRDefault="00001D6D" w:rsidP="00001D6D">
      <w:pPr>
        <w:pStyle w:val="Heading1"/>
      </w:pPr>
      <w:r>
        <w:t>3</w:t>
      </w:r>
      <w:r>
        <w:tab/>
      </w:r>
      <w:r w:rsidR="00987B0E" w:rsidRPr="00001D6D">
        <w:t>E</w:t>
      </w:r>
      <w:r>
        <w:t xml:space="preserve">xtended </w:t>
      </w:r>
      <w:r w:rsidR="00987B0E" w:rsidRPr="00001D6D">
        <w:t>CP options</w:t>
      </w:r>
      <w:r w:rsidRPr="00001D6D">
        <w:t xml:space="preserve"> for </w:t>
      </w:r>
      <w:r w:rsidR="007E6833">
        <w:t xml:space="preserve">60 kHz SCS </w:t>
      </w:r>
      <w:r w:rsidRPr="00001D6D">
        <w:t>slot</w:t>
      </w:r>
    </w:p>
    <w:p w:rsidR="00B44B60" w:rsidRDefault="00B44B60" w:rsidP="00DE2ED2">
      <w:r>
        <w:t>Due to the desire to have a compatible ECP design for both the slot and the mini-slot we first investigate the ECP design for slot, and show performance analysis made for slot-based design.</w:t>
      </w:r>
      <w:r w:rsidR="007F5DD3">
        <w:t xml:space="preserve"> This is also in</w:t>
      </w:r>
      <w:r w:rsidR="007A54AB">
        <w:t xml:space="preserve"> </w:t>
      </w:r>
      <w:r w:rsidR="007F5DD3">
        <w:t>line with the agreement made in RAN1#86bis “</w:t>
      </w:r>
      <w:r w:rsidR="007F5DD3" w:rsidRPr="00F46F8C">
        <w:rPr>
          <w:i/>
        </w:rPr>
        <w:t>Extended CP will be only one in given subcarrier spacing</w:t>
      </w:r>
      <w:r w:rsidR="007F5DD3">
        <w:t>”.</w:t>
      </w:r>
    </w:p>
    <w:p w:rsidR="00FA7845" w:rsidRDefault="00987B0E" w:rsidP="00DE2ED2">
      <w:r>
        <w:t xml:space="preserve">Based on the </w:t>
      </w:r>
      <w:r w:rsidR="00DE2ED2">
        <w:t>previous agreements, the slot length in the case of normal CP can be either 7 or 14. From CP overhead point of view the most reasonable CP length options for would be the following:</w:t>
      </w:r>
    </w:p>
    <w:p w:rsidR="00FA7845" w:rsidRDefault="00A75ACC" w:rsidP="00B44B60">
      <w:pPr>
        <w:pStyle w:val="Caption"/>
        <w:jc w:val="center"/>
      </w:pPr>
      <w:r>
        <w:t xml:space="preserve">Table </w:t>
      </w:r>
      <w:r w:rsidR="00E317D9">
        <w:fldChar w:fldCharType="begin"/>
      </w:r>
      <w:r w:rsidR="00E317D9">
        <w:instrText xml:space="preserve"> SEQ Table \* ARABIC </w:instrText>
      </w:r>
      <w:r w:rsidR="00E317D9">
        <w:fldChar w:fldCharType="separate"/>
      </w:r>
      <w:r>
        <w:t>2</w:t>
      </w:r>
      <w:r w:rsidR="00E317D9">
        <w:fldChar w:fldCharType="end"/>
      </w:r>
      <w:r w:rsidR="007A54AB" w:rsidRPr="007E6833">
        <w:rPr>
          <w:lang w:val="en-US"/>
        </w:rPr>
        <w:t>:</w:t>
      </w:r>
      <w:r>
        <w:t xml:space="preserve"> ECP options with y=7 and y=14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1134"/>
      </w:tblGrid>
      <w:tr w:rsidR="00A75ACC" w:rsidRPr="00383A78" w:rsidTr="00A75ACC">
        <w:trPr>
          <w:jc w:val="center"/>
        </w:trPr>
        <w:tc>
          <w:tcPr>
            <w:tcW w:w="1129" w:type="dxa"/>
            <w:vMerge w:val="restart"/>
            <w:shd w:val="clear" w:color="auto" w:fill="D9D9D9" w:themeFill="background1" w:themeFillShade="D9"/>
          </w:tcPr>
          <w:p w:rsidR="00A75ACC" w:rsidRPr="00A75ACC" w:rsidRDefault="00A75ACC" w:rsidP="00D164CC">
            <w:pPr>
              <w:pStyle w:val="00BodyText"/>
              <w:spacing w:after="0"/>
              <w:rPr>
                <w:b/>
                <w:sz w:val="20"/>
                <w:lang w:val="fi-FI"/>
              </w:rPr>
            </w:pPr>
            <w:r w:rsidRPr="00A75ACC">
              <w:rPr>
                <w:b/>
                <w:sz w:val="20"/>
                <w:lang w:val="fi-FI"/>
              </w:rPr>
              <w:t>NCP</w:t>
            </w:r>
          </w:p>
        </w:tc>
        <w:tc>
          <w:tcPr>
            <w:tcW w:w="2410" w:type="dxa"/>
            <w:gridSpan w:val="2"/>
            <w:shd w:val="clear" w:color="auto" w:fill="D9D9D9" w:themeFill="background1" w:themeFillShade="D9"/>
          </w:tcPr>
          <w:p w:rsidR="00A75ACC" w:rsidRPr="00A75ACC" w:rsidRDefault="00A75ACC" w:rsidP="00D164CC">
            <w:pPr>
              <w:pStyle w:val="00BodyText"/>
              <w:spacing w:after="0"/>
              <w:jc w:val="center"/>
              <w:rPr>
                <w:rFonts w:ascii="Times New Roman" w:hAnsi="Times New Roman"/>
                <w:b/>
                <w:sz w:val="20"/>
                <w:lang w:val="en-GB"/>
              </w:rPr>
            </w:pPr>
            <w:r w:rsidRPr="00A75ACC">
              <w:rPr>
                <w:rFonts w:ascii="Times New Roman" w:hAnsi="Times New Roman"/>
                <w:b/>
                <w:sz w:val="20"/>
                <w:lang w:val="en-GB"/>
              </w:rPr>
              <w:t>ECP</w:t>
            </w:r>
          </w:p>
        </w:tc>
      </w:tr>
      <w:tr w:rsidR="00A75ACC" w:rsidTr="00A75ACC">
        <w:trPr>
          <w:jc w:val="center"/>
        </w:trPr>
        <w:tc>
          <w:tcPr>
            <w:tcW w:w="1129" w:type="dxa"/>
            <w:vMerge/>
            <w:shd w:val="clear" w:color="auto" w:fill="D9D9D9" w:themeFill="background1" w:themeFillShade="D9"/>
          </w:tcPr>
          <w:p w:rsidR="00A75ACC" w:rsidRPr="006A4FC5" w:rsidRDefault="00A75ACC" w:rsidP="00D164CC">
            <w:pPr>
              <w:pStyle w:val="00BodyText"/>
              <w:spacing w:after="0"/>
              <w:rPr>
                <w:rFonts w:ascii="Times New Roman" w:hAnsi="Times New Roman"/>
                <w:sz w:val="20"/>
                <w:lang w:val="en-GB"/>
              </w:rPr>
            </w:pPr>
          </w:p>
        </w:tc>
        <w:tc>
          <w:tcPr>
            <w:tcW w:w="1276" w:type="dxa"/>
            <w:shd w:val="clear" w:color="auto" w:fill="D9D9D9" w:themeFill="background1" w:themeFillShade="D9"/>
          </w:tcPr>
          <w:p w:rsidR="00A75ACC" w:rsidRPr="006A4FC5" w:rsidRDefault="00A75ACC" w:rsidP="00A75ACC">
            <w:pPr>
              <w:pStyle w:val="00BodyText"/>
              <w:spacing w:after="0"/>
              <w:jc w:val="center"/>
              <w:rPr>
                <w:rFonts w:ascii="Times New Roman" w:hAnsi="Times New Roman"/>
                <w:sz w:val="20"/>
                <w:lang w:val="en-GB"/>
              </w:rPr>
            </w:pPr>
            <w:r>
              <w:rPr>
                <w:rFonts w:ascii="Times New Roman" w:hAnsi="Times New Roman"/>
                <w:sz w:val="20"/>
                <w:lang w:val="en-GB"/>
              </w:rPr>
              <w:t>Opt#1</w:t>
            </w:r>
          </w:p>
        </w:tc>
        <w:tc>
          <w:tcPr>
            <w:tcW w:w="1134" w:type="dxa"/>
            <w:shd w:val="clear" w:color="auto" w:fill="D9D9D9" w:themeFill="background1" w:themeFillShade="D9"/>
          </w:tcPr>
          <w:p w:rsidR="00A75ACC" w:rsidRDefault="00A75ACC" w:rsidP="00A75ACC">
            <w:pPr>
              <w:pStyle w:val="00BodyText"/>
              <w:spacing w:after="0"/>
              <w:jc w:val="center"/>
              <w:rPr>
                <w:rFonts w:ascii="Times New Roman" w:hAnsi="Times New Roman"/>
                <w:sz w:val="20"/>
                <w:lang w:val="en-GB"/>
              </w:rPr>
            </w:pPr>
            <w:r>
              <w:rPr>
                <w:rFonts w:ascii="Times New Roman" w:hAnsi="Times New Roman"/>
                <w:sz w:val="20"/>
                <w:lang w:val="en-GB"/>
              </w:rPr>
              <w:t>Opt#2</w:t>
            </w:r>
          </w:p>
        </w:tc>
      </w:tr>
      <w:tr w:rsidR="00A75ACC" w:rsidTr="00A75ACC">
        <w:trPr>
          <w:jc w:val="center"/>
        </w:trPr>
        <w:tc>
          <w:tcPr>
            <w:tcW w:w="1129" w:type="dxa"/>
            <w:shd w:val="clear" w:color="auto" w:fill="auto"/>
          </w:tcPr>
          <w:p w:rsidR="00A75ACC" w:rsidRPr="006A4FC5" w:rsidRDefault="00A75ACC" w:rsidP="00A75ACC">
            <w:pPr>
              <w:pStyle w:val="00BodyText"/>
              <w:spacing w:after="0"/>
              <w:rPr>
                <w:rFonts w:ascii="Times New Roman" w:hAnsi="Times New Roman"/>
                <w:sz w:val="20"/>
                <w:lang w:val="en-GB"/>
              </w:rPr>
            </w:pPr>
            <w:r>
              <w:rPr>
                <w:rFonts w:ascii="Times New Roman" w:hAnsi="Times New Roman"/>
                <w:sz w:val="20"/>
                <w:lang w:val="en-GB"/>
              </w:rPr>
              <w:t>y=7</w:t>
            </w:r>
          </w:p>
        </w:tc>
        <w:tc>
          <w:tcPr>
            <w:tcW w:w="1276" w:type="dxa"/>
          </w:tcPr>
          <w:p w:rsidR="00A75ACC" w:rsidRPr="006A4FC5" w:rsidRDefault="00A75ACC" w:rsidP="00A75ACC">
            <w:pPr>
              <w:pStyle w:val="00BodyText"/>
              <w:spacing w:after="0"/>
              <w:jc w:val="center"/>
              <w:rPr>
                <w:rFonts w:ascii="Times New Roman" w:hAnsi="Times New Roman"/>
                <w:sz w:val="20"/>
                <w:lang w:val="en-GB"/>
              </w:rPr>
            </w:pPr>
            <w:r>
              <w:rPr>
                <w:rFonts w:ascii="Times New Roman" w:hAnsi="Times New Roman"/>
                <w:sz w:val="20"/>
                <w:lang w:val="en-GB"/>
              </w:rPr>
              <w:t>y=6</w:t>
            </w:r>
          </w:p>
        </w:tc>
        <w:tc>
          <w:tcPr>
            <w:tcW w:w="1134" w:type="dxa"/>
          </w:tcPr>
          <w:p w:rsidR="00A75ACC" w:rsidRDefault="00A75ACC" w:rsidP="00A75ACC">
            <w:pPr>
              <w:pStyle w:val="00BodyText"/>
              <w:spacing w:after="0"/>
              <w:jc w:val="center"/>
              <w:rPr>
                <w:rFonts w:ascii="Times New Roman" w:hAnsi="Times New Roman"/>
                <w:sz w:val="20"/>
                <w:lang w:val="en-GB"/>
              </w:rPr>
            </w:pPr>
            <w:r>
              <w:rPr>
                <w:rFonts w:ascii="Times New Roman" w:hAnsi="Times New Roman"/>
                <w:sz w:val="20"/>
                <w:lang w:val="en-GB"/>
              </w:rPr>
              <w:t>y=6</w:t>
            </w:r>
          </w:p>
        </w:tc>
      </w:tr>
      <w:tr w:rsidR="00A75ACC" w:rsidTr="00A75ACC">
        <w:trPr>
          <w:jc w:val="center"/>
        </w:trPr>
        <w:tc>
          <w:tcPr>
            <w:tcW w:w="1129" w:type="dxa"/>
            <w:shd w:val="clear" w:color="auto" w:fill="auto"/>
          </w:tcPr>
          <w:p w:rsidR="00A75ACC" w:rsidRPr="006A4FC5" w:rsidRDefault="00A75ACC" w:rsidP="00A75ACC">
            <w:pPr>
              <w:pStyle w:val="00BodyText"/>
              <w:spacing w:after="0"/>
              <w:rPr>
                <w:rFonts w:ascii="Times New Roman" w:hAnsi="Times New Roman"/>
                <w:sz w:val="20"/>
                <w:lang w:val="en-GB"/>
              </w:rPr>
            </w:pPr>
            <w:r>
              <w:rPr>
                <w:rFonts w:ascii="Times New Roman" w:hAnsi="Times New Roman"/>
                <w:sz w:val="20"/>
                <w:lang w:val="en-GB"/>
              </w:rPr>
              <w:t>y=14</w:t>
            </w:r>
          </w:p>
        </w:tc>
        <w:tc>
          <w:tcPr>
            <w:tcW w:w="1276" w:type="dxa"/>
          </w:tcPr>
          <w:p w:rsidR="00A75ACC" w:rsidRPr="006A4FC5" w:rsidRDefault="00A75ACC" w:rsidP="00A75ACC">
            <w:pPr>
              <w:pStyle w:val="00BodyText"/>
              <w:spacing w:after="0"/>
              <w:jc w:val="center"/>
              <w:rPr>
                <w:rFonts w:ascii="Times New Roman" w:hAnsi="Times New Roman"/>
                <w:sz w:val="20"/>
                <w:lang w:val="en-GB"/>
              </w:rPr>
            </w:pPr>
            <w:r>
              <w:rPr>
                <w:rFonts w:ascii="Times New Roman" w:hAnsi="Times New Roman"/>
                <w:sz w:val="20"/>
                <w:lang w:val="en-GB"/>
              </w:rPr>
              <w:t>y=12</w:t>
            </w:r>
          </w:p>
        </w:tc>
        <w:tc>
          <w:tcPr>
            <w:tcW w:w="1134" w:type="dxa"/>
          </w:tcPr>
          <w:p w:rsidR="00A75ACC" w:rsidRDefault="00A75ACC" w:rsidP="00A75ACC">
            <w:pPr>
              <w:pStyle w:val="00BodyText"/>
              <w:spacing w:after="0"/>
              <w:jc w:val="center"/>
              <w:rPr>
                <w:rFonts w:ascii="Times New Roman" w:hAnsi="Times New Roman"/>
                <w:sz w:val="20"/>
                <w:lang w:val="en-GB"/>
              </w:rPr>
            </w:pPr>
            <w:r>
              <w:rPr>
                <w:rFonts w:ascii="Times New Roman" w:hAnsi="Times New Roman"/>
                <w:sz w:val="20"/>
                <w:lang w:val="en-GB"/>
              </w:rPr>
              <w:t>y=[12, 13]</w:t>
            </w:r>
          </w:p>
        </w:tc>
      </w:tr>
    </w:tbl>
    <w:p w:rsidR="00DE2ED2" w:rsidRDefault="00DE2ED2" w:rsidP="00DE2ED2"/>
    <w:p w:rsidR="00771037" w:rsidRDefault="00987B0E" w:rsidP="00771037">
      <w:pPr>
        <w:spacing w:after="0"/>
      </w:pPr>
      <w:r>
        <w:t xml:space="preserve">In the following we consider </w:t>
      </w:r>
      <w:r w:rsidR="00A75ACC">
        <w:t xml:space="preserve">the feasibility of these </w:t>
      </w:r>
      <w:r>
        <w:t xml:space="preserve">options in TDL-C-1000ns channel (worst case scenario from delay spread point of view) assuming 60 kHz subcarrier spacing. </w:t>
      </w:r>
      <w:r w:rsidR="00A75ACC">
        <w:t>Figure 1 shows the power delay profile of TDL-C-1000ns channel and CP length with different options.</w:t>
      </w:r>
    </w:p>
    <w:p w:rsidR="00771037" w:rsidRPr="00771037" w:rsidRDefault="00771037" w:rsidP="00771037">
      <w:pPr>
        <w:pStyle w:val="ListParagraph"/>
        <w:numPr>
          <w:ilvl w:val="0"/>
          <w:numId w:val="9"/>
        </w:numPr>
      </w:pPr>
      <w:r>
        <w:rPr>
          <w:sz w:val="20"/>
        </w:rPr>
        <w:t>NCP with CP length 1.17 us</w:t>
      </w:r>
    </w:p>
    <w:p w:rsidR="00771037" w:rsidRPr="00247FCE" w:rsidRDefault="00771037" w:rsidP="00771037">
      <w:pPr>
        <w:pStyle w:val="ListParagraph"/>
        <w:numPr>
          <w:ilvl w:val="0"/>
          <w:numId w:val="9"/>
        </w:numPr>
        <w:rPr>
          <w:lang w:val="en-US"/>
        </w:rPr>
      </w:pPr>
      <w:r w:rsidRPr="00247FCE">
        <w:rPr>
          <w:sz w:val="20"/>
          <w:lang w:val="en-US"/>
        </w:rPr>
        <w:t>ECP</w:t>
      </w:r>
      <w:r w:rsidR="00247FCE" w:rsidRPr="00247FCE">
        <w:rPr>
          <w:sz w:val="20"/>
          <w:lang w:val="en-US"/>
        </w:rPr>
        <w:t xml:space="preserve"> with 13 symbols per slot (ECP13)</w:t>
      </w:r>
      <w:r w:rsidRPr="00247FCE">
        <w:rPr>
          <w:sz w:val="20"/>
          <w:lang w:val="en-US"/>
        </w:rPr>
        <w:t xml:space="preserve"> with CP length 2.56 us</w:t>
      </w:r>
    </w:p>
    <w:p w:rsidR="00771037" w:rsidRPr="00771037" w:rsidRDefault="00247FCE" w:rsidP="00771037">
      <w:pPr>
        <w:pStyle w:val="ListParagraph"/>
        <w:numPr>
          <w:ilvl w:val="0"/>
          <w:numId w:val="9"/>
        </w:numPr>
        <w:rPr>
          <w:lang w:val="en-US"/>
        </w:rPr>
      </w:pPr>
      <w:r>
        <w:rPr>
          <w:sz w:val="20"/>
          <w:lang w:val="en-US"/>
        </w:rPr>
        <w:t>ECP with 6 or 12 symbols per slot (</w:t>
      </w:r>
      <w:r w:rsidR="00771037" w:rsidRPr="00771037">
        <w:rPr>
          <w:sz w:val="20"/>
          <w:lang w:val="en-US"/>
        </w:rPr>
        <w:t>ECP6, ECP12</w:t>
      </w:r>
      <w:r>
        <w:rPr>
          <w:sz w:val="20"/>
          <w:lang w:val="en-US"/>
        </w:rPr>
        <w:t>)</w:t>
      </w:r>
      <w:r w:rsidR="00771037" w:rsidRPr="00771037">
        <w:rPr>
          <w:sz w:val="20"/>
          <w:lang w:val="en-US"/>
        </w:rPr>
        <w:t xml:space="preserve"> with CP length 4.</w:t>
      </w:r>
      <w:r w:rsidR="00771037">
        <w:rPr>
          <w:sz w:val="20"/>
          <w:lang w:val="en-US"/>
        </w:rPr>
        <w:t>17us.</w:t>
      </w:r>
    </w:p>
    <w:p w:rsidR="00987B0E" w:rsidRDefault="005F0918" w:rsidP="00987B0E">
      <w:pPr>
        <w:keepNext/>
        <w:jc w:val="center"/>
      </w:pPr>
      <w:r w:rsidRPr="005F0918">
        <w:rPr>
          <w:noProof/>
          <w:lang w:val="fi-FI" w:eastAsia="fi-FI"/>
        </w:rPr>
        <w:drawing>
          <wp:inline distT="0" distB="0" distL="0" distR="0">
            <wp:extent cx="4827251" cy="28068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6113" cy="2823592"/>
                    </a:xfrm>
                    <a:prstGeom prst="rect">
                      <a:avLst/>
                    </a:prstGeom>
                    <a:noFill/>
                    <a:ln>
                      <a:noFill/>
                    </a:ln>
                  </pic:spPr>
                </pic:pic>
              </a:graphicData>
            </a:graphic>
          </wp:inline>
        </w:drawing>
      </w:r>
    </w:p>
    <w:p w:rsidR="003052D4" w:rsidRDefault="00987B0E" w:rsidP="00987B0E">
      <w:pPr>
        <w:pStyle w:val="Caption"/>
        <w:jc w:val="center"/>
        <w:rPr>
          <w:lang w:val="en-US"/>
        </w:rPr>
      </w:pPr>
      <w:r>
        <w:t xml:space="preserve">Figure </w:t>
      </w:r>
      <w:r w:rsidR="00E317D9">
        <w:fldChar w:fldCharType="begin"/>
      </w:r>
      <w:r w:rsidR="00E317D9">
        <w:instrText xml:space="preserve"> SEQ Figure \* ARABIC </w:instrText>
      </w:r>
      <w:r w:rsidR="00E317D9">
        <w:fldChar w:fldCharType="separate"/>
      </w:r>
      <w:r>
        <w:rPr>
          <w:noProof/>
        </w:rPr>
        <w:t>1</w:t>
      </w:r>
      <w:r w:rsidR="00E317D9">
        <w:rPr>
          <w:noProof/>
        </w:rPr>
        <w:fldChar w:fldCharType="end"/>
      </w:r>
      <w:r w:rsidRPr="00987B0E">
        <w:rPr>
          <w:lang w:val="en-US"/>
        </w:rPr>
        <w:t>. Power delay profile of TDL-C-1000ns channel</w:t>
      </w:r>
    </w:p>
    <w:p w:rsidR="00A75ACC" w:rsidRDefault="00A75ACC" w:rsidP="00A75ACC">
      <w:pPr>
        <w:rPr>
          <w:lang w:val="en-US" w:eastAsia="x-none"/>
        </w:rPr>
      </w:pPr>
    </w:p>
    <w:p w:rsidR="00B6575E" w:rsidRDefault="00B6575E" w:rsidP="00B6575E">
      <w:pPr>
        <w:rPr>
          <w:lang w:val="en-US" w:eastAsia="x-none"/>
        </w:rPr>
      </w:pPr>
      <w:r>
        <w:rPr>
          <w:lang w:val="en-US" w:eastAsia="x-none"/>
        </w:rPr>
        <w:t xml:space="preserve">Figure 2 illustrates the achievable SINR with 60 </w:t>
      </w:r>
      <w:r w:rsidRPr="00A75ACC">
        <w:rPr>
          <w:lang w:val="en-US" w:eastAsia="x-none"/>
        </w:rPr>
        <w:t>kHz SCS in TDL-C-1000ns channel</w:t>
      </w:r>
      <w:r>
        <w:rPr>
          <w:lang w:val="en-US" w:eastAsia="x-none"/>
        </w:rPr>
        <w:t xml:space="preserve"> taking into account the ICI due to excessive delay spread beyond CP.</w:t>
      </w:r>
      <w:r w:rsidR="00247FCE">
        <w:rPr>
          <w:lang w:val="en-US" w:eastAsia="x-none"/>
        </w:rPr>
        <w:t xml:space="preserve"> It has been analyzed according to</w:t>
      </w:r>
      <w:r w:rsidR="00D451FA">
        <w:rPr>
          <w:lang w:val="en-US" w:eastAsia="x-none"/>
        </w:rPr>
        <w:t xml:space="preserve"> [7</w:t>
      </w:r>
      <w:r w:rsidR="00247FCE">
        <w:rPr>
          <w:lang w:val="en-US" w:eastAsia="x-none"/>
        </w:rPr>
        <w:t>].</w:t>
      </w:r>
      <w:r>
        <w:rPr>
          <w:lang w:val="en-US" w:eastAsia="x-none"/>
        </w:rPr>
        <w:t xml:space="preserve"> It can be noted that SINR floor due to large delay spread starts to affect the achievable SINR at high SNR values (SNR &gt;15 dB). This has an impact especially to URLLC performance a</w:t>
      </w:r>
      <w:r w:rsidR="00D451FA">
        <w:rPr>
          <w:lang w:val="en-US" w:eastAsia="x-none"/>
        </w:rPr>
        <w:t>t high SNR values as shown in [5</w:t>
      </w:r>
      <w:r>
        <w:rPr>
          <w:lang w:val="en-US" w:eastAsia="x-none"/>
        </w:rPr>
        <w:t>]</w:t>
      </w:r>
      <w:r w:rsidR="00001D6D">
        <w:rPr>
          <w:lang w:val="en-US" w:eastAsia="x-none"/>
        </w:rPr>
        <w:t xml:space="preserve"> and included in the Annex of this document</w:t>
      </w:r>
      <w:r>
        <w:rPr>
          <w:lang w:val="en-US" w:eastAsia="x-none"/>
        </w:rPr>
        <w:t xml:space="preserve">. </w:t>
      </w:r>
    </w:p>
    <w:p w:rsidR="00363BAC" w:rsidRDefault="00363BAC" w:rsidP="00247FCE">
      <w:pPr>
        <w:spacing w:after="0"/>
        <w:rPr>
          <w:lang w:val="en-US" w:eastAsia="x-none"/>
        </w:rPr>
      </w:pPr>
      <w:r>
        <w:rPr>
          <w:lang w:val="en-US" w:eastAsia="x-none"/>
        </w:rPr>
        <w:lastRenderedPageBreak/>
        <w:t xml:space="preserve">When comparing </w:t>
      </w:r>
      <w:r w:rsidR="00B6575E">
        <w:rPr>
          <w:lang w:val="en-US" w:eastAsia="x-none"/>
        </w:rPr>
        <w:t>ECP with 13 symbols/slot (ECP13) and ECP with 6 symbols/slo</w:t>
      </w:r>
      <w:r w:rsidR="00247FCE">
        <w:rPr>
          <w:lang w:val="en-US" w:eastAsia="x-none"/>
        </w:rPr>
        <w:t>t</w:t>
      </w:r>
      <w:r w:rsidR="00B6575E">
        <w:rPr>
          <w:lang w:val="en-US" w:eastAsia="x-none"/>
        </w:rPr>
        <w:t xml:space="preserve"> (ECP6)</w:t>
      </w:r>
      <w:r>
        <w:rPr>
          <w:lang w:val="en-US" w:eastAsia="x-none"/>
        </w:rPr>
        <w:t>, it can be noted that ECP13 does not support URLLC latency target</w:t>
      </w:r>
      <w:r w:rsidR="00B6575E">
        <w:rPr>
          <w:lang w:val="en-US" w:eastAsia="x-none"/>
        </w:rPr>
        <w:t>s</w:t>
      </w:r>
      <w:r>
        <w:rPr>
          <w:lang w:val="en-US" w:eastAsia="x-none"/>
        </w:rPr>
        <w:t xml:space="preserve"> with 60 kHz SCS. Hence, it’s not a good option for URLLC. On the other hand, the SINR floor difference between ECP13 and NCP is only about 2.5 dB</w:t>
      </w:r>
      <w:r w:rsidR="007A60BC">
        <w:rPr>
          <w:lang w:val="en-US" w:eastAsia="x-none"/>
        </w:rPr>
        <w:t>. This indicates that</w:t>
      </w:r>
      <w:r w:rsidR="00BC1534">
        <w:rPr>
          <w:lang w:val="en-US" w:eastAsia="x-none"/>
        </w:rPr>
        <w:t>,</w:t>
      </w:r>
      <w:r w:rsidR="00100250">
        <w:rPr>
          <w:lang w:val="en-US" w:eastAsia="x-none"/>
        </w:rPr>
        <w:t xml:space="preserve"> even though ECP13 benefits from 0.35 dB processing gain compared to ECP6 (or ECP12), it can be seen</w:t>
      </w:r>
      <w:r w:rsidR="007A60BC">
        <w:rPr>
          <w:lang w:val="en-US" w:eastAsia="x-none"/>
        </w:rPr>
        <w:t xml:space="preserve"> just a partial solution for a limited SNR range</w:t>
      </w:r>
      <w:r w:rsidR="00247FCE">
        <w:rPr>
          <w:lang w:val="en-US" w:eastAsia="x-none"/>
        </w:rPr>
        <w:t xml:space="preserve"> </w:t>
      </w:r>
      <w:r w:rsidR="00BC1534">
        <w:rPr>
          <w:lang w:val="en-US" w:eastAsia="x-none"/>
        </w:rPr>
        <w:t>for</w:t>
      </w:r>
      <w:r w:rsidR="00100250">
        <w:rPr>
          <w:lang w:val="en-US" w:eastAsia="x-none"/>
        </w:rPr>
        <w:t xml:space="preserve"> the</w:t>
      </w:r>
      <w:r w:rsidR="00B6575E">
        <w:rPr>
          <w:lang w:val="en-US" w:eastAsia="x-none"/>
        </w:rPr>
        <w:t xml:space="preserve"> scenarios with large delay spread (such as TDL-C-10</w:t>
      </w:r>
      <w:r w:rsidR="00BC1534">
        <w:rPr>
          <w:lang w:val="en-US" w:eastAsia="x-none"/>
        </w:rPr>
        <w:t>0</w:t>
      </w:r>
      <w:r w:rsidR="00B6575E">
        <w:rPr>
          <w:lang w:val="en-US" w:eastAsia="x-none"/>
        </w:rPr>
        <w:t>0ns)</w:t>
      </w:r>
      <w:r w:rsidR="009C3D02">
        <w:rPr>
          <w:lang w:val="en-US" w:eastAsia="x-none"/>
        </w:rPr>
        <w:t xml:space="preserve">: when </w:t>
      </w:r>
      <w:r w:rsidR="007A60BC">
        <w:rPr>
          <w:lang w:val="en-US" w:eastAsia="x-none"/>
        </w:rPr>
        <w:t>S</w:t>
      </w:r>
      <w:r w:rsidR="009C3D02">
        <w:rPr>
          <w:lang w:val="en-US" w:eastAsia="x-none"/>
        </w:rPr>
        <w:t>I</w:t>
      </w:r>
      <w:r w:rsidR="007A60BC">
        <w:rPr>
          <w:lang w:val="en-US" w:eastAsia="x-none"/>
        </w:rPr>
        <w:t>NR&gt;20 dB is required with 60 kHz</w:t>
      </w:r>
      <w:r w:rsidR="00B6575E">
        <w:rPr>
          <w:lang w:val="en-US" w:eastAsia="x-none"/>
        </w:rPr>
        <w:t xml:space="preserve"> SCS</w:t>
      </w:r>
      <w:r w:rsidR="007A60BC">
        <w:rPr>
          <w:lang w:val="en-US" w:eastAsia="x-none"/>
        </w:rPr>
        <w:t xml:space="preserve">, then ECP6 </w:t>
      </w:r>
      <w:r w:rsidR="00B6575E">
        <w:rPr>
          <w:lang w:val="en-US" w:eastAsia="x-none"/>
        </w:rPr>
        <w:t xml:space="preserve">(or ECP12) </w:t>
      </w:r>
      <w:r w:rsidR="007A60BC">
        <w:rPr>
          <w:lang w:val="en-US" w:eastAsia="x-none"/>
        </w:rPr>
        <w:t>needs to be applied.</w:t>
      </w:r>
      <w:r w:rsidR="00100250">
        <w:rPr>
          <w:lang w:val="en-US" w:eastAsia="x-none"/>
        </w:rPr>
        <w:t xml:space="preserve"> </w:t>
      </w:r>
    </w:p>
    <w:p w:rsidR="00B6575E" w:rsidRDefault="00B6575E" w:rsidP="00363BAC">
      <w:pPr>
        <w:rPr>
          <w:lang w:val="en-US" w:eastAsia="x-none"/>
        </w:rPr>
      </w:pPr>
    </w:p>
    <w:p w:rsidR="00B6575E" w:rsidRDefault="00B6575E" w:rsidP="00B6575E">
      <w:pPr>
        <w:jc w:val="center"/>
        <w:rPr>
          <w:lang w:val="en-US" w:eastAsia="ja-JP"/>
        </w:rPr>
      </w:pPr>
      <w:r w:rsidRPr="00A75ACC">
        <w:rPr>
          <w:noProof/>
          <w:lang w:val="fi-FI" w:eastAsia="fi-FI"/>
        </w:rPr>
        <w:drawing>
          <wp:inline distT="0" distB="0" distL="0" distR="0" wp14:anchorId="3DB4060F" wp14:editId="3E593515">
            <wp:extent cx="6423506" cy="31483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718"/>
                    <a:stretch/>
                  </pic:blipFill>
                  <pic:spPr bwMode="auto">
                    <a:xfrm>
                      <a:off x="0" y="0"/>
                      <a:ext cx="6554788" cy="3212675"/>
                    </a:xfrm>
                    <a:prstGeom prst="rect">
                      <a:avLst/>
                    </a:prstGeom>
                    <a:noFill/>
                    <a:ln>
                      <a:noFill/>
                    </a:ln>
                    <a:extLst>
                      <a:ext uri="{53640926-AAD7-44D8-BBD7-CCE9431645EC}">
                        <a14:shadowObscured xmlns:a14="http://schemas.microsoft.com/office/drawing/2010/main"/>
                      </a:ext>
                    </a:extLst>
                  </pic:spPr>
                </pic:pic>
              </a:graphicData>
            </a:graphic>
          </wp:inline>
        </w:drawing>
      </w:r>
    </w:p>
    <w:p w:rsidR="00B6575E" w:rsidRPr="00987B0E" w:rsidRDefault="00B6575E" w:rsidP="00B6575E">
      <w:pPr>
        <w:pStyle w:val="Caption"/>
        <w:tabs>
          <w:tab w:val="left" w:pos="3828"/>
        </w:tabs>
        <w:jc w:val="center"/>
        <w:rPr>
          <w:lang w:val="en-US" w:eastAsia="ja-JP"/>
        </w:rPr>
      </w:pPr>
      <w:r>
        <w:t xml:space="preserve">Figure </w:t>
      </w:r>
      <w:r w:rsidR="00E317D9">
        <w:fldChar w:fldCharType="begin"/>
      </w:r>
      <w:r w:rsidR="00E317D9">
        <w:instrText xml:space="preserve"> SEQ Figure \* ARABIC </w:instrText>
      </w:r>
      <w:r w:rsidR="00E317D9">
        <w:fldChar w:fldCharType="separate"/>
      </w:r>
      <w:r>
        <w:rPr>
          <w:noProof/>
        </w:rPr>
        <w:t>2</w:t>
      </w:r>
      <w:r w:rsidR="00E317D9">
        <w:rPr>
          <w:noProof/>
        </w:rPr>
        <w:fldChar w:fldCharType="end"/>
      </w:r>
      <w:r w:rsidRPr="00987B0E">
        <w:rPr>
          <w:lang w:val="en-US"/>
        </w:rPr>
        <w:t xml:space="preserve">. </w:t>
      </w:r>
      <w:r>
        <w:rPr>
          <w:lang w:val="en-US"/>
        </w:rPr>
        <w:t>Achievable SINR with 60 kHz SCS in TDL-C-1000ns channel</w:t>
      </w:r>
    </w:p>
    <w:p w:rsidR="007F5DD3" w:rsidRDefault="007F5DD3" w:rsidP="00247FCE">
      <w:pPr>
        <w:spacing w:after="120"/>
        <w:jc w:val="both"/>
        <w:rPr>
          <w:b/>
        </w:rPr>
      </w:pPr>
    </w:p>
    <w:p w:rsidR="007F5DD3" w:rsidRPr="007F5DD3" w:rsidRDefault="007F5DD3" w:rsidP="00247FCE">
      <w:pPr>
        <w:spacing w:after="120"/>
        <w:jc w:val="both"/>
      </w:pPr>
      <w:r>
        <w:t>Based on the above, the following observations are made:</w:t>
      </w:r>
    </w:p>
    <w:p w:rsidR="00247FCE" w:rsidRDefault="007F5DD3" w:rsidP="00247FCE">
      <w:pPr>
        <w:spacing w:after="120"/>
        <w:jc w:val="both"/>
      </w:pPr>
      <w:r>
        <w:rPr>
          <w:b/>
        </w:rPr>
        <w:t>Observation 1</w:t>
      </w:r>
      <w:r w:rsidR="00247FCE">
        <w:rPr>
          <w:b/>
        </w:rPr>
        <w:t xml:space="preserve">: </w:t>
      </w:r>
      <w:r>
        <w:t>The 6-symbol (LTE-based) ECP design for 60 kHz SCS reaches closer to the 15 kHz SCS NCP performance than the 13-symbol ECP design</w:t>
      </w:r>
    </w:p>
    <w:p w:rsidR="007F5DD3" w:rsidRDefault="007F5DD3" w:rsidP="00247FCE">
      <w:pPr>
        <w:spacing w:after="120"/>
        <w:jc w:val="both"/>
      </w:pPr>
      <w:r>
        <w:rPr>
          <w:b/>
        </w:rPr>
        <w:t xml:space="preserve">Observation 2: </w:t>
      </w:r>
      <w:r>
        <w:t>The 6-symbol ECP design for 60 kHz SCS is close to the NCP for 15 kHz SCS</w:t>
      </w:r>
    </w:p>
    <w:p w:rsidR="007F5DD3" w:rsidRDefault="007F5DD3" w:rsidP="00247FCE">
      <w:pPr>
        <w:spacing w:after="120"/>
        <w:jc w:val="both"/>
      </w:pPr>
      <w:r>
        <w:rPr>
          <w:b/>
        </w:rPr>
        <w:t xml:space="preserve">Observation 3: </w:t>
      </w:r>
      <w:r>
        <w:t>The 13-symbol ECP design for 60 kHz SCS is close to the NCP for 30 kHz SCS</w:t>
      </w:r>
    </w:p>
    <w:p w:rsidR="009E2FC0" w:rsidRPr="007F5DD3" w:rsidRDefault="009E2FC0" w:rsidP="00247FCE">
      <w:pPr>
        <w:spacing w:after="120"/>
        <w:jc w:val="both"/>
      </w:pPr>
      <w:r>
        <w:t>Based on the observations above it appears that for 60 kHz the LTE-based ECP design is more desireable than intermediate ECP compatible to the 13-symbol slot design.</w:t>
      </w:r>
    </w:p>
    <w:p w:rsidR="00001D6D" w:rsidRPr="00001D6D" w:rsidRDefault="00001D6D" w:rsidP="00001D6D">
      <w:pPr>
        <w:pStyle w:val="Heading1"/>
      </w:pPr>
      <w:r>
        <w:t>4</w:t>
      </w:r>
      <w:r>
        <w:tab/>
      </w:r>
      <w:r w:rsidR="007E6833">
        <w:t xml:space="preserve">Extended CP for </w:t>
      </w:r>
      <w:r w:rsidR="009E2FC0">
        <w:t>60 kHz SCS</w:t>
      </w:r>
      <w:r w:rsidR="007E6833">
        <w:t xml:space="preserve"> and Mini-slot</w:t>
      </w:r>
    </w:p>
    <w:p w:rsidR="00001D6D" w:rsidRDefault="007F5DD3" w:rsidP="00D45818">
      <w:r>
        <w:rPr>
          <w:lang w:val="en-US" w:eastAsia="ja-JP"/>
        </w:rPr>
        <w:t xml:space="preserve">Following the RAN1#86 agreement </w:t>
      </w:r>
      <w:r>
        <w:t>“</w:t>
      </w:r>
      <w:r w:rsidRPr="00F46F8C">
        <w:rPr>
          <w:i/>
        </w:rPr>
        <w:t>Extended CP will be only one in given subcarrier spacing</w:t>
      </w:r>
      <w:r>
        <w:t xml:space="preserve">”, </w:t>
      </w:r>
      <w:r w:rsidR="009E2FC0">
        <w:t xml:space="preserve">and following from the previous section, </w:t>
      </w:r>
      <w:r>
        <w:t>we now look at how the 6-symbol (LTE ECP) design works with mini-slots.</w:t>
      </w:r>
    </w:p>
    <w:p w:rsidR="009E2FC0" w:rsidRDefault="009E2FC0" w:rsidP="00D45818">
      <w:r>
        <w:t>If the cell uses 60 kHz SCS ECP for both slots and mini-slots, there are no issues in multiplexing the two</w:t>
      </w:r>
      <w:r w:rsidR="007A54AB">
        <w:t>,</w:t>
      </w:r>
      <w:r>
        <w:t xml:space="preserve"> and symbol alignment can be maintained when slot and mini-slot are multiplexed in frequency domain.</w:t>
      </w:r>
    </w:p>
    <w:p w:rsidR="009E2FC0" w:rsidRDefault="009E2FC0" w:rsidP="00D45818">
      <w:pPr>
        <w:rPr>
          <w:lang w:eastAsia="ja-JP"/>
        </w:rPr>
      </w:pPr>
      <w:r>
        <w:rPr>
          <w:lang w:eastAsia="ja-JP"/>
        </w:rPr>
        <w:t>There appears to be little point in multiplexing 60 kHz NCP slots with 60 kHz ECP mini-</w:t>
      </w:r>
      <w:r w:rsidR="002456F4">
        <w:rPr>
          <w:lang w:eastAsia="ja-JP"/>
        </w:rPr>
        <w:t>slots. If the ECP operation is required for mini-slots, then it would likely be beneficial for slots as well</w:t>
      </w:r>
      <w:r w:rsidR="007A54AB">
        <w:rPr>
          <w:lang w:eastAsia="ja-JP"/>
        </w:rPr>
        <w:t xml:space="preserve">, and when considering the URLLC error floor </w:t>
      </w:r>
      <w:r w:rsidR="008A6230">
        <w:rPr>
          <w:lang w:eastAsia="ja-JP"/>
        </w:rPr>
        <w:t>improvement for 60 kHz, the 60 kHz E</w:t>
      </w:r>
      <w:r w:rsidR="007A54AB">
        <w:rPr>
          <w:lang w:eastAsia="ja-JP"/>
        </w:rPr>
        <w:t>CP</w:t>
      </w:r>
      <w:r w:rsidR="008A6230">
        <w:rPr>
          <w:lang w:eastAsia="ja-JP"/>
        </w:rPr>
        <w:t xml:space="preserve"> solution comes with quite some additional CP overhead when comparing to 15 kHz NCP mini-slot</w:t>
      </w:r>
      <w:r w:rsidR="002456F4">
        <w:rPr>
          <w:lang w:eastAsia="ja-JP"/>
        </w:rPr>
        <w:t>.</w:t>
      </w:r>
    </w:p>
    <w:p w:rsidR="002456F4" w:rsidRDefault="00A67099" w:rsidP="00D45818">
      <w:pPr>
        <w:rPr>
          <w:lang w:eastAsia="ja-JP"/>
        </w:rPr>
      </w:pPr>
      <w:r>
        <w:rPr>
          <w:lang w:eastAsia="ja-JP"/>
        </w:rPr>
        <w:t>Time domain m</w:t>
      </w:r>
      <w:r w:rsidR="002456F4">
        <w:rPr>
          <w:lang w:eastAsia="ja-JP"/>
        </w:rPr>
        <w:t xml:space="preserve">ultiplexing of the 60 kHz ECP mini-slots with 15 kHz NCP slots but </w:t>
      </w:r>
      <w:r>
        <w:rPr>
          <w:lang w:eastAsia="ja-JP"/>
        </w:rPr>
        <w:t>switching between the 15 kHz NCP and 60 kHz ECP is really possible at every 0.5 ms boundary as 24 symbols of 60 kHz ECP match the duration of 7 symbols of 15 kHz NCP.</w:t>
      </w:r>
      <w:r w:rsidR="008A6230">
        <w:rPr>
          <w:lang w:eastAsia="ja-JP"/>
        </w:rPr>
        <w:t xml:space="preserve"> One could consider optimized CP durations for the case of 15 kHz NCP slot time-multiplexed with 60 kHz mini-slot, but the design would become very case specific and would go against the intent for generic solutions.</w:t>
      </w:r>
    </w:p>
    <w:p w:rsidR="00A67099" w:rsidRDefault="00A67099" w:rsidP="00A67099">
      <w:pPr>
        <w:rPr>
          <w:lang w:eastAsia="ja-JP"/>
        </w:rPr>
      </w:pPr>
      <w:r>
        <w:rPr>
          <w:lang w:eastAsia="ja-JP"/>
        </w:rPr>
        <w:lastRenderedPageBreak/>
        <w:t>Frequency domain multiplexing of the 60 kHz ECP mini-slots with 15 kHz NCP slots breaks the frequency domain orthogonality, but this is not really different from the break in orthogonality between 15 kHz NCP and 60 kHz NCP, and the sufficient protection between the two in frequency domain needs to be provided with sufficient guard and filter.</w:t>
      </w:r>
    </w:p>
    <w:p w:rsidR="0034111C" w:rsidRPr="008A6230" w:rsidRDefault="00BF10A5">
      <w:pPr>
        <w:pStyle w:val="Heading1"/>
        <w:rPr>
          <w:color w:val="000000"/>
        </w:rPr>
      </w:pPr>
      <w:r>
        <w:rPr>
          <w:color w:val="000000"/>
        </w:rPr>
        <w:t>5</w:t>
      </w:r>
      <w:r w:rsidR="0034111C" w:rsidRPr="008A6230">
        <w:rPr>
          <w:color w:val="000000"/>
        </w:rPr>
        <w:tab/>
      </w:r>
      <w:r w:rsidR="009E2FC0" w:rsidRPr="008A6230">
        <w:rPr>
          <w:color w:val="000000"/>
        </w:rPr>
        <w:t>Conclusion</w:t>
      </w:r>
    </w:p>
    <w:p w:rsidR="0080329D" w:rsidRPr="008A6230" w:rsidRDefault="00A67099" w:rsidP="00EE281A">
      <w:pPr>
        <w:spacing w:after="120"/>
        <w:jc w:val="both"/>
      </w:pPr>
      <w:r w:rsidRPr="008A6230">
        <w:t>To be written, but here’s what it is boiling down to</w:t>
      </w:r>
    </w:p>
    <w:p w:rsidR="00A67099" w:rsidRPr="008A6230" w:rsidRDefault="00A67099" w:rsidP="00A67099">
      <w:pPr>
        <w:pStyle w:val="ListParagraph"/>
        <w:numPr>
          <w:ilvl w:val="0"/>
          <w:numId w:val="13"/>
        </w:numPr>
        <w:spacing w:after="120"/>
        <w:jc w:val="both"/>
        <w:rPr>
          <w:sz w:val="20"/>
          <w:szCs w:val="20"/>
          <w:lang w:val="en-US"/>
        </w:rPr>
      </w:pPr>
      <w:r w:rsidRPr="008A6230">
        <w:rPr>
          <w:sz w:val="20"/>
          <w:szCs w:val="20"/>
          <w:lang w:val="en-US"/>
        </w:rPr>
        <w:t>15 kHz may need ECP similar to LTE did, but that’s beyond the point of this paper</w:t>
      </w:r>
    </w:p>
    <w:p w:rsidR="00A67099" w:rsidRPr="008A6230" w:rsidRDefault="00A67099" w:rsidP="00A67099">
      <w:pPr>
        <w:pStyle w:val="ListParagraph"/>
        <w:numPr>
          <w:ilvl w:val="0"/>
          <w:numId w:val="13"/>
        </w:numPr>
        <w:spacing w:after="120"/>
        <w:jc w:val="both"/>
        <w:rPr>
          <w:sz w:val="20"/>
          <w:szCs w:val="20"/>
          <w:lang w:val="en-US"/>
        </w:rPr>
      </w:pPr>
      <w:r w:rsidRPr="008A6230">
        <w:rPr>
          <w:sz w:val="20"/>
          <w:szCs w:val="20"/>
          <w:lang w:val="en-US"/>
        </w:rPr>
        <w:t>30 kHz does not seem to benefit from ECP as you could use 15 kHz and NCP instead and not get the ECP overhead</w:t>
      </w:r>
    </w:p>
    <w:p w:rsidR="00A67099" w:rsidRPr="008A6230" w:rsidRDefault="00A67099" w:rsidP="00A67099">
      <w:pPr>
        <w:pStyle w:val="ListParagraph"/>
        <w:numPr>
          <w:ilvl w:val="0"/>
          <w:numId w:val="13"/>
        </w:numPr>
        <w:spacing w:after="120"/>
        <w:jc w:val="both"/>
        <w:rPr>
          <w:sz w:val="20"/>
          <w:szCs w:val="20"/>
          <w:lang w:val="en-US"/>
        </w:rPr>
      </w:pPr>
      <w:r w:rsidRPr="008A6230">
        <w:rPr>
          <w:sz w:val="20"/>
          <w:szCs w:val="20"/>
          <w:lang w:val="en-US"/>
        </w:rPr>
        <w:t>60 kHz could use ECP to match the CP of the 15 kHz NCP and get the slot-based low-latency performance matching the cell range of 15 kHz NCP, but</w:t>
      </w:r>
    </w:p>
    <w:p w:rsidR="00A67099" w:rsidRPr="008A6230" w:rsidRDefault="00A67099" w:rsidP="00A67099">
      <w:pPr>
        <w:pStyle w:val="ListParagraph"/>
        <w:numPr>
          <w:ilvl w:val="1"/>
          <w:numId w:val="13"/>
        </w:numPr>
        <w:spacing w:after="120"/>
        <w:jc w:val="both"/>
        <w:rPr>
          <w:sz w:val="20"/>
          <w:szCs w:val="20"/>
          <w:lang w:val="en-US"/>
        </w:rPr>
      </w:pPr>
      <w:r w:rsidRPr="008A6230">
        <w:rPr>
          <w:sz w:val="20"/>
          <w:szCs w:val="20"/>
          <w:lang w:val="en-US"/>
        </w:rPr>
        <w:t>One could use 15 kHz mini-slot and not bother with ECP and muxing if different numerologies</w:t>
      </w:r>
    </w:p>
    <w:p w:rsidR="00A67099" w:rsidRPr="008A6230" w:rsidRDefault="00A67099" w:rsidP="00905AB2">
      <w:pPr>
        <w:pStyle w:val="ListParagraph"/>
        <w:numPr>
          <w:ilvl w:val="0"/>
          <w:numId w:val="13"/>
        </w:numPr>
        <w:spacing w:after="120"/>
        <w:jc w:val="both"/>
        <w:rPr>
          <w:sz w:val="20"/>
          <w:szCs w:val="20"/>
          <w:lang w:val="en-US"/>
        </w:rPr>
      </w:pPr>
      <w:r w:rsidRPr="008A6230">
        <w:rPr>
          <w:sz w:val="20"/>
          <w:szCs w:val="20"/>
          <w:lang w:val="en-US"/>
        </w:rPr>
        <w:t>60 kHz could use special ECP with mini-slots to match e.g. 3 symbols with 1 15 kHz symbol or something, but what’s the point?</w:t>
      </w:r>
    </w:p>
    <w:p w:rsidR="00905AB2" w:rsidRPr="008A6230" w:rsidRDefault="00905AB2" w:rsidP="00905AB2">
      <w:pPr>
        <w:spacing w:after="120"/>
        <w:jc w:val="both"/>
        <w:rPr>
          <w:lang w:val="en-US"/>
        </w:rPr>
      </w:pPr>
      <w:r w:rsidRPr="008A6230">
        <w:rPr>
          <w:lang w:val="en-US"/>
        </w:rPr>
        <w:t>So now that we have agreed to support ECP for 60 kHz, it would seem to really only make sense for reaching the low latency with slots.</w:t>
      </w:r>
    </w:p>
    <w:p w:rsidR="0007208A" w:rsidRPr="008A6230" w:rsidRDefault="00905AB2" w:rsidP="00905AB2">
      <w:pPr>
        <w:spacing w:after="120"/>
        <w:jc w:val="both"/>
        <w:rPr>
          <w:lang w:val="en-US"/>
        </w:rPr>
      </w:pPr>
      <w:r w:rsidRPr="008A6230">
        <w:rPr>
          <w:lang w:val="en-US"/>
        </w:rPr>
        <w:t>How do we answer the QC argument of getting better URLLC perf with longer CP and lower processing latency of 60 kHz based mini-slots?</w:t>
      </w:r>
    </w:p>
    <w:p w:rsidR="008A6230" w:rsidRPr="007E6833" w:rsidRDefault="008A6230" w:rsidP="00905AB2">
      <w:pPr>
        <w:spacing w:after="120"/>
        <w:jc w:val="both"/>
        <w:rPr>
          <w:lang w:val="en-US"/>
        </w:rPr>
      </w:pPr>
      <w:r>
        <w:rPr>
          <w:b/>
          <w:lang w:val="en-US"/>
        </w:rPr>
        <w:t xml:space="preserve">Proposal: </w:t>
      </w:r>
      <w:r>
        <w:rPr>
          <w:lang w:val="en-US"/>
        </w:rPr>
        <w:t>The ECP design should be common and extendible to different numerologies even if ECP is not necessarily supported with all numerologies at least in the first NR release(s)</w:t>
      </w:r>
    </w:p>
    <w:p w:rsidR="008A6230" w:rsidRDefault="008A6230" w:rsidP="00905AB2">
      <w:pPr>
        <w:spacing w:after="120"/>
        <w:jc w:val="both"/>
        <w:rPr>
          <w:lang w:val="en-US"/>
        </w:rPr>
      </w:pPr>
      <w:r w:rsidRPr="007E6833">
        <w:rPr>
          <w:b/>
          <w:lang w:val="en-US"/>
        </w:rPr>
        <w:t>Proposal</w:t>
      </w:r>
      <w:r>
        <w:rPr>
          <w:lang w:val="en-US"/>
        </w:rPr>
        <w:t>: Mini-slot design is not optimized for a special case like multiplexing of mini-slot swit</w:t>
      </w:r>
      <w:r w:rsidR="007E6833">
        <w:rPr>
          <w:lang w:val="en-US"/>
        </w:rPr>
        <w:t>c</w:t>
      </w:r>
      <w:r>
        <w:rPr>
          <w:lang w:val="en-US"/>
        </w:rPr>
        <w:t>h ECP inside a slot with NCP</w:t>
      </w:r>
    </w:p>
    <w:p w:rsidR="007E6833" w:rsidRDefault="007E6833" w:rsidP="007E6833">
      <w:pPr>
        <w:spacing w:after="120"/>
        <w:jc w:val="both"/>
        <w:rPr>
          <w:lang w:val="en-US"/>
        </w:rPr>
      </w:pPr>
      <w:r w:rsidRPr="008A6230">
        <w:rPr>
          <w:b/>
          <w:lang w:val="en-US"/>
        </w:rPr>
        <w:t xml:space="preserve">Proposal: </w:t>
      </w:r>
      <w:r w:rsidRPr="008A6230">
        <w:rPr>
          <w:lang w:val="en-US"/>
        </w:rPr>
        <w:t>60 kHz ECP design follows that of the LTE ECP</w:t>
      </w:r>
      <w:r>
        <w:rPr>
          <w:lang w:val="en-US"/>
        </w:rPr>
        <w:t xml:space="preserve"> with ¼ scaling in time domain</w:t>
      </w:r>
    </w:p>
    <w:p w:rsidR="007E6833" w:rsidRPr="007E6833" w:rsidRDefault="007E6833" w:rsidP="007E6833">
      <w:pPr>
        <w:spacing w:after="120"/>
        <w:jc w:val="both"/>
        <w:rPr>
          <w:lang w:val="en-US"/>
        </w:rPr>
      </w:pPr>
      <w:r>
        <w:rPr>
          <w:b/>
          <w:lang w:val="en-US"/>
        </w:rPr>
        <w:t xml:space="preserve">Observation: </w:t>
      </w:r>
      <w:r>
        <w:rPr>
          <w:lang w:val="en-US"/>
        </w:rPr>
        <w:t>There is likely no need to support ECP for all supported sub-carrier spacings, but the same ECP design can be directly scaled to fit any other 15*2</w:t>
      </w:r>
      <w:r w:rsidRPr="007E6833">
        <w:rPr>
          <w:vertAlign w:val="superscript"/>
          <w:lang w:val="en-US"/>
        </w:rPr>
        <w:t>N</w:t>
      </w:r>
      <w:r>
        <w:rPr>
          <w:lang w:val="en-US"/>
        </w:rPr>
        <w:t xml:space="preserve"> scaled numerology</w:t>
      </w:r>
    </w:p>
    <w:p w:rsidR="007E6833" w:rsidRPr="007E6833" w:rsidRDefault="007E6833" w:rsidP="00905AB2">
      <w:pPr>
        <w:spacing w:after="120"/>
        <w:jc w:val="both"/>
        <w:rPr>
          <w:lang w:val="en-US"/>
        </w:rPr>
      </w:pPr>
    </w:p>
    <w:p w:rsidR="0034111C" w:rsidRPr="008A6230" w:rsidRDefault="0034111C">
      <w:pPr>
        <w:pStyle w:val="Heading1"/>
      </w:pPr>
      <w:r w:rsidRPr="008A6230">
        <w:t>References</w:t>
      </w:r>
      <w:r w:rsidR="00A2459D" w:rsidRPr="008A6230">
        <w:t xml:space="preserve"> </w:t>
      </w:r>
    </w:p>
    <w:p w:rsidR="00055676" w:rsidRPr="00013455" w:rsidRDefault="00055676" w:rsidP="00C178FB">
      <w:pPr>
        <w:numPr>
          <w:ilvl w:val="0"/>
          <w:numId w:val="1"/>
        </w:numPr>
        <w:rPr>
          <w:sz w:val="18"/>
        </w:rPr>
      </w:pPr>
      <w:r w:rsidRPr="008A6230">
        <w:rPr>
          <w:sz w:val="18"/>
          <w:lang w:eastAsia="zh-CN"/>
        </w:rPr>
        <w:t>RP-1</w:t>
      </w:r>
      <w:r w:rsidR="00E919AC" w:rsidRPr="008A6230">
        <w:rPr>
          <w:sz w:val="18"/>
          <w:lang w:eastAsia="zh-CN"/>
        </w:rPr>
        <w:t>60671</w:t>
      </w:r>
      <w:r w:rsidRPr="008A6230">
        <w:rPr>
          <w:sz w:val="18"/>
          <w:lang w:eastAsia="zh-CN"/>
        </w:rPr>
        <w:t xml:space="preserve">, </w:t>
      </w:r>
      <w:r w:rsidR="00D060FF" w:rsidRPr="008A6230">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rsidR="00342AD2" w:rsidRDefault="00342AD2" w:rsidP="00342AD2">
      <w:pPr>
        <w:numPr>
          <w:ilvl w:val="0"/>
          <w:numId w:val="1"/>
        </w:numPr>
        <w:rPr>
          <w:sz w:val="18"/>
        </w:rPr>
      </w:pPr>
      <w:r w:rsidRPr="004C3EC7">
        <w:rPr>
          <w:sz w:val="18"/>
        </w:rPr>
        <w:t>RAN1 Chairman’s Notes, 3GPP TSG RAN WG1 Meeting #86</w:t>
      </w:r>
      <w:r w:rsidR="003735C6">
        <w:rPr>
          <w:sz w:val="18"/>
        </w:rPr>
        <w:t>bis</w:t>
      </w:r>
      <w:r w:rsidR="00EE281A">
        <w:rPr>
          <w:sz w:val="18"/>
        </w:rPr>
        <w:t>, 3GPP MCC</w:t>
      </w:r>
      <w:r w:rsidRPr="004C3EC7">
        <w:rPr>
          <w:sz w:val="18"/>
        </w:rPr>
        <w:t>.</w:t>
      </w:r>
    </w:p>
    <w:p w:rsidR="00D451FA" w:rsidRPr="00D451FA" w:rsidRDefault="00D451FA" w:rsidP="00D451FA">
      <w:pPr>
        <w:numPr>
          <w:ilvl w:val="0"/>
          <w:numId w:val="1"/>
        </w:numPr>
        <w:rPr>
          <w:sz w:val="18"/>
        </w:rPr>
      </w:pPr>
      <w:r w:rsidRPr="004C3EC7">
        <w:rPr>
          <w:sz w:val="18"/>
        </w:rPr>
        <w:t>RAN1 Chairman’s Not</w:t>
      </w:r>
      <w:r>
        <w:rPr>
          <w:sz w:val="18"/>
        </w:rPr>
        <w:t>es, 3GPP TSG RAN WG1 Meeting #87, 3GPP MCC</w:t>
      </w:r>
      <w:r w:rsidRPr="004C3EC7">
        <w:rPr>
          <w:sz w:val="18"/>
        </w:rPr>
        <w:t>.</w:t>
      </w:r>
    </w:p>
    <w:p w:rsidR="00B31B8D" w:rsidRPr="007F25E1" w:rsidRDefault="00B31B8D" w:rsidP="00B31B8D">
      <w:pPr>
        <w:numPr>
          <w:ilvl w:val="0"/>
          <w:numId w:val="1"/>
        </w:numPr>
        <w:rPr>
          <w:sz w:val="18"/>
        </w:rPr>
      </w:pPr>
      <w:r w:rsidRPr="007F25E1">
        <w:rPr>
          <w:sz w:val="18"/>
        </w:rPr>
        <w:t>R1-1609661, “</w:t>
      </w:r>
      <w:r w:rsidRPr="007F25E1">
        <w:rPr>
          <w:i/>
          <w:sz w:val="18"/>
        </w:rPr>
        <w:t>Comparison of ECP and NCP link performance with 60 kHz subcarrier spacing</w:t>
      </w:r>
      <w:r w:rsidRPr="007F25E1">
        <w:rPr>
          <w:sz w:val="18"/>
        </w:rPr>
        <w:t>”, Nokia, Alcatel-Lucent Shanghai Bell</w:t>
      </w:r>
    </w:p>
    <w:p w:rsidR="00363BAC" w:rsidRDefault="007F25E1" w:rsidP="00363BAC">
      <w:pPr>
        <w:numPr>
          <w:ilvl w:val="0"/>
          <w:numId w:val="1"/>
        </w:numPr>
        <w:rPr>
          <w:sz w:val="18"/>
        </w:rPr>
      </w:pPr>
      <w:r w:rsidRPr="007F25E1">
        <w:rPr>
          <w:sz w:val="18"/>
        </w:rPr>
        <w:t>R1-1612261</w:t>
      </w:r>
      <w:r w:rsidR="00363BAC" w:rsidRPr="007F25E1">
        <w:rPr>
          <w:sz w:val="18"/>
        </w:rPr>
        <w:t>, “</w:t>
      </w:r>
      <w:r w:rsidR="00363BAC" w:rsidRPr="007F25E1">
        <w:rPr>
          <w:i/>
          <w:sz w:val="18"/>
        </w:rPr>
        <w:t>On the number of symbols</w:t>
      </w:r>
      <w:r w:rsidR="00363BAC" w:rsidRPr="00363BAC">
        <w:rPr>
          <w:i/>
          <w:sz w:val="18"/>
        </w:rPr>
        <w:t xml:space="preserve"> in a slot and minimum transmission duration</w:t>
      </w:r>
      <w:r w:rsidR="00363BAC">
        <w:rPr>
          <w:sz w:val="18"/>
        </w:rPr>
        <w:t xml:space="preserve">”, </w:t>
      </w:r>
      <w:r w:rsidR="00363BAC" w:rsidRPr="00B31B8D">
        <w:rPr>
          <w:sz w:val="18"/>
        </w:rPr>
        <w:t>Nokia, Alcatel-Lucent Shanghai Bell</w:t>
      </w:r>
    </w:p>
    <w:p w:rsidR="00247FCE" w:rsidRPr="00B44B60" w:rsidRDefault="00247FCE" w:rsidP="00363BAC">
      <w:pPr>
        <w:numPr>
          <w:ilvl w:val="0"/>
          <w:numId w:val="1"/>
        </w:numPr>
        <w:rPr>
          <w:sz w:val="18"/>
        </w:rPr>
      </w:pPr>
      <w:r w:rsidRPr="00247FCE">
        <w:rPr>
          <w:sz w:val="18"/>
          <w:lang w:val="en-US"/>
        </w:rPr>
        <w:t>Mickael Batariere, Kevin Baum, and Thomas P. Krauss, "</w:t>
      </w:r>
      <w:r w:rsidRPr="00247FCE">
        <w:rPr>
          <w:i/>
          <w:sz w:val="18"/>
          <w:lang w:val="en-US"/>
        </w:rPr>
        <w:t>Cyclic Prefix Length Analysis for 4G OFDM Systems</w:t>
      </w:r>
      <w:r w:rsidRPr="00247FCE">
        <w:rPr>
          <w:sz w:val="18"/>
          <w:lang w:val="en-US"/>
        </w:rPr>
        <w:t>", VTC 2004 Fall.</w:t>
      </w:r>
    </w:p>
    <w:p w:rsidR="00B44B60" w:rsidRDefault="00B44B60" w:rsidP="00B44B60">
      <w:pPr>
        <w:pStyle w:val="ListParagraph"/>
        <w:numPr>
          <w:ilvl w:val="0"/>
          <w:numId w:val="1"/>
        </w:numPr>
        <w:rPr>
          <w:rStyle w:val="st"/>
          <w:sz w:val="18"/>
          <w:szCs w:val="18"/>
          <w:lang w:val="en-US"/>
        </w:rPr>
      </w:pPr>
      <w:r w:rsidRPr="0019340B">
        <w:rPr>
          <w:rStyle w:val="st"/>
          <w:sz w:val="18"/>
          <w:szCs w:val="18"/>
          <w:lang w:val="en-US"/>
        </w:rPr>
        <w:t>3GPP, R1-166100, “</w:t>
      </w:r>
      <w:r w:rsidRPr="0019340B">
        <w:rPr>
          <w:rStyle w:val="st"/>
          <w:i/>
          <w:sz w:val="18"/>
          <w:szCs w:val="18"/>
          <w:lang w:val="en-US"/>
        </w:rPr>
        <w:t>Evaluation of CP types for NR</w:t>
      </w:r>
      <w:r w:rsidRPr="0019340B">
        <w:rPr>
          <w:rStyle w:val="st"/>
          <w:sz w:val="18"/>
          <w:szCs w:val="18"/>
          <w:lang w:val="en-US"/>
        </w:rPr>
        <w:t>”, Huawei, HiSilicon</w:t>
      </w:r>
    </w:p>
    <w:p w:rsidR="00D451FA" w:rsidRDefault="00D451FA">
      <w:pPr>
        <w:overflowPunct/>
        <w:autoSpaceDE/>
        <w:autoSpaceDN/>
        <w:adjustRightInd/>
        <w:spacing w:after="0"/>
        <w:textAlignment w:val="auto"/>
        <w:rPr>
          <w:sz w:val="18"/>
        </w:rPr>
      </w:pPr>
    </w:p>
    <w:p w:rsidR="00D451FA" w:rsidRDefault="00D451FA" w:rsidP="00D451FA">
      <w:pPr>
        <w:pStyle w:val="Heading1"/>
      </w:pPr>
      <w:r>
        <w:t>Appendix: URLLC link level evaluation</w:t>
      </w:r>
      <w:r w:rsidR="00B44B60">
        <w:t xml:space="preserve"> [5]</w:t>
      </w:r>
    </w:p>
    <w:p w:rsidR="00D451FA" w:rsidRDefault="00D451FA" w:rsidP="00D451FA">
      <w:pPr>
        <w:spacing w:after="0"/>
      </w:pPr>
      <w:r>
        <w:t>In the following, we compare link performance of the following formats:</w:t>
      </w:r>
    </w:p>
    <w:p w:rsidR="00D451FA" w:rsidRPr="00E71FAA" w:rsidRDefault="00D451FA" w:rsidP="00D451FA">
      <w:pPr>
        <w:pStyle w:val="ListParagraph"/>
        <w:numPr>
          <w:ilvl w:val="0"/>
          <w:numId w:val="10"/>
        </w:numPr>
        <w:rPr>
          <w:sz w:val="20"/>
          <w:lang w:val="en-US"/>
        </w:rPr>
      </w:pPr>
      <w:r>
        <w:rPr>
          <w:sz w:val="20"/>
          <w:lang w:val="en-US"/>
        </w:rPr>
        <w:t>Slot based transmission, SCS 60 kHz, NCP</w:t>
      </w:r>
      <w:r w:rsidRPr="00E71FAA">
        <w:rPr>
          <w:sz w:val="20"/>
          <w:lang w:val="en-US"/>
        </w:rPr>
        <w:t xml:space="preserve"> </w:t>
      </w:r>
    </w:p>
    <w:p w:rsidR="00D451FA" w:rsidRDefault="00D451FA" w:rsidP="00D451FA">
      <w:pPr>
        <w:pStyle w:val="ListParagraph"/>
        <w:numPr>
          <w:ilvl w:val="0"/>
          <w:numId w:val="10"/>
        </w:numPr>
        <w:rPr>
          <w:sz w:val="20"/>
          <w:lang w:val="en-US"/>
        </w:rPr>
      </w:pPr>
      <w:r>
        <w:rPr>
          <w:sz w:val="20"/>
          <w:lang w:val="en-US"/>
        </w:rPr>
        <w:t>Slot based transmission, SCS 60 kHz, ECP</w:t>
      </w:r>
    </w:p>
    <w:p w:rsidR="00D451FA" w:rsidRDefault="00D451FA" w:rsidP="00D451FA">
      <w:pPr>
        <w:pStyle w:val="ListParagraph"/>
        <w:numPr>
          <w:ilvl w:val="0"/>
          <w:numId w:val="10"/>
        </w:numPr>
        <w:rPr>
          <w:sz w:val="20"/>
          <w:lang w:val="en-US"/>
        </w:rPr>
      </w:pPr>
      <w:r>
        <w:rPr>
          <w:sz w:val="20"/>
          <w:lang w:val="en-US"/>
        </w:rPr>
        <w:t>Mini-slot based transmission, y=1, SCS 15 kHz, NCP</w:t>
      </w:r>
    </w:p>
    <w:p w:rsidR="00D451FA" w:rsidRDefault="00D451FA" w:rsidP="00D451FA">
      <w:pPr>
        <w:pStyle w:val="ListParagraph"/>
        <w:numPr>
          <w:ilvl w:val="0"/>
          <w:numId w:val="10"/>
        </w:numPr>
        <w:rPr>
          <w:sz w:val="20"/>
          <w:lang w:val="en-US"/>
        </w:rPr>
      </w:pPr>
      <w:r>
        <w:rPr>
          <w:sz w:val="20"/>
          <w:lang w:val="en-US"/>
        </w:rPr>
        <w:t>Mini-slot based transmission, y=2, SCS 15 kHz, NCP.</w:t>
      </w:r>
    </w:p>
    <w:p w:rsidR="00D451FA" w:rsidRDefault="00D451FA" w:rsidP="00D451FA">
      <w:pPr>
        <w:rPr>
          <w:lang w:val="en-US"/>
        </w:rPr>
      </w:pPr>
    </w:p>
    <w:p w:rsidR="00D451FA" w:rsidRDefault="00D451FA" w:rsidP="00D451FA">
      <w:pPr>
        <w:overflowPunct/>
        <w:autoSpaceDE/>
        <w:autoSpaceDN/>
        <w:adjustRightInd/>
        <w:spacing w:after="0"/>
        <w:textAlignment w:val="auto"/>
      </w:pPr>
      <w:r>
        <w:lastRenderedPageBreak/>
        <w:t>A general URLLC reliability requirement for one transmission of a packet is 1-10</w:t>
      </w:r>
      <w:r w:rsidRPr="00AF7DD3">
        <w:rPr>
          <w:vertAlign w:val="superscript"/>
        </w:rPr>
        <w:t>-5</w:t>
      </w:r>
      <w:r>
        <w:t xml:space="preserve"> for X bytes within a user plane latency of 1 ms. To evaluate what is the impact of subcarrier spacing and CP length for URLLC performance we transmit short data packets and measure the required SNR giving BLER less than 10</w:t>
      </w:r>
      <w:r w:rsidRPr="00CC4A2C">
        <w:rPr>
          <w:vertAlign w:val="superscript"/>
        </w:rPr>
        <w:t>-5</w:t>
      </w:r>
      <w:r>
        <w:t>. For each SNR we take the highest throughput of the MCS with BLER less than 10</w:t>
      </w:r>
      <w:r w:rsidRPr="00A4677F">
        <w:rPr>
          <w:vertAlign w:val="superscript"/>
        </w:rPr>
        <w:t>-5</w:t>
      </w:r>
      <w:r>
        <w:t xml:space="preserve"> and calculate the overall URLLC</w:t>
      </w:r>
      <w:r w:rsidR="00B44B60">
        <w:t xml:space="preserve"> performance, similarly as in [8</w:t>
      </w:r>
      <w:r>
        <w:t>]. However, instead of using ideal channel estimation and taking ju</w:t>
      </w:r>
      <w:r w:rsidR="00B44B60">
        <w:t>st DMRS overhead into account [8</w:t>
      </w:r>
      <w:r>
        <w:t>], we conduct the channel estimation in the receiver using the actual DMRS patterns shown in Figure 9.</w:t>
      </w:r>
    </w:p>
    <w:p w:rsidR="00D451FA" w:rsidRDefault="00D451FA" w:rsidP="00D451FA">
      <w:pPr>
        <w:overflowPunct/>
        <w:autoSpaceDE/>
        <w:autoSpaceDN/>
        <w:adjustRightInd/>
        <w:spacing w:after="0"/>
        <w:textAlignment w:val="auto"/>
      </w:pPr>
    </w:p>
    <w:p w:rsidR="00D451FA" w:rsidRDefault="00D451FA" w:rsidP="00D451FA">
      <w:pPr>
        <w:overflowPunct/>
        <w:autoSpaceDE/>
        <w:autoSpaceDN/>
        <w:adjustRightInd/>
        <w:spacing w:after="0"/>
        <w:textAlignment w:val="auto"/>
      </w:pPr>
      <w:r>
        <w:t>Link level simulation parameters are given in Table 2. In order to see the impact of delay spread consider two different channel profiles:</w:t>
      </w:r>
    </w:p>
    <w:p w:rsidR="00D451FA" w:rsidRDefault="00D451FA" w:rsidP="00D451FA">
      <w:pPr>
        <w:pStyle w:val="ListParagraph"/>
        <w:numPr>
          <w:ilvl w:val="0"/>
          <w:numId w:val="11"/>
        </w:numPr>
        <w:rPr>
          <w:sz w:val="20"/>
          <w:lang w:val="en-US"/>
        </w:rPr>
      </w:pPr>
      <w:r w:rsidRPr="0019340B">
        <w:rPr>
          <w:sz w:val="20"/>
          <w:lang w:val="en-US"/>
        </w:rPr>
        <w:t xml:space="preserve">a </w:t>
      </w:r>
      <w:r>
        <w:rPr>
          <w:sz w:val="20"/>
          <w:lang w:val="en-US"/>
        </w:rPr>
        <w:t xml:space="preserve">large delay spread: </w:t>
      </w:r>
      <w:r w:rsidRPr="0019340B">
        <w:rPr>
          <w:sz w:val="20"/>
          <w:lang w:val="en-US"/>
        </w:rPr>
        <w:t>TDL-C-1000ns</w:t>
      </w:r>
      <w:r>
        <w:rPr>
          <w:sz w:val="20"/>
          <w:lang w:val="en-US"/>
        </w:rPr>
        <w:t xml:space="preserve"> (worst case scenario)</w:t>
      </w:r>
    </w:p>
    <w:p w:rsidR="00D451FA" w:rsidRDefault="00D451FA" w:rsidP="00D451FA">
      <w:pPr>
        <w:pStyle w:val="ListParagraph"/>
        <w:numPr>
          <w:ilvl w:val="0"/>
          <w:numId w:val="11"/>
        </w:numPr>
        <w:rPr>
          <w:sz w:val="20"/>
          <w:lang w:val="en-US"/>
        </w:rPr>
      </w:pPr>
      <w:r>
        <w:rPr>
          <w:sz w:val="20"/>
          <w:lang w:val="en-US"/>
        </w:rPr>
        <w:t xml:space="preserve">a typical delay spread: </w:t>
      </w:r>
      <w:r w:rsidRPr="0019340B">
        <w:rPr>
          <w:sz w:val="20"/>
          <w:lang w:val="en-US"/>
        </w:rPr>
        <w:t>TDL-</w:t>
      </w:r>
      <w:r>
        <w:rPr>
          <w:sz w:val="20"/>
          <w:lang w:val="en-US"/>
        </w:rPr>
        <w:t>B</w:t>
      </w:r>
      <w:r w:rsidRPr="0019340B">
        <w:rPr>
          <w:sz w:val="20"/>
          <w:lang w:val="en-US"/>
        </w:rPr>
        <w:t>-</w:t>
      </w:r>
      <w:r>
        <w:rPr>
          <w:sz w:val="20"/>
          <w:lang w:val="en-US"/>
        </w:rPr>
        <w:t>300</w:t>
      </w:r>
      <w:r w:rsidRPr="0019340B">
        <w:rPr>
          <w:sz w:val="20"/>
          <w:lang w:val="en-US"/>
        </w:rPr>
        <w:t>ns</w:t>
      </w:r>
    </w:p>
    <w:p w:rsidR="00D451FA" w:rsidRDefault="00D451FA" w:rsidP="00D451FA"/>
    <w:p w:rsidR="00D451FA" w:rsidRDefault="00D451FA" w:rsidP="00D451FA">
      <w:pPr>
        <w:rPr>
          <w:lang w:val="en-US"/>
        </w:rPr>
      </w:pPr>
      <w:r>
        <w:t>Figure 8 show the achievable throughput for BLER lower than 10</w:t>
      </w:r>
      <w:r>
        <w:rPr>
          <w:vertAlign w:val="superscript"/>
        </w:rPr>
        <w:t>-5</w:t>
      </w:r>
      <w:r>
        <w:t xml:space="preserve"> with 4x4 Tx-Rx antenna configurations and Rank 1 in a scenario with a large delay spread (</w:t>
      </w:r>
      <w:r w:rsidRPr="0019340B">
        <w:rPr>
          <w:lang w:val="en-US"/>
        </w:rPr>
        <w:t>TDL-C-1000ns</w:t>
      </w:r>
      <w:r>
        <w:rPr>
          <w:lang w:val="en-US"/>
        </w:rPr>
        <w:t>). Results indicate clearly that mini-slot approach with 15 kHz SCS outperforms slot based approach with 60 kHz SCS. Furthermore, it can be noted that mini-slot length with two OFDMA symbols (y=2) performs better than mini-slot with one OFDMA symbol (y=1). The reason behind is the larger RS overhead, as shown in Figure 10.</w:t>
      </w:r>
    </w:p>
    <w:p w:rsidR="00D451FA" w:rsidRDefault="00D451FA" w:rsidP="00D451FA">
      <w:pPr>
        <w:rPr>
          <w:lang w:val="en-US"/>
        </w:rPr>
      </w:pPr>
    </w:p>
    <w:p w:rsidR="00D451FA" w:rsidRDefault="00D451FA" w:rsidP="00D451FA">
      <w:pPr>
        <w:rPr>
          <w:lang w:val="en-US"/>
        </w:rPr>
      </w:pPr>
      <w:r w:rsidRPr="006342C0">
        <w:rPr>
          <w:noProof/>
          <w:lang w:val="fi-FI" w:eastAsia="fi-FI"/>
        </w:rPr>
        <w:drawing>
          <wp:inline distT="0" distB="0" distL="0" distR="0" wp14:anchorId="44FAC4C2" wp14:editId="635B1334">
            <wp:extent cx="6120765" cy="2793124"/>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793124"/>
                    </a:xfrm>
                    <a:prstGeom prst="rect">
                      <a:avLst/>
                    </a:prstGeom>
                    <a:noFill/>
                    <a:ln>
                      <a:noFill/>
                    </a:ln>
                  </pic:spPr>
                </pic:pic>
              </a:graphicData>
            </a:graphic>
          </wp:inline>
        </w:drawing>
      </w:r>
    </w:p>
    <w:p w:rsidR="00D451FA" w:rsidRDefault="00D451FA" w:rsidP="00D451FA">
      <w:pPr>
        <w:pStyle w:val="Caption"/>
        <w:jc w:val="center"/>
        <w:rPr>
          <w:lang w:val="en-US"/>
        </w:rPr>
      </w:pPr>
      <w:r w:rsidRPr="00084FA4">
        <w:t xml:space="preserve">Figure </w:t>
      </w:r>
      <w:r w:rsidRPr="00084FA4">
        <w:fldChar w:fldCharType="begin"/>
      </w:r>
      <w:r w:rsidRPr="00084FA4">
        <w:instrText xml:space="preserve"> SEQ Figure \* ARABIC </w:instrText>
      </w:r>
      <w:r w:rsidRPr="00084FA4">
        <w:fldChar w:fldCharType="separate"/>
      </w:r>
      <w:r>
        <w:rPr>
          <w:noProof/>
        </w:rPr>
        <w:t>8</w:t>
      </w:r>
      <w:r w:rsidRPr="00084FA4">
        <w:fldChar w:fldCharType="end"/>
      </w:r>
      <w:r w:rsidRPr="00084FA4">
        <w:rPr>
          <w:lang w:val="en-US"/>
        </w:rPr>
        <w:t xml:space="preserve"> Throughput for BLER lower than 10</w:t>
      </w:r>
      <w:r w:rsidRPr="00084FA4">
        <w:rPr>
          <w:vertAlign w:val="superscript"/>
          <w:lang w:val="en-US"/>
        </w:rPr>
        <w:t>-5</w:t>
      </w:r>
      <w:r w:rsidRPr="00084FA4">
        <w:rPr>
          <w:vertAlign w:val="subscript"/>
          <w:lang w:val="en-US"/>
        </w:rPr>
        <w:t>,</w:t>
      </w:r>
      <w:r w:rsidRPr="00084FA4">
        <w:rPr>
          <w:vertAlign w:val="superscript"/>
          <w:lang w:val="en-US"/>
        </w:rPr>
        <w:t xml:space="preserve"> </w:t>
      </w:r>
      <w:r w:rsidRPr="00084FA4">
        <w:rPr>
          <w:lang w:val="en-US"/>
        </w:rPr>
        <w:t>Slot based</w:t>
      </w:r>
      <w:r>
        <w:rPr>
          <w:lang w:val="en-US"/>
        </w:rPr>
        <w:t xml:space="preserve"> (60 kHz SCS)</w:t>
      </w:r>
      <w:r w:rsidRPr="00084FA4">
        <w:rPr>
          <w:lang w:val="en-US"/>
        </w:rPr>
        <w:t xml:space="preserve"> and mini-slot based </w:t>
      </w:r>
      <w:r>
        <w:rPr>
          <w:lang w:val="en-US"/>
        </w:rPr>
        <w:t xml:space="preserve">(15 kHz SCS) </w:t>
      </w:r>
      <w:r w:rsidRPr="00084FA4">
        <w:rPr>
          <w:lang w:val="en-US"/>
        </w:rPr>
        <w:t>transmission, 4Tx-4Rx antennas, Rank 1.</w:t>
      </w:r>
    </w:p>
    <w:p w:rsidR="00D451FA" w:rsidRDefault="00D451FA" w:rsidP="00D451FA">
      <w:pPr>
        <w:rPr>
          <w:lang w:val="en-US"/>
        </w:rPr>
      </w:pPr>
    </w:p>
    <w:p w:rsidR="00D451FA" w:rsidRDefault="00D451FA" w:rsidP="00D451FA">
      <w:pPr>
        <w:rPr>
          <w:lang w:val="en-US"/>
        </w:rPr>
      </w:pPr>
      <w:r>
        <w:t>Figure 9 show the achievable throughput for BLER lower than 10</w:t>
      </w:r>
      <w:r>
        <w:rPr>
          <w:vertAlign w:val="superscript"/>
        </w:rPr>
        <w:t>-5</w:t>
      </w:r>
      <w:r>
        <w:t xml:space="preserve"> with 4x4 Tx-Rx antenna configurations and Rank 1 in a scenario with a typical delay spread (</w:t>
      </w:r>
      <w:r w:rsidRPr="0019340B">
        <w:rPr>
          <w:lang w:val="en-US"/>
        </w:rPr>
        <w:t>TDL-</w:t>
      </w:r>
      <w:r>
        <w:rPr>
          <w:lang w:val="en-US"/>
        </w:rPr>
        <w:t>B</w:t>
      </w:r>
      <w:r w:rsidRPr="0019340B">
        <w:rPr>
          <w:lang w:val="en-US"/>
        </w:rPr>
        <w:t>-</w:t>
      </w:r>
      <w:r>
        <w:rPr>
          <w:lang w:val="en-US"/>
        </w:rPr>
        <w:t>300</w:t>
      </w:r>
      <w:r w:rsidRPr="0019340B">
        <w:rPr>
          <w:lang w:val="en-US"/>
        </w:rPr>
        <w:t>ns</w:t>
      </w:r>
      <w:r>
        <w:rPr>
          <w:lang w:val="en-US"/>
        </w:rPr>
        <w:t>). Results indicate that slot based approach with 60 kHz SCS provides comparable performance with mini-slot based approach with two OFDMA symbols (y=2). Mini-slot approach with one OFDMA symbol (y=1) is the worst option, due to large RS overhead.</w:t>
      </w:r>
    </w:p>
    <w:p w:rsidR="00D451FA" w:rsidRDefault="00D451FA" w:rsidP="00D451FA"/>
    <w:p w:rsidR="00D451FA" w:rsidRDefault="00D451FA" w:rsidP="00D451FA">
      <w:r w:rsidRPr="006342C0">
        <w:rPr>
          <w:noProof/>
          <w:lang w:val="fi-FI" w:eastAsia="fi-FI"/>
        </w:rPr>
        <w:lastRenderedPageBreak/>
        <w:drawing>
          <wp:inline distT="0" distB="0" distL="0" distR="0" wp14:anchorId="37FC8BBB" wp14:editId="6E89569A">
            <wp:extent cx="6120765" cy="2797175"/>
            <wp:effectExtent l="0" t="0" r="0" b="3175"/>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6120765" cy="2797175"/>
                    </a:xfrm>
                    <a:prstGeom prst="rect">
                      <a:avLst/>
                    </a:prstGeom>
                  </pic:spPr>
                </pic:pic>
              </a:graphicData>
            </a:graphic>
          </wp:inline>
        </w:drawing>
      </w:r>
    </w:p>
    <w:p w:rsidR="00D451FA" w:rsidRDefault="00D451FA" w:rsidP="00D451FA">
      <w:pPr>
        <w:pStyle w:val="Caption"/>
        <w:jc w:val="center"/>
        <w:rPr>
          <w:lang w:val="en-US"/>
        </w:rPr>
      </w:pPr>
      <w:r w:rsidRPr="00084FA4">
        <w:t xml:space="preserve">Figure </w:t>
      </w:r>
      <w:r w:rsidRPr="00084FA4">
        <w:fldChar w:fldCharType="begin"/>
      </w:r>
      <w:r w:rsidRPr="00084FA4">
        <w:instrText xml:space="preserve"> SEQ Figure \* ARABIC </w:instrText>
      </w:r>
      <w:r w:rsidRPr="00084FA4">
        <w:fldChar w:fldCharType="separate"/>
      </w:r>
      <w:r>
        <w:rPr>
          <w:noProof/>
        </w:rPr>
        <w:t>9</w:t>
      </w:r>
      <w:r w:rsidRPr="00084FA4">
        <w:fldChar w:fldCharType="end"/>
      </w:r>
      <w:r w:rsidRPr="00084FA4">
        <w:rPr>
          <w:lang w:val="en-US"/>
        </w:rPr>
        <w:t xml:space="preserve"> Throughput for BLER lower than 10</w:t>
      </w:r>
      <w:r w:rsidRPr="00084FA4">
        <w:rPr>
          <w:vertAlign w:val="superscript"/>
          <w:lang w:val="en-US"/>
        </w:rPr>
        <w:t>-5</w:t>
      </w:r>
      <w:r w:rsidRPr="00084FA4">
        <w:rPr>
          <w:vertAlign w:val="subscript"/>
          <w:lang w:val="en-US"/>
        </w:rPr>
        <w:t>,</w:t>
      </w:r>
      <w:r w:rsidRPr="00084FA4">
        <w:rPr>
          <w:vertAlign w:val="superscript"/>
          <w:lang w:val="en-US"/>
        </w:rPr>
        <w:t xml:space="preserve"> </w:t>
      </w:r>
      <w:r w:rsidRPr="00084FA4">
        <w:rPr>
          <w:lang w:val="en-US"/>
        </w:rPr>
        <w:t>Slot based</w:t>
      </w:r>
      <w:r>
        <w:rPr>
          <w:lang w:val="en-US"/>
        </w:rPr>
        <w:t xml:space="preserve"> (60 kHz SCS)</w:t>
      </w:r>
      <w:r w:rsidRPr="00084FA4">
        <w:rPr>
          <w:lang w:val="en-US"/>
        </w:rPr>
        <w:t xml:space="preserve"> and mini-slot based </w:t>
      </w:r>
      <w:r>
        <w:rPr>
          <w:lang w:val="en-US"/>
        </w:rPr>
        <w:t xml:space="preserve">(15 kHz SCS) </w:t>
      </w:r>
      <w:r w:rsidRPr="00084FA4">
        <w:rPr>
          <w:lang w:val="en-US"/>
        </w:rPr>
        <w:t>transmission, 4Tx-4Rx antennas, Rank 1.</w:t>
      </w:r>
    </w:p>
    <w:p w:rsidR="00D451FA" w:rsidRDefault="00D451FA" w:rsidP="00D451FA">
      <w:r>
        <w:t xml:space="preserve"> </w:t>
      </w:r>
    </w:p>
    <w:p w:rsidR="00D451FA" w:rsidRPr="00744CAE" w:rsidRDefault="00D451FA" w:rsidP="00D451FA">
      <w:pPr>
        <w:pStyle w:val="Caption"/>
        <w:rPr>
          <w:lang w:val="en-US"/>
        </w:rPr>
      </w:pPr>
      <w:r>
        <w:t xml:space="preserve">Table </w:t>
      </w:r>
      <w:r>
        <w:fldChar w:fldCharType="begin"/>
      </w:r>
      <w:r>
        <w:instrText xml:space="preserve"> SEQ Table \* ARABIC </w:instrText>
      </w:r>
      <w:r>
        <w:fldChar w:fldCharType="separate"/>
      </w:r>
      <w:r>
        <w:rPr>
          <w:noProof/>
        </w:rPr>
        <w:t>2</w:t>
      </w:r>
      <w:r>
        <w:fldChar w:fldCharType="end"/>
      </w:r>
      <w:r w:rsidRPr="00744CAE">
        <w:rPr>
          <w:lang w:val="en-US"/>
        </w:rPr>
        <w:t xml:space="preserve"> Link level simulation parameters </w:t>
      </w:r>
    </w:p>
    <w:tbl>
      <w:tblPr>
        <w:tblW w:w="10220" w:type="dxa"/>
        <w:tblCellMar>
          <w:left w:w="0" w:type="dxa"/>
          <w:right w:w="0" w:type="dxa"/>
        </w:tblCellMar>
        <w:tblLook w:val="04A0" w:firstRow="1" w:lastRow="0" w:firstColumn="1" w:lastColumn="0" w:noHBand="0" w:noVBand="1"/>
      </w:tblPr>
      <w:tblGrid>
        <w:gridCol w:w="3406"/>
        <w:gridCol w:w="3407"/>
        <w:gridCol w:w="3407"/>
      </w:tblGrid>
      <w:tr w:rsidR="00D451FA" w:rsidRPr="006342C0" w:rsidTr="008A3B88">
        <w:tc>
          <w:tcPr>
            <w:tcW w:w="3400" w:type="dxa"/>
            <w:vMerge w:val="restart"/>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rsidR="00D451FA" w:rsidRPr="006342C0" w:rsidRDefault="00D451FA" w:rsidP="008A3B88">
            <w:pPr>
              <w:rPr>
                <w:lang w:val="en-US"/>
              </w:rPr>
            </w:pPr>
            <w:r w:rsidRPr="006342C0">
              <w:rPr>
                <w:b/>
                <w:bCs/>
                <w:lang w:val="en-US"/>
              </w:rPr>
              <w:t>Parameter</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rsidR="00D451FA" w:rsidRPr="006342C0" w:rsidRDefault="00D451FA" w:rsidP="008A3B88">
            <w:pPr>
              <w:rPr>
                <w:lang w:val="en-US"/>
              </w:rPr>
            </w:pPr>
            <w:r w:rsidRPr="006342C0">
              <w:rPr>
                <w:b/>
                <w:bCs/>
                <w:lang w:val="en-US"/>
              </w:rPr>
              <w:t>Value</w:t>
            </w:r>
          </w:p>
        </w:tc>
      </w:tr>
      <w:tr w:rsidR="00D451FA" w:rsidRPr="006342C0" w:rsidTr="008A3B88">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451FA" w:rsidRPr="006342C0" w:rsidRDefault="00D451FA" w:rsidP="008A3B88">
            <w:pPr>
              <w:rPr>
                <w:lang w:val="en-US"/>
              </w:rPr>
            </w:pPr>
          </w:p>
        </w:tc>
        <w:tc>
          <w:tcPr>
            <w:tcW w:w="3400" w:type="dxa"/>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rsidR="00D451FA" w:rsidRPr="006342C0" w:rsidRDefault="00D451FA" w:rsidP="008A3B88">
            <w:pPr>
              <w:rPr>
                <w:lang w:val="en-US"/>
              </w:rPr>
            </w:pPr>
            <w:r w:rsidRPr="006342C0">
              <w:rPr>
                <w:b/>
                <w:bCs/>
                <w:lang w:val="en-US"/>
              </w:rPr>
              <w:t xml:space="preserve">60 kHz subcarrier spacing </w:t>
            </w:r>
          </w:p>
        </w:tc>
        <w:tc>
          <w:tcPr>
            <w:tcW w:w="3400" w:type="dxa"/>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rsidR="00D451FA" w:rsidRPr="006342C0" w:rsidRDefault="00D451FA" w:rsidP="008A3B88">
            <w:pPr>
              <w:rPr>
                <w:lang w:val="en-US"/>
              </w:rPr>
            </w:pPr>
            <w:r w:rsidRPr="006342C0">
              <w:rPr>
                <w:b/>
                <w:bCs/>
                <w:lang w:val="en-US"/>
              </w:rPr>
              <w:t>15 kHz subcarrier spacing</w:t>
            </w:r>
          </w:p>
        </w:tc>
      </w:tr>
      <w:tr w:rsidR="00D451FA" w:rsidRPr="006342C0" w:rsidTr="008A3B88">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Carrier frequency</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4GHz</w:t>
            </w:r>
          </w:p>
        </w:tc>
      </w:tr>
      <w:tr w:rsidR="00D451FA" w:rsidRPr="006342C0" w:rsidTr="008A3B88">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 xml:space="preserve">Active BW </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12RB, 12 subcarriers per RB</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48RB, 12 subcarriers per RB</w:t>
            </w:r>
          </w:p>
        </w:tc>
      </w:tr>
      <w:tr w:rsidR="00D451FA" w:rsidRPr="006342C0" w:rsidTr="008A3B88">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TTI length</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0.125 ms</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 xml:space="preserve">0.071ms/0.143ms </w:t>
            </w:r>
          </w:p>
        </w:tc>
      </w:tr>
      <w:tr w:rsidR="00D451FA" w:rsidRPr="006342C0" w:rsidTr="008A3B88">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Symbols/TTI</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7(NCP)/6(ECP)</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7E6833" w:rsidP="008A3B88">
            <w:pPr>
              <w:rPr>
                <w:lang w:val="en-US"/>
              </w:rPr>
            </w:pPr>
            <w:r>
              <w:rPr>
                <w:lang w:val="en-US"/>
              </w:rPr>
              <w:t>½</w:t>
            </w:r>
          </w:p>
        </w:tc>
      </w:tr>
      <w:tr w:rsidR="00D451FA" w:rsidRPr="006342C0" w:rsidTr="008A3B88">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FFT size</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256</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1024</w:t>
            </w:r>
          </w:p>
        </w:tc>
      </w:tr>
      <w:tr w:rsidR="00D451FA" w:rsidRPr="006342C0" w:rsidTr="008A3B88">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OFDM symbol duration</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16.67us</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66.67us</w:t>
            </w:r>
          </w:p>
        </w:tc>
      </w:tr>
      <w:tr w:rsidR="00D451FA" w:rsidRPr="006342C0" w:rsidTr="008A3B88">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CP duration</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1.17us(NCP)/4.17us(ECP)</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4.69us</w:t>
            </w:r>
          </w:p>
        </w:tc>
      </w:tr>
      <w:tr w:rsidR="00D451FA" w:rsidRPr="006342C0" w:rsidTr="008A3B88">
        <w:trPr>
          <w:trHeight w:val="716"/>
        </w:trPr>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 xml:space="preserve">Overhead due to DMRS symbols and increased CP length (ECP case) </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NCP: 7.1%</w:t>
            </w:r>
          </w:p>
          <w:p w:rsidR="00D451FA" w:rsidRPr="006342C0" w:rsidRDefault="00D451FA" w:rsidP="008A3B88">
            <w:pPr>
              <w:rPr>
                <w:lang w:val="en-US"/>
              </w:rPr>
            </w:pPr>
            <w:r w:rsidRPr="006342C0">
              <w:rPr>
                <w:lang w:val="en-US"/>
              </w:rPr>
              <w:t>ECP:  21.3%</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 xml:space="preserve">1 symbol/TTI: 16.7% </w:t>
            </w:r>
          </w:p>
          <w:p w:rsidR="00D451FA" w:rsidRPr="006342C0" w:rsidRDefault="00D451FA" w:rsidP="008A3B88">
            <w:pPr>
              <w:rPr>
                <w:lang w:val="en-US"/>
              </w:rPr>
            </w:pPr>
            <w:r w:rsidRPr="006342C0">
              <w:rPr>
                <w:lang w:val="en-US"/>
              </w:rPr>
              <w:t>2 symbols/TTI: 8.3 %  </w:t>
            </w:r>
          </w:p>
        </w:tc>
      </w:tr>
      <w:tr w:rsidR="00D451FA" w:rsidRPr="006342C0" w:rsidTr="008A3B88">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Transmission mode</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4x4, rank 1</w:t>
            </w:r>
          </w:p>
        </w:tc>
      </w:tr>
      <w:tr w:rsidR="00D451FA" w:rsidRPr="006342C0" w:rsidTr="008A3B88">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MCS</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10 MCS, QPSK/16QAM/64QAM, code rate range[0.33, 0.83]</w:t>
            </w:r>
          </w:p>
        </w:tc>
      </w:tr>
      <w:tr w:rsidR="00D451FA" w:rsidRPr="006342C0" w:rsidTr="008A3B88">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Coding</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Turbo</w:t>
            </w:r>
          </w:p>
        </w:tc>
      </w:tr>
      <w:tr w:rsidR="00D451FA" w:rsidRPr="006342C0" w:rsidTr="008A3B88">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Channel model</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TDL-C-1000ns, 3km/h</w:t>
            </w:r>
          </w:p>
          <w:p w:rsidR="00D451FA" w:rsidRPr="006342C0" w:rsidRDefault="00D451FA" w:rsidP="008A3B88">
            <w:pPr>
              <w:rPr>
                <w:lang w:val="en-US"/>
              </w:rPr>
            </w:pPr>
            <w:r w:rsidRPr="006342C0">
              <w:rPr>
                <w:lang w:val="en-US"/>
              </w:rPr>
              <w:t>TDL-B-300ns, 3km/h</w:t>
            </w:r>
          </w:p>
        </w:tc>
      </w:tr>
      <w:tr w:rsidR="00D451FA" w:rsidRPr="006342C0" w:rsidTr="008A3B88">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Channel estimation</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Wiener filter based estimator</w:t>
            </w:r>
          </w:p>
        </w:tc>
      </w:tr>
      <w:tr w:rsidR="00D451FA" w:rsidRPr="006342C0" w:rsidTr="008A3B88">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BLER</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451FA" w:rsidRPr="006342C0" w:rsidRDefault="00D451FA" w:rsidP="008A3B88">
            <w:pPr>
              <w:rPr>
                <w:lang w:val="en-US"/>
              </w:rPr>
            </w:pPr>
            <w:r w:rsidRPr="006342C0">
              <w:rPr>
                <w:lang w:val="en-US"/>
              </w:rPr>
              <w:t>Lower than 10</w:t>
            </w:r>
            <w:r w:rsidRPr="006342C0">
              <w:rPr>
                <w:vertAlign w:val="superscript"/>
                <w:lang w:val="en-US"/>
              </w:rPr>
              <w:t>-5</w:t>
            </w:r>
            <w:r w:rsidRPr="006342C0">
              <w:rPr>
                <w:lang w:val="en-US"/>
              </w:rPr>
              <w:t xml:space="preserve"> </w:t>
            </w:r>
          </w:p>
        </w:tc>
      </w:tr>
    </w:tbl>
    <w:p w:rsidR="00D451FA" w:rsidRDefault="00D451FA" w:rsidP="00D451FA"/>
    <w:p w:rsidR="00D451FA" w:rsidRPr="00436404" w:rsidRDefault="00D451FA" w:rsidP="00D451FA">
      <w:pPr>
        <w:rPr>
          <w:b/>
          <w:u w:val="single"/>
        </w:rPr>
      </w:pPr>
      <w:r w:rsidRPr="00436404">
        <w:rPr>
          <w:b/>
          <w:u w:val="single"/>
        </w:rPr>
        <w:lastRenderedPageBreak/>
        <w:t>RS patterns</w:t>
      </w:r>
    </w:p>
    <w:p w:rsidR="00D451FA" w:rsidRDefault="00D451FA" w:rsidP="00D451FA">
      <w:pPr>
        <w:keepNext/>
      </w:pPr>
      <w:r w:rsidRPr="006342C0">
        <w:rPr>
          <w:noProof/>
          <w:lang w:val="fi-FI" w:eastAsia="fi-FI"/>
        </w:rPr>
        <w:drawing>
          <wp:inline distT="0" distB="0" distL="0" distR="0" wp14:anchorId="25CC51B3" wp14:editId="2A670E54">
            <wp:extent cx="6119050" cy="208266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3203" b="12892"/>
                    <a:stretch/>
                  </pic:blipFill>
                  <pic:spPr bwMode="auto">
                    <a:xfrm>
                      <a:off x="0" y="0"/>
                      <a:ext cx="6120765" cy="2083246"/>
                    </a:xfrm>
                    <a:prstGeom prst="rect">
                      <a:avLst/>
                    </a:prstGeom>
                    <a:noFill/>
                    <a:ln>
                      <a:noFill/>
                    </a:ln>
                    <a:extLst>
                      <a:ext uri="{53640926-AAD7-44D8-BBD7-CCE9431645EC}">
                        <a14:shadowObscured xmlns:a14="http://schemas.microsoft.com/office/drawing/2010/main"/>
                      </a:ext>
                    </a:extLst>
                  </pic:spPr>
                </pic:pic>
              </a:graphicData>
            </a:graphic>
          </wp:inline>
        </w:drawing>
      </w:r>
    </w:p>
    <w:p w:rsidR="00D451FA" w:rsidRPr="00436404" w:rsidRDefault="00D451FA" w:rsidP="00D451FA">
      <w:pPr>
        <w:pStyle w:val="Caption"/>
        <w:jc w:val="center"/>
        <w:rPr>
          <w:b w:val="0"/>
        </w:rPr>
      </w:pPr>
      <w:r>
        <w:t xml:space="preserve">Figure </w:t>
      </w:r>
      <w:r>
        <w:fldChar w:fldCharType="begin"/>
      </w:r>
      <w:r>
        <w:instrText xml:space="preserve"> SEQ Figure \* ARABIC </w:instrText>
      </w:r>
      <w:r>
        <w:fldChar w:fldCharType="separate"/>
      </w:r>
      <w:r>
        <w:rPr>
          <w:noProof/>
        </w:rPr>
        <w:t>10</w:t>
      </w:r>
      <w:r>
        <w:fldChar w:fldCharType="end"/>
      </w:r>
      <w:r>
        <w:t>. RS patterns used in link simulations</w:t>
      </w:r>
    </w:p>
    <w:p w:rsidR="00142DE2" w:rsidRPr="00D451FA" w:rsidRDefault="00142DE2" w:rsidP="00F10CB9">
      <w:pPr>
        <w:rPr>
          <w:sz w:val="18"/>
          <w:lang w:val="x-none"/>
        </w:rPr>
      </w:pPr>
    </w:p>
    <w:sectPr w:rsidR="00142DE2" w:rsidRPr="00D451F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89D" w:rsidRDefault="0090089D">
      <w:r>
        <w:separator/>
      </w:r>
    </w:p>
  </w:endnote>
  <w:endnote w:type="continuationSeparator" w:id="0">
    <w:p w:rsidR="0090089D" w:rsidRDefault="0090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89D" w:rsidRDefault="0090089D">
      <w:r>
        <w:separator/>
      </w:r>
    </w:p>
  </w:footnote>
  <w:footnote w:type="continuationSeparator" w:id="0">
    <w:p w:rsidR="0090089D" w:rsidRDefault="009008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5053"/>
    <w:multiLevelType w:val="hybridMultilevel"/>
    <w:tmpl w:val="A6B29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cs="Times New Roman" w:hint="default"/>
      </w:rPr>
    </w:lvl>
    <w:lvl w:ilvl="1" w:tplc="8C5C1506">
      <w:start w:val="860"/>
      <w:numFmt w:val="bullet"/>
      <w:lvlText w:val="•"/>
      <w:lvlJc w:val="left"/>
      <w:pPr>
        <w:tabs>
          <w:tab w:val="num" w:pos="1440"/>
        </w:tabs>
        <w:ind w:left="1440" w:hanging="360"/>
      </w:pPr>
      <w:rPr>
        <w:rFonts w:ascii="Arial" w:hAnsi="Arial" w:cs="Times New Roman" w:hint="default"/>
      </w:rPr>
    </w:lvl>
    <w:lvl w:ilvl="2" w:tplc="CFDE16CA">
      <w:start w:val="1"/>
      <w:numFmt w:val="bullet"/>
      <w:lvlText w:val="•"/>
      <w:lvlJc w:val="left"/>
      <w:pPr>
        <w:tabs>
          <w:tab w:val="num" w:pos="2160"/>
        </w:tabs>
        <w:ind w:left="2160" w:hanging="360"/>
      </w:pPr>
      <w:rPr>
        <w:rFonts w:ascii="Arial" w:hAnsi="Arial" w:cs="Times New Roman" w:hint="default"/>
      </w:rPr>
    </w:lvl>
    <w:lvl w:ilvl="3" w:tplc="8B48EEE8">
      <w:start w:val="1"/>
      <w:numFmt w:val="bullet"/>
      <w:lvlText w:val="•"/>
      <w:lvlJc w:val="left"/>
      <w:pPr>
        <w:tabs>
          <w:tab w:val="num" w:pos="2880"/>
        </w:tabs>
        <w:ind w:left="2880" w:hanging="360"/>
      </w:pPr>
      <w:rPr>
        <w:rFonts w:ascii="Arial" w:hAnsi="Arial" w:cs="Times New Roman" w:hint="default"/>
      </w:rPr>
    </w:lvl>
    <w:lvl w:ilvl="4" w:tplc="C94871BA">
      <w:start w:val="1"/>
      <w:numFmt w:val="bullet"/>
      <w:lvlText w:val="•"/>
      <w:lvlJc w:val="left"/>
      <w:pPr>
        <w:tabs>
          <w:tab w:val="num" w:pos="3600"/>
        </w:tabs>
        <w:ind w:left="3600" w:hanging="360"/>
      </w:pPr>
      <w:rPr>
        <w:rFonts w:ascii="Arial" w:hAnsi="Arial" w:cs="Times New Roman" w:hint="default"/>
      </w:rPr>
    </w:lvl>
    <w:lvl w:ilvl="5" w:tplc="582601BA">
      <w:start w:val="1"/>
      <w:numFmt w:val="bullet"/>
      <w:lvlText w:val="•"/>
      <w:lvlJc w:val="left"/>
      <w:pPr>
        <w:tabs>
          <w:tab w:val="num" w:pos="4320"/>
        </w:tabs>
        <w:ind w:left="4320" w:hanging="360"/>
      </w:pPr>
      <w:rPr>
        <w:rFonts w:ascii="Arial" w:hAnsi="Arial" w:cs="Times New Roman" w:hint="default"/>
      </w:rPr>
    </w:lvl>
    <w:lvl w:ilvl="6" w:tplc="AF34DA5E">
      <w:start w:val="1"/>
      <w:numFmt w:val="bullet"/>
      <w:lvlText w:val="•"/>
      <w:lvlJc w:val="left"/>
      <w:pPr>
        <w:tabs>
          <w:tab w:val="num" w:pos="5040"/>
        </w:tabs>
        <w:ind w:left="5040" w:hanging="360"/>
      </w:pPr>
      <w:rPr>
        <w:rFonts w:ascii="Arial" w:hAnsi="Arial" w:cs="Times New Roman" w:hint="default"/>
      </w:rPr>
    </w:lvl>
    <w:lvl w:ilvl="7" w:tplc="D5EE9B44">
      <w:start w:val="1"/>
      <w:numFmt w:val="bullet"/>
      <w:lvlText w:val="•"/>
      <w:lvlJc w:val="left"/>
      <w:pPr>
        <w:tabs>
          <w:tab w:val="num" w:pos="5760"/>
        </w:tabs>
        <w:ind w:left="5760" w:hanging="360"/>
      </w:pPr>
      <w:rPr>
        <w:rFonts w:ascii="Arial" w:hAnsi="Arial" w:cs="Times New Roman" w:hint="default"/>
      </w:rPr>
    </w:lvl>
    <w:lvl w:ilvl="8" w:tplc="28DCD47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C4B2516"/>
    <w:multiLevelType w:val="hybridMultilevel"/>
    <w:tmpl w:val="DFFC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AD14C5B"/>
    <w:multiLevelType w:val="hybridMultilevel"/>
    <w:tmpl w:val="F53A7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EEB5C39"/>
    <w:multiLevelType w:val="hybridMultilevel"/>
    <w:tmpl w:val="83A27332"/>
    <w:lvl w:ilvl="0" w:tplc="0A305020">
      <w:start w:val="6"/>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21666C1"/>
    <w:multiLevelType w:val="hybridMultilevel"/>
    <w:tmpl w:val="A5E0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01321C"/>
    <w:multiLevelType w:val="hybridMultilevel"/>
    <w:tmpl w:val="0DAAA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48A53BC"/>
    <w:multiLevelType w:val="hybridMultilevel"/>
    <w:tmpl w:val="55D2D94A"/>
    <w:lvl w:ilvl="0" w:tplc="0A305020">
      <w:start w:val="6"/>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00B3605"/>
    <w:multiLevelType w:val="hybridMultilevel"/>
    <w:tmpl w:val="58B4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A829A2"/>
    <w:multiLevelType w:val="hybridMultilevel"/>
    <w:tmpl w:val="CD5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0"/>
  </w:num>
  <w:num w:numId="4">
    <w:abstractNumId w:val="6"/>
  </w:num>
  <w:num w:numId="5">
    <w:abstractNumId w:val="1"/>
  </w:num>
  <w:num w:numId="6">
    <w:abstractNumId w:val="2"/>
  </w:num>
  <w:num w:numId="7">
    <w:abstractNumId w:val="12"/>
  </w:num>
  <w:num w:numId="8">
    <w:abstractNumId w:val="9"/>
  </w:num>
  <w:num w:numId="9">
    <w:abstractNumId w:val="8"/>
  </w:num>
  <w:num w:numId="10">
    <w:abstractNumId w:val="4"/>
  </w:num>
  <w:num w:numId="11">
    <w:abstractNumId w:val="13"/>
  </w:num>
  <w:num w:numId="12">
    <w:abstractNumId w:val="3"/>
  </w:num>
  <w:num w:numId="13">
    <w:abstractNumId w:val="11"/>
  </w:num>
  <w:num w:numId="1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D6D"/>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1402"/>
    <w:rsid w:val="000A20BA"/>
    <w:rsid w:val="000A262C"/>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30CF"/>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181D"/>
    <w:rsid w:val="000E27AA"/>
    <w:rsid w:val="000E337A"/>
    <w:rsid w:val="000E4350"/>
    <w:rsid w:val="000E4408"/>
    <w:rsid w:val="000E5716"/>
    <w:rsid w:val="000E7A79"/>
    <w:rsid w:val="000F15B2"/>
    <w:rsid w:val="000F19DE"/>
    <w:rsid w:val="000F2E1F"/>
    <w:rsid w:val="000F37B0"/>
    <w:rsid w:val="000F4595"/>
    <w:rsid w:val="000F4CB2"/>
    <w:rsid w:val="000F4E44"/>
    <w:rsid w:val="000F568D"/>
    <w:rsid w:val="000F6B15"/>
    <w:rsid w:val="00100250"/>
    <w:rsid w:val="00101C4F"/>
    <w:rsid w:val="00102C9F"/>
    <w:rsid w:val="001068D2"/>
    <w:rsid w:val="001103BD"/>
    <w:rsid w:val="00111208"/>
    <w:rsid w:val="00111808"/>
    <w:rsid w:val="001131B4"/>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30C9"/>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6F4"/>
    <w:rsid w:val="00245720"/>
    <w:rsid w:val="00245A6F"/>
    <w:rsid w:val="00245FD5"/>
    <w:rsid w:val="002477DF"/>
    <w:rsid w:val="00247FCE"/>
    <w:rsid w:val="00251AD6"/>
    <w:rsid w:val="00252C17"/>
    <w:rsid w:val="0025307F"/>
    <w:rsid w:val="002551BD"/>
    <w:rsid w:val="002568D0"/>
    <w:rsid w:val="00262661"/>
    <w:rsid w:val="002632DF"/>
    <w:rsid w:val="002640BA"/>
    <w:rsid w:val="00264CF2"/>
    <w:rsid w:val="00267587"/>
    <w:rsid w:val="002675C8"/>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47AD"/>
    <w:rsid w:val="002C6034"/>
    <w:rsid w:val="002C635B"/>
    <w:rsid w:val="002C7CFF"/>
    <w:rsid w:val="002D0BC6"/>
    <w:rsid w:val="002D17C5"/>
    <w:rsid w:val="002D365F"/>
    <w:rsid w:val="002D68C2"/>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52D4"/>
    <w:rsid w:val="003062E6"/>
    <w:rsid w:val="003068B6"/>
    <w:rsid w:val="003071F6"/>
    <w:rsid w:val="00307FE0"/>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3BAC"/>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6053"/>
    <w:rsid w:val="0038771D"/>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5F5F"/>
    <w:rsid w:val="003E64A9"/>
    <w:rsid w:val="003E7905"/>
    <w:rsid w:val="003F0336"/>
    <w:rsid w:val="003F5547"/>
    <w:rsid w:val="003F5C40"/>
    <w:rsid w:val="003F6E12"/>
    <w:rsid w:val="003F75ED"/>
    <w:rsid w:val="004002B7"/>
    <w:rsid w:val="00400F31"/>
    <w:rsid w:val="00406B4D"/>
    <w:rsid w:val="0041443C"/>
    <w:rsid w:val="0041488F"/>
    <w:rsid w:val="004154F7"/>
    <w:rsid w:val="00416D44"/>
    <w:rsid w:val="004176FF"/>
    <w:rsid w:val="00421A27"/>
    <w:rsid w:val="00421D0A"/>
    <w:rsid w:val="004241C5"/>
    <w:rsid w:val="00424FA7"/>
    <w:rsid w:val="00426A87"/>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5A9"/>
    <w:rsid w:val="00474871"/>
    <w:rsid w:val="00474CA8"/>
    <w:rsid w:val="00474E43"/>
    <w:rsid w:val="0048076D"/>
    <w:rsid w:val="00481765"/>
    <w:rsid w:val="00481D90"/>
    <w:rsid w:val="00482CD4"/>
    <w:rsid w:val="00483261"/>
    <w:rsid w:val="00485B23"/>
    <w:rsid w:val="004874E4"/>
    <w:rsid w:val="0049070D"/>
    <w:rsid w:val="00491BE4"/>
    <w:rsid w:val="00491DB2"/>
    <w:rsid w:val="004923E1"/>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297"/>
    <w:rsid w:val="004B4647"/>
    <w:rsid w:val="004B7455"/>
    <w:rsid w:val="004B74FF"/>
    <w:rsid w:val="004B7CE4"/>
    <w:rsid w:val="004C0401"/>
    <w:rsid w:val="004C0C49"/>
    <w:rsid w:val="004C183D"/>
    <w:rsid w:val="004C3EC7"/>
    <w:rsid w:val="004C3EEE"/>
    <w:rsid w:val="004C483D"/>
    <w:rsid w:val="004C4D15"/>
    <w:rsid w:val="004C6DA5"/>
    <w:rsid w:val="004C795A"/>
    <w:rsid w:val="004C7F93"/>
    <w:rsid w:val="004D26B8"/>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0FB4"/>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518ED"/>
    <w:rsid w:val="00552093"/>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1948"/>
    <w:rsid w:val="005C22F9"/>
    <w:rsid w:val="005C263C"/>
    <w:rsid w:val="005C2679"/>
    <w:rsid w:val="005D059A"/>
    <w:rsid w:val="005D07C5"/>
    <w:rsid w:val="005D21B7"/>
    <w:rsid w:val="005D4302"/>
    <w:rsid w:val="005D5A20"/>
    <w:rsid w:val="005D786C"/>
    <w:rsid w:val="005E00E5"/>
    <w:rsid w:val="005E049F"/>
    <w:rsid w:val="005E3073"/>
    <w:rsid w:val="005E316A"/>
    <w:rsid w:val="005E7DA8"/>
    <w:rsid w:val="005F0108"/>
    <w:rsid w:val="005F0918"/>
    <w:rsid w:val="005F0ECC"/>
    <w:rsid w:val="005F21A5"/>
    <w:rsid w:val="005F2470"/>
    <w:rsid w:val="005F28C6"/>
    <w:rsid w:val="005F3F16"/>
    <w:rsid w:val="005F52CC"/>
    <w:rsid w:val="005F5E6F"/>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6D63"/>
    <w:rsid w:val="006A032F"/>
    <w:rsid w:val="006A146E"/>
    <w:rsid w:val="006A41AE"/>
    <w:rsid w:val="006A4856"/>
    <w:rsid w:val="006A564B"/>
    <w:rsid w:val="006B1545"/>
    <w:rsid w:val="006B2DA7"/>
    <w:rsid w:val="006B2F4D"/>
    <w:rsid w:val="006B3682"/>
    <w:rsid w:val="006B48CB"/>
    <w:rsid w:val="006C1445"/>
    <w:rsid w:val="006C4FC1"/>
    <w:rsid w:val="006C51A5"/>
    <w:rsid w:val="006C529D"/>
    <w:rsid w:val="006D0C12"/>
    <w:rsid w:val="006D0E6B"/>
    <w:rsid w:val="006D2146"/>
    <w:rsid w:val="006D632E"/>
    <w:rsid w:val="006E094A"/>
    <w:rsid w:val="006E12B1"/>
    <w:rsid w:val="006E13D1"/>
    <w:rsid w:val="006E4D0C"/>
    <w:rsid w:val="006E4D1B"/>
    <w:rsid w:val="006E5B78"/>
    <w:rsid w:val="006E6BA3"/>
    <w:rsid w:val="006F1116"/>
    <w:rsid w:val="006F3196"/>
    <w:rsid w:val="006F3C54"/>
    <w:rsid w:val="006F5E64"/>
    <w:rsid w:val="006F60DE"/>
    <w:rsid w:val="006F65FB"/>
    <w:rsid w:val="006F7914"/>
    <w:rsid w:val="006F7C0B"/>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72D5"/>
    <w:rsid w:val="00753BB5"/>
    <w:rsid w:val="00756832"/>
    <w:rsid w:val="007626D0"/>
    <w:rsid w:val="007651CA"/>
    <w:rsid w:val="00767519"/>
    <w:rsid w:val="007704E1"/>
    <w:rsid w:val="00770E5C"/>
    <w:rsid w:val="00771037"/>
    <w:rsid w:val="00772569"/>
    <w:rsid w:val="00772E8C"/>
    <w:rsid w:val="007736D3"/>
    <w:rsid w:val="0077500F"/>
    <w:rsid w:val="0077548E"/>
    <w:rsid w:val="00777315"/>
    <w:rsid w:val="007802E4"/>
    <w:rsid w:val="00780919"/>
    <w:rsid w:val="007826C8"/>
    <w:rsid w:val="00784190"/>
    <w:rsid w:val="0078457B"/>
    <w:rsid w:val="00784756"/>
    <w:rsid w:val="0078539D"/>
    <w:rsid w:val="007856C1"/>
    <w:rsid w:val="00787051"/>
    <w:rsid w:val="0079018D"/>
    <w:rsid w:val="00791A00"/>
    <w:rsid w:val="00792CEE"/>
    <w:rsid w:val="007962B4"/>
    <w:rsid w:val="00796F15"/>
    <w:rsid w:val="007A138F"/>
    <w:rsid w:val="007A1640"/>
    <w:rsid w:val="007A1AE4"/>
    <w:rsid w:val="007A39DF"/>
    <w:rsid w:val="007A43ED"/>
    <w:rsid w:val="007A4BDD"/>
    <w:rsid w:val="007A54AB"/>
    <w:rsid w:val="007A60BC"/>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44FC"/>
    <w:rsid w:val="007E5AC2"/>
    <w:rsid w:val="007E6833"/>
    <w:rsid w:val="007E79C5"/>
    <w:rsid w:val="007F25E1"/>
    <w:rsid w:val="007F2845"/>
    <w:rsid w:val="007F43BC"/>
    <w:rsid w:val="007F4740"/>
    <w:rsid w:val="007F5DD3"/>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409AA"/>
    <w:rsid w:val="00840FB8"/>
    <w:rsid w:val="00843A7A"/>
    <w:rsid w:val="008447F5"/>
    <w:rsid w:val="00846292"/>
    <w:rsid w:val="008506E1"/>
    <w:rsid w:val="008515EE"/>
    <w:rsid w:val="008528D3"/>
    <w:rsid w:val="008539CE"/>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6230"/>
    <w:rsid w:val="008A6D62"/>
    <w:rsid w:val="008B13E9"/>
    <w:rsid w:val="008B3B51"/>
    <w:rsid w:val="008B4057"/>
    <w:rsid w:val="008B4145"/>
    <w:rsid w:val="008B5071"/>
    <w:rsid w:val="008B5290"/>
    <w:rsid w:val="008C2CFD"/>
    <w:rsid w:val="008C603A"/>
    <w:rsid w:val="008C71C8"/>
    <w:rsid w:val="008D167D"/>
    <w:rsid w:val="008D492A"/>
    <w:rsid w:val="008D4B58"/>
    <w:rsid w:val="008D4B8A"/>
    <w:rsid w:val="008D6541"/>
    <w:rsid w:val="008D7D7B"/>
    <w:rsid w:val="008E0F52"/>
    <w:rsid w:val="008E2316"/>
    <w:rsid w:val="008E34BE"/>
    <w:rsid w:val="008E42CE"/>
    <w:rsid w:val="008E42F4"/>
    <w:rsid w:val="008E5657"/>
    <w:rsid w:val="008E5E51"/>
    <w:rsid w:val="008F00DB"/>
    <w:rsid w:val="008F1264"/>
    <w:rsid w:val="008F47C6"/>
    <w:rsid w:val="008F700E"/>
    <w:rsid w:val="009006A2"/>
    <w:rsid w:val="0090089D"/>
    <w:rsid w:val="0090102B"/>
    <w:rsid w:val="00901448"/>
    <w:rsid w:val="009036BC"/>
    <w:rsid w:val="00905AB2"/>
    <w:rsid w:val="00905C47"/>
    <w:rsid w:val="00906379"/>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273DB"/>
    <w:rsid w:val="0093123D"/>
    <w:rsid w:val="00933040"/>
    <w:rsid w:val="009330E9"/>
    <w:rsid w:val="00935D15"/>
    <w:rsid w:val="009411FB"/>
    <w:rsid w:val="009414A9"/>
    <w:rsid w:val="009416F7"/>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87416"/>
    <w:rsid w:val="00987B0E"/>
    <w:rsid w:val="009908D5"/>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E47"/>
    <w:rsid w:val="009B2CED"/>
    <w:rsid w:val="009B335D"/>
    <w:rsid w:val="009B7A72"/>
    <w:rsid w:val="009B7BB8"/>
    <w:rsid w:val="009C126A"/>
    <w:rsid w:val="009C1D4C"/>
    <w:rsid w:val="009C2DD2"/>
    <w:rsid w:val="009C3D02"/>
    <w:rsid w:val="009C441F"/>
    <w:rsid w:val="009C4A07"/>
    <w:rsid w:val="009C4B8E"/>
    <w:rsid w:val="009C51D5"/>
    <w:rsid w:val="009C543C"/>
    <w:rsid w:val="009C599A"/>
    <w:rsid w:val="009C650E"/>
    <w:rsid w:val="009C70DB"/>
    <w:rsid w:val="009D19BC"/>
    <w:rsid w:val="009D2348"/>
    <w:rsid w:val="009D2F0C"/>
    <w:rsid w:val="009D3578"/>
    <w:rsid w:val="009D377F"/>
    <w:rsid w:val="009D3A5F"/>
    <w:rsid w:val="009D5193"/>
    <w:rsid w:val="009D5C32"/>
    <w:rsid w:val="009D6472"/>
    <w:rsid w:val="009D79F4"/>
    <w:rsid w:val="009E2FC0"/>
    <w:rsid w:val="009E3CD1"/>
    <w:rsid w:val="009E4071"/>
    <w:rsid w:val="009E5AF5"/>
    <w:rsid w:val="009E5EB5"/>
    <w:rsid w:val="009E74F0"/>
    <w:rsid w:val="009F0768"/>
    <w:rsid w:val="009F7867"/>
    <w:rsid w:val="009F7D66"/>
    <w:rsid w:val="00A00BD2"/>
    <w:rsid w:val="00A00E56"/>
    <w:rsid w:val="00A027F3"/>
    <w:rsid w:val="00A03978"/>
    <w:rsid w:val="00A04D7E"/>
    <w:rsid w:val="00A051D9"/>
    <w:rsid w:val="00A05DF3"/>
    <w:rsid w:val="00A07E08"/>
    <w:rsid w:val="00A11E56"/>
    <w:rsid w:val="00A12798"/>
    <w:rsid w:val="00A153BE"/>
    <w:rsid w:val="00A15DEE"/>
    <w:rsid w:val="00A167B5"/>
    <w:rsid w:val="00A16DBE"/>
    <w:rsid w:val="00A179E0"/>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34D4A"/>
    <w:rsid w:val="00A42D07"/>
    <w:rsid w:val="00A4503E"/>
    <w:rsid w:val="00A450C0"/>
    <w:rsid w:val="00A45468"/>
    <w:rsid w:val="00A4791B"/>
    <w:rsid w:val="00A50A48"/>
    <w:rsid w:val="00A51242"/>
    <w:rsid w:val="00A51522"/>
    <w:rsid w:val="00A51573"/>
    <w:rsid w:val="00A51A5E"/>
    <w:rsid w:val="00A52895"/>
    <w:rsid w:val="00A53DA0"/>
    <w:rsid w:val="00A5404D"/>
    <w:rsid w:val="00A57050"/>
    <w:rsid w:val="00A5765D"/>
    <w:rsid w:val="00A607CB"/>
    <w:rsid w:val="00A6351F"/>
    <w:rsid w:val="00A65A70"/>
    <w:rsid w:val="00A66F36"/>
    <w:rsid w:val="00A67099"/>
    <w:rsid w:val="00A676D9"/>
    <w:rsid w:val="00A67EFC"/>
    <w:rsid w:val="00A7031E"/>
    <w:rsid w:val="00A71140"/>
    <w:rsid w:val="00A74692"/>
    <w:rsid w:val="00A75ACC"/>
    <w:rsid w:val="00A7618B"/>
    <w:rsid w:val="00A7640B"/>
    <w:rsid w:val="00A7778B"/>
    <w:rsid w:val="00A803BC"/>
    <w:rsid w:val="00A80969"/>
    <w:rsid w:val="00A86EA7"/>
    <w:rsid w:val="00A91244"/>
    <w:rsid w:val="00A92776"/>
    <w:rsid w:val="00A93181"/>
    <w:rsid w:val="00A938E6"/>
    <w:rsid w:val="00A93CCF"/>
    <w:rsid w:val="00A95BD5"/>
    <w:rsid w:val="00A96F78"/>
    <w:rsid w:val="00AA0B9E"/>
    <w:rsid w:val="00AA1087"/>
    <w:rsid w:val="00AA25A9"/>
    <w:rsid w:val="00AA26D9"/>
    <w:rsid w:val="00AA4605"/>
    <w:rsid w:val="00AA51AD"/>
    <w:rsid w:val="00AA591E"/>
    <w:rsid w:val="00AA65C9"/>
    <w:rsid w:val="00AA66CB"/>
    <w:rsid w:val="00AB0A32"/>
    <w:rsid w:val="00AB0E56"/>
    <w:rsid w:val="00AB0ED5"/>
    <w:rsid w:val="00AB3A15"/>
    <w:rsid w:val="00AB4ECC"/>
    <w:rsid w:val="00AB6601"/>
    <w:rsid w:val="00AB674E"/>
    <w:rsid w:val="00AB6D79"/>
    <w:rsid w:val="00AB7806"/>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1B8D"/>
    <w:rsid w:val="00B326A8"/>
    <w:rsid w:val="00B329EB"/>
    <w:rsid w:val="00B33508"/>
    <w:rsid w:val="00B3377E"/>
    <w:rsid w:val="00B35DA4"/>
    <w:rsid w:val="00B40A96"/>
    <w:rsid w:val="00B4184B"/>
    <w:rsid w:val="00B422A7"/>
    <w:rsid w:val="00B42A32"/>
    <w:rsid w:val="00B42FA6"/>
    <w:rsid w:val="00B4399E"/>
    <w:rsid w:val="00B43A16"/>
    <w:rsid w:val="00B44B60"/>
    <w:rsid w:val="00B45CE1"/>
    <w:rsid w:val="00B46A75"/>
    <w:rsid w:val="00B500CD"/>
    <w:rsid w:val="00B5239C"/>
    <w:rsid w:val="00B53893"/>
    <w:rsid w:val="00B548C2"/>
    <w:rsid w:val="00B55428"/>
    <w:rsid w:val="00B570BF"/>
    <w:rsid w:val="00B63337"/>
    <w:rsid w:val="00B6369F"/>
    <w:rsid w:val="00B639D7"/>
    <w:rsid w:val="00B64AA7"/>
    <w:rsid w:val="00B6575E"/>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4A54"/>
    <w:rsid w:val="00BA76A9"/>
    <w:rsid w:val="00BB3E2B"/>
    <w:rsid w:val="00BB5D1C"/>
    <w:rsid w:val="00BB6552"/>
    <w:rsid w:val="00BB6B9B"/>
    <w:rsid w:val="00BB754F"/>
    <w:rsid w:val="00BC07D4"/>
    <w:rsid w:val="00BC0A5D"/>
    <w:rsid w:val="00BC0BE3"/>
    <w:rsid w:val="00BC1534"/>
    <w:rsid w:val="00BC1AD9"/>
    <w:rsid w:val="00BC32E7"/>
    <w:rsid w:val="00BC58B9"/>
    <w:rsid w:val="00BD3E68"/>
    <w:rsid w:val="00BD598A"/>
    <w:rsid w:val="00BD75B4"/>
    <w:rsid w:val="00BD7D14"/>
    <w:rsid w:val="00BE02B4"/>
    <w:rsid w:val="00BE4EC9"/>
    <w:rsid w:val="00BE631E"/>
    <w:rsid w:val="00BF0CCF"/>
    <w:rsid w:val="00BF0FC5"/>
    <w:rsid w:val="00BF10A5"/>
    <w:rsid w:val="00BF10BC"/>
    <w:rsid w:val="00BF21AC"/>
    <w:rsid w:val="00BF2E53"/>
    <w:rsid w:val="00BF3669"/>
    <w:rsid w:val="00BF3C0D"/>
    <w:rsid w:val="00BF711C"/>
    <w:rsid w:val="00BF748E"/>
    <w:rsid w:val="00BF789B"/>
    <w:rsid w:val="00C03309"/>
    <w:rsid w:val="00C072FE"/>
    <w:rsid w:val="00C12E39"/>
    <w:rsid w:val="00C14164"/>
    <w:rsid w:val="00C15D8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6179"/>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EAD"/>
    <w:rsid w:val="00D01F9E"/>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7EC"/>
    <w:rsid w:val="00D26448"/>
    <w:rsid w:val="00D264CE"/>
    <w:rsid w:val="00D26670"/>
    <w:rsid w:val="00D26910"/>
    <w:rsid w:val="00D27B8B"/>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51FA"/>
    <w:rsid w:val="00D45818"/>
    <w:rsid w:val="00D46111"/>
    <w:rsid w:val="00D47C16"/>
    <w:rsid w:val="00D502AF"/>
    <w:rsid w:val="00D50764"/>
    <w:rsid w:val="00D50C12"/>
    <w:rsid w:val="00D51A77"/>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7413"/>
    <w:rsid w:val="00D81F10"/>
    <w:rsid w:val="00D84A57"/>
    <w:rsid w:val="00D874DF"/>
    <w:rsid w:val="00D87A12"/>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2ED2"/>
    <w:rsid w:val="00DE3DBB"/>
    <w:rsid w:val="00DE43A2"/>
    <w:rsid w:val="00DE4A74"/>
    <w:rsid w:val="00DE4B05"/>
    <w:rsid w:val="00DE541C"/>
    <w:rsid w:val="00DE737B"/>
    <w:rsid w:val="00DF100B"/>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1660B"/>
    <w:rsid w:val="00E239D1"/>
    <w:rsid w:val="00E246B9"/>
    <w:rsid w:val="00E26727"/>
    <w:rsid w:val="00E26970"/>
    <w:rsid w:val="00E27791"/>
    <w:rsid w:val="00E30F2D"/>
    <w:rsid w:val="00E317D9"/>
    <w:rsid w:val="00E319DB"/>
    <w:rsid w:val="00E31AFC"/>
    <w:rsid w:val="00E3409E"/>
    <w:rsid w:val="00E34F76"/>
    <w:rsid w:val="00E37BE5"/>
    <w:rsid w:val="00E41A2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064E"/>
    <w:rsid w:val="00E817E0"/>
    <w:rsid w:val="00E82EE4"/>
    <w:rsid w:val="00E831E7"/>
    <w:rsid w:val="00E843B5"/>
    <w:rsid w:val="00E84A3B"/>
    <w:rsid w:val="00E85307"/>
    <w:rsid w:val="00E85B0A"/>
    <w:rsid w:val="00E907E4"/>
    <w:rsid w:val="00E90A24"/>
    <w:rsid w:val="00E90C34"/>
    <w:rsid w:val="00E919AC"/>
    <w:rsid w:val="00E946A6"/>
    <w:rsid w:val="00E947E4"/>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281A"/>
    <w:rsid w:val="00EE2A61"/>
    <w:rsid w:val="00EE3663"/>
    <w:rsid w:val="00EE41C4"/>
    <w:rsid w:val="00EE76A9"/>
    <w:rsid w:val="00EE799E"/>
    <w:rsid w:val="00EE7CA8"/>
    <w:rsid w:val="00EE7FA7"/>
    <w:rsid w:val="00EF1093"/>
    <w:rsid w:val="00EF1FCB"/>
    <w:rsid w:val="00EF21C3"/>
    <w:rsid w:val="00EF2E6B"/>
    <w:rsid w:val="00EF4B95"/>
    <w:rsid w:val="00EF72F9"/>
    <w:rsid w:val="00F0030E"/>
    <w:rsid w:val="00F00CD1"/>
    <w:rsid w:val="00F01E6B"/>
    <w:rsid w:val="00F0241C"/>
    <w:rsid w:val="00F05759"/>
    <w:rsid w:val="00F10CB9"/>
    <w:rsid w:val="00F110D5"/>
    <w:rsid w:val="00F12351"/>
    <w:rsid w:val="00F15193"/>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46F8C"/>
    <w:rsid w:val="00F52339"/>
    <w:rsid w:val="00F5277A"/>
    <w:rsid w:val="00F532E8"/>
    <w:rsid w:val="00F537FF"/>
    <w:rsid w:val="00F54E36"/>
    <w:rsid w:val="00F560FE"/>
    <w:rsid w:val="00F6111C"/>
    <w:rsid w:val="00F614C0"/>
    <w:rsid w:val="00F61647"/>
    <w:rsid w:val="00F657CF"/>
    <w:rsid w:val="00F66A00"/>
    <w:rsid w:val="00F70841"/>
    <w:rsid w:val="00F713A3"/>
    <w:rsid w:val="00F71A8F"/>
    <w:rsid w:val="00F75330"/>
    <w:rsid w:val="00F76BD9"/>
    <w:rsid w:val="00F80318"/>
    <w:rsid w:val="00F80703"/>
    <w:rsid w:val="00F80948"/>
    <w:rsid w:val="00F81387"/>
    <w:rsid w:val="00F822E3"/>
    <w:rsid w:val="00F82555"/>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5710"/>
    <w:rsid w:val="00F96500"/>
    <w:rsid w:val="00FA413A"/>
    <w:rsid w:val="00FA4144"/>
    <w:rsid w:val="00FA4DDF"/>
    <w:rsid w:val="00FA6E7F"/>
    <w:rsid w:val="00FA7114"/>
    <w:rsid w:val="00FA7845"/>
    <w:rsid w:val="00FB2379"/>
    <w:rsid w:val="00FB4B8A"/>
    <w:rsid w:val="00FB5152"/>
    <w:rsid w:val="00FB680E"/>
    <w:rsid w:val="00FC0065"/>
    <w:rsid w:val="00FC062F"/>
    <w:rsid w:val="00FC3AE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0151B"/>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st">
    <w:name w:val="st"/>
    <w:rsid w:val="00B44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148340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34796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2BBDB-2596-4BDD-A0ED-109FC8063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1411</Words>
  <Characters>11434</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Ranta-Aho, Karri (Nokia - FI/Espoo)</cp:lastModifiedBy>
  <cp:revision>2</cp:revision>
  <cp:lastPrinted>2016-06-20T11:35:00Z</cp:lastPrinted>
  <dcterms:created xsi:type="dcterms:W3CDTF">2017-01-09T19:32:00Z</dcterms:created>
  <dcterms:modified xsi:type="dcterms:W3CDTF">2017-01-09T19:32:00Z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