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C6866" w14:textId="6245E9BB" w:rsidR="001D6F3B" w:rsidRPr="00446F9D" w:rsidRDefault="009372E8" w:rsidP="0072532E">
      <w:pPr>
        <w:pStyle w:val="Header"/>
        <w:tabs>
          <w:tab w:val="clear" w:pos="4536"/>
        </w:tabs>
        <w:jc w:val="both"/>
        <w:rPr>
          <w:i/>
        </w:rPr>
      </w:pPr>
      <w:r w:rsidRPr="009372E8">
        <w:rPr>
          <w:rFonts w:eastAsiaTheme="minorEastAsia" w:hint="eastAsia"/>
          <w:sz w:val="24"/>
          <w:lang w:eastAsia="ko-KR"/>
        </w:rPr>
        <w:t xml:space="preserve">3GPP </w:t>
      </w:r>
      <w:r w:rsidR="001D6F3B" w:rsidRPr="009372E8">
        <w:rPr>
          <w:sz w:val="24"/>
        </w:rPr>
        <w:t>TSG</w:t>
      </w:r>
      <w:r w:rsidRPr="009372E8">
        <w:rPr>
          <w:rFonts w:eastAsiaTheme="minorEastAsia" w:hint="eastAsia"/>
          <w:sz w:val="24"/>
          <w:lang w:eastAsia="ko-KR"/>
        </w:rPr>
        <w:t xml:space="preserve"> </w:t>
      </w:r>
      <w:r w:rsidR="001D6F3B" w:rsidRPr="009372E8">
        <w:rPr>
          <w:sz w:val="24"/>
        </w:rPr>
        <w:t>RAN</w:t>
      </w:r>
      <w:r w:rsidR="00F82574">
        <w:rPr>
          <w:sz w:val="24"/>
        </w:rPr>
        <w:t>1</w:t>
      </w:r>
      <w:r w:rsidR="001D6F3B" w:rsidRPr="009372E8">
        <w:rPr>
          <w:sz w:val="24"/>
        </w:rPr>
        <w:t xml:space="preserve"> </w:t>
      </w:r>
      <w:r w:rsidR="00EF67F6">
        <w:rPr>
          <w:sz w:val="24"/>
        </w:rPr>
        <w:t>NR Ad-Hoc</w:t>
      </w:r>
      <w:r w:rsidRPr="009372E8">
        <w:rPr>
          <w:rFonts w:eastAsiaTheme="minorEastAsia" w:hint="eastAsia"/>
          <w:sz w:val="24"/>
          <w:lang w:eastAsia="ko-KR"/>
        </w:rPr>
        <w:t xml:space="preserve"> </w:t>
      </w:r>
      <w:r w:rsidR="00010CE6">
        <w:rPr>
          <w:rFonts w:eastAsiaTheme="minorEastAsia" w:hint="eastAsia"/>
          <w:lang w:eastAsia="ko-KR"/>
        </w:rPr>
        <w:t xml:space="preserve">                                   </w:t>
      </w:r>
      <w:r w:rsidR="00010CE6">
        <w:rPr>
          <w:rFonts w:eastAsiaTheme="minorEastAsia"/>
          <w:lang w:eastAsia="ko-KR"/>
        </w:rPr>
        <w:tab/>
      </w:r>
      <w:r w:rsidR="00010CE6">
        <w:rPr>
          <w:rFonts w:eastAsiaTheme="minorEastAsia" w:hint="eastAsia"/>
          <w:lang w:eastAsia="ko-KR"/>
        </w:rPr>
        <w:t xml:space="preserve">   </w:t>
      </w:r>
      <w:r w:rsidRPr="009372E8">
        <w:rPr>
          <w:rFonts w:cs="Arial"/>
          <w:bCs/>
          <w:sz w:val="24"/>
        </w:rPr>
        <w:t>R1-</w:t>
      </w:r>
      <w:r w:rsidR="00B63A84" w:rsidRPr="00B63A84">
        <w:rPr>
          <w:rFonts w:cs="Arial"/>
          <w:bCs/>
          <w:sz w:val="24"/>
        </w:rPr>
        <w:t>1700929</w:t>
      </w:r>
    </w:p>
    <w:p w14:paraId="3FDDF0E3" w14:textId="456E3B12" w:rsidR="001D6F3B" w:rsidRPr="009372E8" w:rsidRDefault="00D0427E" w:rsidP="0072532E">
      <w:pPr>
        <w:pStyle w:val="Header"/>
        <w:jc w:val="both"/>
        <w:rPr>
          <w:color w:val="000000"/>
          <w:sz w:val="24"/>
        </w:rPr>
      </w:pPr>
      <w:r>
        <w:rPr>
          <w:sz w:val="24"/>
        </w:rPr>
        <w:t>Spokane</w:t>
      </w:r>
      <w:r w:rsidR="001D6F3B" w:rsidRPr="009372E8">
        <w:rPr>
          <w:sz w:val="24"/>
        </w:rPr>
        <w:t xml:space="preserve">, </w:t>
      </w:r>
      <w:r w:rsidR="00C14523">
        <w:rPr>
          <w:sz w:val="24"/>
        </w:rPr>
        <w:t>US</w:t>
      </w:r>
      <w:r w:rsidR="001D6F3B" w:rsidRPr="009372E8">
        <w:rPr>
          <w:sz w:val="24"/>
        </w:rPr>
        <w:t xml:space="preserve">, </w:t>
      </w:r>
      <w:r>
        <w:rPr>
          <w:sz w:val="24"/>
        </w:rPr>
        <w:t>January 16 – 20</w:t>
      </w:r>
      <w:r w:rsidR="001D6F3B" w:rsidRPr="009372E8">
        <w:rPr>
          <w:sz w:val="24"/>
        </w:rPr>
        <w:t>, 2016</w:t>
      </w:r>
    </w:p>
    <w:p w14:paraId="406F1A84" w14:textId="77777777" w:rsidR="00FE5799" w:rsidRPr="000833FA" w:rsidRDefault="00FE5799" w:rsidP="0072532E">
      <w:pPr>
        <w:pStyle w:val="Header"/>
        <w:jc w:val="both"/>
      </w:pPr>
    </w:p>
    <w:p w14:paraId="015922EF" w14:textId="62D8E7C7" w:rsidR="009372E8" w:rsidRPr="009372E8" w:rsidRDefault="009372E8" w:rsidP="0072532E">
      <w:pPr>
        <w:tabs>
          <w:tab w:val="left" w:pos="1985"/>
        </w:tabs>
        <w:spacing w:after="120"/>
        <w:jc w:val="both"/>
        <w:rPr>
          <w:rFonts w:ascii="Arial" w:eastAsia="Malgun Gothic" w:hAnsi="Arial" w:cs="Arial"/>
          <w:sz w:val="24"/>
          <w:lang w:eastAsia="ko-KR"/>
        </w:rPr>
      </w:pPr>
      <w:r w:rsidRPr="009372E8">
        <w:rPr>
          <w:rFonts w:ascii="Arial" w:eastAsia="Malgun Gothic" w:hAnsi="Arial" w:cs="Arial"/>
          <w:b/>
          <w:sz w:val="24"/>
          <w:lang w:eastAsia="ko-KR"/>
        </w:rPr>
        <w:t>Agenda item:</w:t>
      </w:r>
      <w:r w:rsidRPr="009372E8">
        <w:rPr>
          <w:rFonts w:ascii="Arial" w:eastAsia="Malgun Gothic" w:hAnsi="Arial" w:cs="Arial"/>
          <w:b/>
          <w:sz w:val="24"/>
          <w:lang w:eastAsia="ko-KR"/>
        </w:rPr>
        <w:tab/>
      </w:r>
      <w:r w:rsidR="00D5439F" w:rsidRPr="00D5439F">
        <w:rPr>
          <w:rFonts w:ascii="Arial" w:eastAsia="Malgun Gothic" w:hAnsi="Arial" w:cs="Arial"/>
          <w:sz w:val="24"/>
          <w:lang w:eastAsia="ko-KR"/>
        </w:rPr>
        <w:t>5.1.2.3.2</w:t>
      </w:r>
    </w:p>
    <w:p w14:paraId="539DCA4B" w14:textId="77777777" w:rsidR="009372E8" w:rsidRPr="009372E8" w:rsidRDefault="009372E8" w:rsidP="0072532E">
      <w:pPr>
        <w:tabs>
          <w:tab w:val="left" w:pos="1985"/>
        </w:tabs>
        <w:spacing w:after="120"/>
        <w:jc w:val="both"/>
        <w:rPr>
          <w:rFonts w:ascii="Arial" w:eastAsia="Malgun Gothic" w:hAnsi="Arial" w:cs="Arial"/>
          <w:b/>
          <w:sz w:val="24"/>
          <w:lang w:eastAsia="ko-KR"/>
        </w:rPr>
      </w:pPr>
      <w:r w:rsidRPr="009372E8">
        <w:rPr>
          <w:rFonts w:ascii="Arial" w:eastAsia="Malgun Gothic" w:hAnsi="Arial" w:cs="Arial"/>
          <w:b/>
          <w:sz w:val="24"/>
          <w:lang w:eastAsia="ko-KR"/>
        </w:rPr>
        <w:t>Source:</w:t>
      </w:r>
      <w:r w:rsidRPr="009372E8">
        <w:rPr>
          <w:rFonts w:ascii="Arial" w:eastAsia="Malgun Gothic" w:hAnsi="Arial" w:cs="Arial"/>
          <w:b/>
          <w:sz w:val="24"/>
          <w:lang w:eastAsia="ko-KR"/>
        </w:rPr>
        <w:tab/>
      </w:r>
      <w:r w:rsidRPr="009372E8">
        <w:rPr>
          <w:rFonts w:ascii="Arial" w:eastAsia="Malgun Gothic" w:hAnsi="Arial" w:cs="Arial"/>
          <w:sz w:val="24"/>
          <w:lang w:eastAsia="ko-KR"/>
        </w:rPr>
        <w:t>Samsung</w:t>
      </w:r>
    </w:p>
    <w:p w14:paraId="6766842C" w14:textId="3EBF405D" w:rsidR="009372E8" w:rsidRPr="009372E8" w:rsidRDefault="009372E8" w:rsidP="0072532E">
      <w:pPr>
        <w:tabs>
          <w:tab w:val="left" w:pos="1985"/>
        </w:tabs>
        <w:spacing w:after="120"/>
        <w:jc w:val="both"/>
        <w:rPr>
          <w:rFonts w:ascii="Arial" w:eastAsia="Malgun Gothic" w:hAnsi="Arial" w:cs="Arial"/>
          <w:b/>
          <w:sz w:val="24"/>
          <w:lang w:eastAsia="ko-KR"/>
        </w:rPr>
      </w:pPr>
      <w:r w:rsidRPr="009372E8">
        <w:rPr>
          <w:rFonts w:ascii="Arial" w:eastAsia="Malgun Gothic" w:hAnsi="Arial" w:cs="Arial"/>
          <w:b/>
          <w:sz w:val="24"/>
          <w:lang w:eastAsia="ko-KR"/>
        </w:rPr>
        <w:t>Title:</w:t>
      </w:r>
      <w:r w:rsidRPr="009372E8">
        <w:rPr>
          <w:rFonts w:ascii="Arial" w:eastAsia="Malgun Gothic" w:hAnsi="Arial" w:cs="Arial"/>
          <w:b/>
          <w:sz w:val="24"/>
          <w:lang w:eastAsia="ko-KR"/>
        </w:rPr>
        <w:tab/>
      </w:r>
      <w:r w:rsidR="00B329B0" w:rsidRPr="00B329B0">
        <w:rPr>
          <w:rFonts w:ascii="Arial" w:eastAsia="Malgun Gothic" w:hAnsi="Arial" w:cs="Arial"/>
          <w:sz w:val="24"/>
          <w:lang w:eastAsia="ko-KR"/>
        </w:rPr>
        <w:t>PRB bundling and precoding granularity in UL DMRS</w:t>
      </w:r>
    </w:p>
    <w:p w14:paraId="62E98AFC" w14:textId="13419467" w:rsidR="009372E8" w:rsidRPr="009372E8" w:rsidRDefault="009372E8" w:rsidP="0072532E">
      <w:pPr>
        <w:pStyle w:val="Header"/>
        <w:tabs>
          <w:tab w:val="clear" w:pos="4536"/>
          <w:tab w:val="left" w:pos="1920"/>
        </w:tabs>
        <w:ind w:left="1800" w:hanging="1800"/>
        <w:jc w:val="both"/>
        <w:rPr>
          <w:rFonts w:eastAsia="Malgun Gothic" w:cs="Arial"/>
          <w:b w:val="0"/>
          <w:sz w:val="24"/>
          <w:lang w:eastAsia="ko-KR"/>
        </w:rPr>
      </w:pPr>
      <w:r w:rsidRPr="009372E8">
        <w:rPr>
          <w:rFonts w:eastAsia="Malgun Gothic" w:cs="Arial"/>
          <w:sz w:val="24"/>
          <w:lang w:eastAsia="ko-KR"/>
        </w:rPr>
        <w:t>Document for:</w:t>
      </w:r>
      <w:r w:rsidRPr="009372E8">
        <w:rPr>
          <w:rFonts w:eastAsia="Malgun Gothic" w:cs="Arial"/>
          <w:sz w:val="24"/>
          <w:lang w:eastAsia="ko-KR"/>
        </w:rPr>
        <w:tab/>
      </w:r>
      <w:r>
        <w:rPr>
          <w:rFonts w:eastAsia="Malgun Gothic" w:cs="Arial" w:hint="eastAsia"/>
          <w:sz w:val="24"/>
          <w:lang w:eastAsia="ko-KR"/>
        </w:rPr>
        <w:t xml:space="preserve">   </w:t>
      </w:r>
      <w:r w:rsidRPr="009372E8">
        <w:rPr>
          <w:rFonts w:eastAsia="Malgun Gothic" w:cs="Arial"/>
          <w:b w:val="0"/>
          <w:sz w:val="24"/>
          <w:lang w:eastAsia="ko-KR"/>
        </w:rPr>
        <w:t>Discussion</w:t>
      </w:r>
    </w:p>
    <w:p w14:paraId="3485E12E" w14:textId="77777777" w:rsidR="00FE5799" w:rsidRPr="002100D2" w:rsidRDefault="00FE5799" w:rsidP="0072532E">
      <w:pPr>
        <w:pBdr>
          <w:bottom w:val="single" w:sz="4" w:space="1" w:color="auto"/>
        </w:pBdr>
        <w:tabs>
          <w:tab w:val="left" w:pos="2552"/>
        </w:tabs>
        <w:jc w:val="both"/>
      </w:pPr>
    </w:p>
    <w:p w14:paraId="0177C6F8" w14:textId="633CEBD3" w:rsidR="00010CE6" w:rsidRDefault="00FE5799" w:rsidP="0072532E">
      <w:pPr>
        <w:pStyle w:val="Heading1"/>
        <w:spacing w:before="180"/>
        <w:ind w:left="562" w:hanging="562"/>
        <w:jc w:val="both"/>
      </w:pPr>
      <w:r>
        <w:t>Introduction</w:t>
      </w:r>
      <w:bookmarkStart w:id="0" w:name="_GoBack"/>
      <w:bookmarkEnd w:id="0"/>
    </w:p>
    <w:p w14:paraId="228A469A" w14:textId="4D387A4F" w:rsidR="00493260" w:rsidRPr="00E451BC" w:rsidRDefault="000A505C" w:rsidP="00276543">
      <w:pPr>
        <w:pStyle w:val="maintext"/>
        <w:ind w:firstLine="400"/>
      </w:pPr>
      <w:r w:rsidRPr="00E451BC">
        <w:t>It was agreed in RAN1#</w:t>
      </w:r>
      <w:r w:rsidR="00493260" w:rsidRPr="00E451BC">
        <w:t>86</w:t>
      </w:r>
      <w:sdt>
        <w:sdtPr>
          <w:id w:val="-1295909639"/>
          <w:citation/>
        </w:sdtPr>
        <w:sdtEndPr/>
        <w:sdtContent>
          <w:r w:rsidR="004D504A">
            <w:fldChar w:fldCharType="begin"/>
          </w:r>
          <w:r w:rsidR="004D504A">
            <w:rPr>
              <w:lang w:val="en-US"/>
            </w:rPr>
            <w:instrText xml:space="preserve"> CITATION Chariman86 \l 1033 </w:instrText>
          </w:r>
          <w:r w:rsidR="004D504A">
            <w:fldChar w:fldCharType="separate"/>
          </w:r>
          <w:r w:rsidR="001E06D3">
            <w:rPr>
              <w:noProof/>
              <w:lang w:val="en-US"/>
            </w:rPr>
            <w:t xml:space="preserve"> </w:t>
          </w:r>
          <w:r w:rsidR="001E06D3" w:rsidRPr="001E06D3">
            <w:rPr>
              <w:noProof/>
              <w:lang w:val="en-US"/>
            </w:rPr>
            <w:t>[1]</w:t>
          </w:r>
          <w:r w:rsidR="004D504A">
            <w:fldChar w:fldCharType="end"/>
          </w:r>
        </w:sdtContent>
      </w:sdt>
      <w:r w:rsidRPr="00E451BC">
        <w:t xml:space="preserve"> that</w:t>
      </w:r>
    </w:p>
    <w:p w14:paraId="0CE558E2" w14:textId="77777777" w:rsidR="00493260" w:rsidRPr="00276543" w:rsidRDefault="00493260" w:rsidP="00276543">
      <w:pPr>
        <w:snapToGrid w:val="0"/>
        <w:spacing w:line="288" w:lineRule="auto"/>
        <w:rPr>
          <w:rFonts w:eastAsia="MS Mincho"/>
          <w:i/>
          <w:lang w:eastAsia="ja-JP"/>
        </w:rPr>
      </w:pPr>
      <w:r w:rsidRPr="00276543">
        <w:rPr>
          <w:rFonts w:eastAsia="MS Mincho"/>
          <w:i/>
          <w:lang w:eastAsia="ja-JP"/>
        </w:rPr>
        <w:t xml:space="preserve">The following aspects for UL MIMO transmission should be </w:t>
      </w:r>
      <w:r w:rsidRPr="00276543">
        <w:rPr>
          <w:rFonts w:eastAsia="MS Mincho" w:hint="eastAsia"/>
          <w:i/>
          <w:lang w:eastAsia="ja-JP"/>
        </w:rPr>
        <w:t>supported</w:t>
      </w:r>
      <w:r w:rsidRPr="00276543">
        <w:rPr>
          <w:rFonts w:eastAsia="MS Mincho"/>
          <w:i/>
          <w:lang w:eastAsia="ja-JP"/>
        </w:rPr>
        <w:t>:</w:t>
      </w:r>
    </w:p>
    <w:p w14:paraId="7DE8AC95" w14:textId="3B97D65D" w:rsidR="00493260" w:rsidRPr="00276543" w:rsidRDefault="00493260" w:rsidP="00276543">
      <w:pPr>
        <w:numPr>
          <w:ilvl w:val="0"/>
          <w:numId w:val="26"/>
        </w:numPr>
        <w:snapToGrid w:val="0"/>
        <w:spacing w:line="288" w:lineRule="auto"/>
        <w:rPr>
          <w:rFonts w:eastAsia="MS Mincho"/>
          <w:i/>
          <w:lang w:eastAsia="ja-JP"/>
        </w:rPr>
      </w:pPr>
      <w:r w:rsidRPr="00276543">
        <w:rPr>
          <w:rFonts w:eastAsia="MS Mincho"/>
          <w:i/>
          <w:lang w:eastAsia="ja-JP"/>
        </w:rPr>
        <w:t>Transmission schemes/methods for reciprocity calibrated UEs, reciprocity non-calibrated UEs, and non-reciprocity</w:t>
      </w:r>
      <w:r w:rsidRPr="00276543">
        <w:rPr>
          <w:rFonts w:eastAsia="MS Mincho" w:hint="eastAsia"/>
          <w:i/>
          <w:lang w:eastAsia="ja-JP"/>
        </w:rPr>
        <w:t>/partial reciprocity</w:t>
      </w:r>
      <w:r w:rsidRPr="00276543">
        <w:rPr>
          <w:rFonts w:eastAsia="MS Mincho"/>
          <w:i/>
          <w:lang w:eastAsia="ja-JP"/>
        </w:rPr>
        <w:t xml:space="preserve"> case</w:t>
      </w:r>
      <w:r w:rsidRPr="00276543">
        <w:rPr>
          <w:rFonts w:eastAsia="MS Mincho" w:hint="eastAsia"/>
          <w:i/>
          <w:lang w:eastAsia="ja-JP"/>
        </w:rPr>
        <w:t>s</w:t>
      </w:r>
    </w:p>
    <w:p w14:paraId="6231C6F7" w14:textId="77777777" w:rsidR="00493260" w:rsidRPr="00276543" w:rsidRDefault="00493260" w:rsidP="00276543">
      <w:pPr>
        <w:numPr>
          <w:ilvl w:val="0"/>
          <w:numId w:val="26"/>
        </w:numPr>
        <w:snapToGrid w:val="0"/>
        <w:spacing w:line="288" w:lineRule="auto"/>
        <w:rPr>
          <w:rFonts w:eastAsia="MS Mincho"/>
          <w:i/>
          <w:lang w:eastAsia="ja-JP"/>
        </w:rPr>
      </w:pPr>
      <w:r w:rsidRPr="00276543">
        <w:rPr>
          <w:rFonts w:eastAsia="MS Mincho"/>
          <w:i/>
          <w:lang w:eastAsia="ja-JP"/>
        </w:rPr>
        <w:t>At least one of the following candidate schemes/methods is to be supported</w:t>
      </w:r>
    </w:p>
    <w:p w14:paraId="2AAACEDE" w14:textId="77777777" w:rsidR="00493260" w:rsidRPr="00276543" w:rsidRDefault="00493260" w:rsidP="00276543">
      <w:pPr>
        <w:numPr>
          <w:ilvl w:val="1"/>
          <w:numId w:val="26"/>
        </w:numPr>
        <w:snapToGrid w:val="0"/>
        <w:spacing w:line="288" w:lineRule="auto"/>
        <w:rPr>
          <w:rFonts w:eastAsia="MS Mincho"/>
          <w:i/>
          <w:lang w:eastAsia="ja-JP"/>
        </w:rPr>
      </w:pPr>
      <w:r w:rsidRPr="00276543">
        <w:rPr>
          <w:rFonts w:eastAsia="MS Mincho"/>
          <w:i/>
          <w:lang w:eastAsia="ja-JP"/>
        </w:rPr>
        <w:t xml:space="preserve">Candidate 1: Codebook based transmission </w:t>
      </w:r>
    </w:p>
    <w:p w14:paraId="75CEEC05" w14:textId="77777777" w:rsidR="00493260" w:rsidRPr="00276543" w:rsidRDefault="00493260" w:rsidP="00276543">
      <w:pPr>
        <w:numPr>
          <w:ilvl w:val="2"/>
          <w:numId w:val="26"/>
        </w:numPr>
        <w:snapToGrid w:val="0"/>
        <w:spacing w:line="288" w:lineRule="auto"/>
        <w:rPr>
          <w:rFonts w:eastAsia="MS Mincho"/>
          <w:i/>
          <w:lang w:eastAsia="ja-JP"/>
        </w:rPr>
      </w:pPr>
      <w:r w:rsidRPr="00276543">
        <w:rPr>
          <w:rFonts w:eastAsia="MS Mincho"/>
          <w:i/>
          <w:lang w:eastAsia="ja-JP"/>
        </w:rPr>
        <w:t>Frequency selective and frequency non-selective precoding in digital domain can be considered for large system bandwidth</w:t>
      </w:r>
    </w:p>
    <w:p w14:paraId="1E415FB3" w14:textId="77777777" w:rsidR="00493260" w:rsidRPr="00276543" w:rsidRDefault="00493260" w:rsidP="00276543">
      <w:pPr>
        <w:numPr>
          <w:ilvl w:val="3"/>
          <w:numId w:val="26"/>
        </w:numPr>
        <w:snapToGrid w:val="0"/>
        <w:spacing w:line="288" w:lineRule="auto"/>
        <w:rPr>
          <w:rFonts w:eastAsia="MS Mincho"/>
          <w:i/>
          <w:lang w:eastAsia="ja-JP"/>
        </w:rPr>
      </w:pPr>
      <w:r w:rsidRPr="00276543">
        <w:rPr>
          <w:rFonts w:eastAsia="MS Mincho"/>
          <w:i/>
          <w:lang w:eastAsia="ja-JP"/>
        </w:rPr>
        <w:t>The support for frequency selective precoding is conditioned on decision on NR waveform(s)</w:t>
      </w:r>
    </w:p>
    <w:p w14:paraId="3C942300" w14:textId="1C3E1216" w:rsidR="00493260" w:rsidRPr="00276543" w:rsidRDefault="00493260" w:rsidP="00276543">
      <w:pPr>
        <w:numPr>
          <w:ilvl w:val="3"/>
          <w:numId w:val="26"/>
        </w:numPr>
        <w:snapToGrid w:val="0"/>
        <w:spacing w:line="288" w:lineRule="auto"/>
        <w:rPr>
          <w:rFonts w:eastAsia="MS Mincho"/>
          <w:i/>
          <w:lang w:eastAsia="ja-JP"/>
        </w:rPr>
      </w:pPr>
      <w:r w:rsidRPr="00276543">
        <w:rPr>
          <w:rFonts w:eastAsia="MS Mincho" w:hint="eastAsia"/>
          <w:i/>
          <w:lang w:eastAsia="ja-JP"/>
        </w:rPr>
        <w:t>FFS: The values of the large system bandwidth</w:t>
      </w:r>
    </w:p>
    <w:p w14:paraId="1A0F8CF2" w14:textId="77777777" w:rsidR="00493260" w:rsidRPr="00276543" w:rsidRDefault="00493260" w:rsidP="00276543">
      <w:pPr>
        <w:numPr>
          <w:ilvl w:val="1"/>
          <w:numId w:val="26"/>
        </w:numPr>
        <w:snapToGrid w:val="0"/>
        <w:spacing w:line="288" w:lineRule="auto"/>
        <w:rPr>
          <w:rFonts w:eastAsia="MS Mincho"/>
          <w:i/>
          <w:lang w:eastAsia="ja-JP"/>
        </w:rPr>
      </w:pPr>
      <w:r w:rsidRPr="00276543">
        <w:rPr>
          <w:rFonts w:eastAsia="MS Mincho"/>
          <w:i/>
          <w:lang w:eastAsia="ja-JP"/>
        </w:rPr>
        <w:t xml:space="preserve">Candidate 2: Non-codebook based transmission </w:t>
      </w:r>
    </w:p>
    <w:p w14:paraId="619EE080" w14:textId="77777777" w:rsidR="00493260" w:rsidRPr="00276543" w:rsidRDefault="00493260" w:rsidP="00276543">
      <w:pPr>
        <w:numPr>
          <w:ilvl w:val="2"/>
          <w:numId w:val="26"/>
        </w:numPr>
        <w:snapToGrid w:val="0"/>
        <w:spacing w:line="288" w:lineRule="auto"/>
        <w:rPr>
          <w:rFonts w:eastAsia="MS Mincho"/>
          <w:i/>
          <w:lang w:eastAsia="ja-JP"/>
        </w:rPr>
      </w:pPr>
      <w:r w:rsidRPr="00276543">
        <w:rPr>
          <w:rFonts w:eastAsia="MS Mincho"/>
          <w:i/>
          <w:lang w:eastAsia="ja-JP"/>
        </w:rPr>
        <w:t>Frequency selective and frequency non-selective precoding in digital domain can be considered for large system bandwidth</w:t>
      </w:r>
    </w:p>
    <w:p w14:paraId="27177E5F" w14:textId="77777777" w:rsidR="00493260" w:rsidRPr="00276543" w:rsidRDefault="00493260" w:rsidP="00276543">
      <w:pPr>
        <w:numPr>
          <w:ilvl w:val="3"/>
          <w:numId w:val="26"/>
        </w:numPr>
        <w:snapToGrid w:val="0"/>
        <w:spacing w:line="288" w:lineRule="auto"/>
        <w:rPr>
          <w:rFonts w:eastAsia="MS Mincho"/>
          <w:i/>
          <w:lang w:eastAsia="ja-JP"/>
        </w:rPr>
      </w:pPr>
      <w:r w:rsidRPr="00276543">
        <w:rPr>
          <w:rFonts w:eastAsia="MS Mincho"/>
          <w:i/>
          <w:lang w:eastAsia="ja-JP"/>
        </w:rPr>
        <w:t>The support for frequency selective precoding is conditioned on decision on NR waveform(s)</w:t>
      </w:r>
    </w:p>
    <w:p w14:paraId="4B57BD41" w14:textId="4B077079" w:rsidR="00493260" w:rsidRPr="00276543" w:rsidRDefault="00493260" w:rsidP="00276543">
      <w:pPr>
        <w:numPr>
          <w:ilvl w:val="3"/>
          <w:numId w:val="26"/>
        </w:numPr>
        <w:snapToGrid w:val="0"/>
        <w:spacing w:line="288" w:lineRule="auto"/>
        <w:rPr>
          <w:rFonts w:eastAsia="MS Mincho"/>
          <w:i/>
          <w:lang w:eastAsia="ja-JP"/>
        </w:rPr>
      </w:pPr>
      <w:r w:rsidRPr="00276543">
        <w:rPr>
          <w:rFonts w:eastAsia="MS Mincho" w:hint="eastAsia"/>
          <w:i/>
          <w:lang w:eastAsia="ja-JP"/>
        </w:rPr>
        <w:t>FFS: The values of the large system bandwidth</w:t>
      </w:r>
    </w:p>
    <w:p w14:paraId="5B48352D" w14:textId="1F40D9A5" w:rsidR="0072532E" w:rsidRDefault="000A505C" w:rsidP="00276543">
      <w:pPr>
        <w:pStyle w:val="maintext"/>
        <w:ind w:firstLineChars="0" w:firstLine="0"/>
      </w:pPr>
      <w:r w:rsidRPr="00E451BC">
        <w:t>which opens the path to implement frequency</w:t>
      </w:r>
      <w:r w:rsidRPr="000A505C">
        <w:t xml:space="preserve"> selective precoding for uplink. In </w:t>
      </w:r>
      <w:r>
        <w:t>RAN1</w:t>
      </w:r>
      <w:r w:rsidRPr="000A505C">
        <w:t>#87</w:t>
      </w:r>
      <w:r w:rsidR="00305A2D">
        <w:t xml:space="preserve"> </w:t>
      </w:r>
      <w:sdt>
        <w:sdtPr>
          <w:id w:val="109245052"/>
          <w:citation/>
        </w:sdtPr>
        <w:sdtEndPr/>
        <w:sdtContent>
          <w:r w:rsidR="004D504A">
            <w:fldChar w:fldCharType="begin"/>
          </w:r>
          <w:r w:rsidR="0077652F">
            <w:instrText xml:space="preserve">CITATION chairman87 \l 1033 </w:instrText>
          </w:r>
          <w:r w:rsidR="004D504A">
            <w:fldChar w:fldCharType="separate"/>
          </w:r>
          <w:r w:rsidR="001E06D3" w:rsidRPr="001E06D3">
            <w:rPr>
              <w:noProof/>
            </w:rPr>
            <w:t>[2]</w:t>
          </w:r>
          <w:r w:rsidR="004D504A">
            <w:fldChar w:fldCharType="end"/>
          </w:r>
        </w:sdtContent>
      </w:sdt>
      <w:r w:rsidRPr="000A505C">
        <w:t>, there has been agreement to study both the single carrier (DFT-S) and cyclic prefixed (CP)</w:t>
      </w:r>
      <w:r w:rsidR="00E134A6">
        <w:t xml:space="preserve"> OFDMA for uplink transmission:</w:t>
      </w:r>
    </w:p>
    <w:p w14:paraId="78D24770" w14:textId="05AC3FEF" w:rsidR="003B780D" w:rsidRPr="00276543" w:rsidRDefault="003B780D" w:rsidP="00276543">
      <w:pPr>
        <w:pStyle w:val="maintext"/>
        <w:numPr>
          <w:ilvl w:val="0"/>
          <w:numId w:val="25"/>
        </w:numPr>
        <w:spacing w:line="24" w:lineRule="atLeast"/>
        <w:ind w:firstLineChars="0"/>
        <w:rPr>
          <w:rFonts w:eastAsia="MS Mincho" w:cs="Times New Roman"/>
          <w:i/>
          <w:iCs/>
          <w:lang w:val="en-US" w:eastAsia="ja-JP"/>
        </w:rPr>
      </w:pPr>
      <w:r w:rsidRPr="00276543">
        <w:rPr>
          <w:rFonts w:eastAsia="MS Mincho" w:cs="Times New Roman"/>
          <w:i/>
          <w:iCs/>
          <w:lang w:val="en-US" w:eastAsia="ja-JP"/>
        </w:rPr>
        <w:t>Study further the PRB bundling size for UL data</w:t>
      </w:r>
    </w:p>
    <w:p w14:paraId="2E995DF7" w14:textId="522BE3E2" w:rsidR="003B780D" w:rsidRPr="00276543" w:rsidRDefault="003B780D" w:rsidP="00276543">
      <w:pPr>
        <w:pStyle w:val="maintext"/>
        <w:numPr>
          <w:ilvl w:val="1"/>
          <w:numId w:val="25"/>
        </w:numPr>
        <w:spacing w:line="24" w:lineRule="atLeast"/>
        <w:ind w:firstLineChars="0"/>
        <w:rPr>
          <w:rFonts w:eastAsia="MS Mincho" w:cs="Times New Roman"/>
          <w:i/>
          <w:iCs/>
          <w:lang w:val="en-US" w:eastAsia="ja-JP"/>
        </w:rPr>
      </w:pPr>
      <w:r w:rsidRPr="00276543">
        <w:rPr>
          <w:rFonts w:eastAsia="MS Mincho" w:cs="Times New Roman"/>
          <w:i/>
          <w:iCs/>
          <w:lang w:val="en-US" w:eastAsia="ja-JP"/>
        </w:rPr>
        <w:t>DFT-S-OFDM based transmissions</w:t>
      </w:r>
    </w:p>
    <w:p w14:paraId="3290B688" w14:textId="77777777" w:rsidR="003B780D" w:rsidRPr="00276543" w:rsidRDefault="003B780D" w:rsidP="00276543">
      <w:pPr>
        <w:pStyle w:val="maintext"/>
        <w:numPr>
          <w:ilvl w:val="2"/>
          <w:numId w:val="25"/>
        </w:numPr>
        <w:spacing w:line="24" w:lineRule="atLeast"/>
        <w:ind w:firstLineChars="0"/>
        <w:rPr>
          <w:rFonts w:eastAsia="MS Mincho" w:cs="Times New Roman"/>
          <w:i/>
          <w:iCs/>
          <w:lang w:val="en-US" w:eastAsia="ja-JP"/>
        </w:rPr>
      </w:pPr>
      <w:r w:rsidRPr="00276543">
        <w:rPr>
          <w:rFonts w:eastAsia="MS Mincho" w:cs="Times New Roman"/>
          <w:i/>
          <w:iCs/>
          <w:lang w:val="en-US" w:eastAsia="ja-JP"/>
        </w:rPr>
        <w:t>Consider the case of contiguous scheduled PRBs and non-contiguous scheduled PRBs (if supported)</w:t>
      </w:r>
    </w:p>
    <w:p w14:paraId="11C2D306" w14:textId="13E77C1A" w:rsidR="003B780D" w:rsidRPr="00276543" w:rsidRDefault="003B780D" w:rsidP="00276543">
      <w:pPr>
        <w:pStyle w:val="maintext"/>
        <w:numPr>
          <w:ilvl w:val="2"/>
          <w:numId w:val="25"/>
        </w:numPr>
        <w:spacing w:line="24" w:lineRule="atLeast"/>
        <w:ind w:firstLineChars="0"/>
        <w:rPr>
          <w:rFonts w:eastAsia="MS Mincho" w:cs="Times New Roman"/>
          <w:i/>
          <w:iCs/>
          <w:lang w:val="en-US" w:eastAsia="ja-JP"/>
        </w:rPr>
      </w:pPr>
      <w:r w:rsidRPr="00276543">
        <w:rPr>
          <w:rFonts w:eastAsia="MS Mincho" w:cs="Times New Roman"/>
          <w:i/>
          <w:iCs/>
          <w:lang w:val="en-US" w:eastAsia="ja-JP"/>
        </w:rPr>
        <w:t>Consider the impact due to UL DM-RS design</w:t>
      </w:r>
    </w:p>
    <w:p w14:paraId="7A263809" w14:textId="77777777" w:rsidR="003B780D" w:rsidRPr="00276543" w:rsidRDefault="003B780D" w:rsidP="00276543">
      <w:pPr>
        <w:pStyle w:val="maintext"/>
        <w:numPr>
          <w:ilvl w:val="1"/>
          <w:numId w:val="25"/>
        </w:numPr>
        <w:spacing w:line="24" w:lineRule="atLeast"/>
        <w:ind w:firstLineChars="0"/>
        <w:rPr>
          <w:rFonts w:eastAsia="MS Mincho" w:cs="Times New Roman"/>
          <w:i/>
          <w:iCs/>
          <w:lang w:val="en-US" w:eastAsia="ja-JP"/>
        </w:rPr>
      </w:pPr>
      <w:r w:rsidRPr="00276543">
        <w:rPr>
          <w:rFonts w:eastAsia="MS Mincho" w:cs="Times New Roman"/>
          <w:i/>
          <w:iCs/>
          <w:lang w:val="en-US" w:eastAsia="ja-JP"/>
        </w:rPr>
        <w:t>CP-OFDM based transmissions</w:t>
      </w:r>
    </w:p>
    <w:p w14:paraId="7D0B1311" w14:textId="0C2B3DF7" w:rsidR="00E451BC" w:rsidRPr="00AF696E" w:rsidRDefault="003B780D" w:rsidP="00AF696E">
      <w:pPr>
        <w:pStyle w:val="maintext"/>
        <w:numPr>
          <w:ilvl w:val="2"/>
          <w:numId w:val="25"/>
        </w:numPr>
        <w:spacing w:line="24" w:lineRule="atLeast"/>
        <w:ind w:firstLineChars="0"/>
        <w:rPr>
          <w:rFonts w:eastAsia="MS Mincho" w:cs="Times New Roman"/>
          <w:i/>
          <w:iCs/>
          <w:lang w:val="en-US" w:eastAsia="ja-JP"/>
        </w:rPr>
      </w:pPr>
      <w:r w:rsidRPr="00276543">
        <w:rPr>
          <w:rFonts w:eastAsia="MS Mincho" w:cs="Times New Roman"/>
          <w:i/>
          <w:iCs/>
          <w:lang w:val="en-US" w:eastAsia="ja-JP"/>
        </w:rPr>
        <w:t>Considering aspects related to non-reciprocity based CP-OFDM transmission (if supported) and reciprocity based CP-OFDM transmission (if supported)</w:t>
      </w:r>
    </w:p>
    <w:p w14:paraId="51B1FD2C" w14:textId="4410F397" w:rsidR="00A63906" w:rsidRDefault="000A505C" w:rsidP="00276543">
      <w:pPr>
        <w:pStyle w:val="maintext"/>
        <w:ind w:firstLine="400"/>
      </w:pPr>
      <w:r>
        <w:t xml:space="preserve">There is a benefit of using PRB bundling in uplink. Since UEs have restriction on the transmit power, using PRB bundling can improve channel estimation at </w:t>
      </w:r>
      <w:proofErr w:type="spellStart"/>
      <w:r>
        <w:t>gNBs</w:t>
      </w:r>
      <w:proofErr w:type="spellEnd"/>
      <w:r>
        <w:t xml:space="preserve">. However, large PRG size can lead to higher receiver complexity. Therefore, PRB bundling should be turned on and off efficiently based on the configuration. Also, in case of frequency selective precoding in reciprocity calibrated UEs, it may be beneficial not to use PRB bundling to achieve higher precoding gains. Therefore, the option to have flexibility to choose various configuration brings the requirements to efficiently decide when to turn on PRB and what PRG size should be selected. </w:t>
      </w:r>
      <w:r w:rsidR="00A63906">
        <w:t xml:space="preserve">In this </w:t>
      </w:r>
      <w:r w:rsidR="000C3724">
        <w:t>contribution</w:t>
      </w:r>
      <w:r w:rsidR="00A63906">
        <w:t xml:space="preserve">, we present </w:t>
      </w:r>
      <w:r w:rsidR="00DD0DF4">
        <w:t>our views on PRB Bundling</w:t>
      </w:r>
      <w:r w:rsidR="003B780D">
        <w:t xml:space="preserve"> for UL</w:t>
      </w:r>
      <w:r w:rsidR="00F60963">
        <w:t>, including the above</w:t>
      </w:r>
      <w:r w:rsidR="00A86E36">
        <w:t>mentioned</w:t>
      </w:r>
      <w:r w:rsidR="00F60963">
        <w:t xml:space="preserve"> study items</w:t>
      </w:r>
      <w:r w:rsidR="00A63906">
        <w:t>.</w:t>
      </w:r>
    </w:p>
    <w:p w14:paraId="17F6B401" w14:textId="7C1197EE" w:rsidR="00465682" w:rsidRDefault="00465682" w:rsidP="0072532E">
      <w:pPr>
        <w:pStyle w:val="Heading1"/>
        <w:jc w:val="both"/>
      </w:pPr>
      <w:r>
        <w:t>P</w:t>
      </w:r>
      <w:r w:rsidR="0050795D">
        <w:t>RB</w:t>
      </w:r>
      <w:r>
        <w:t xml:space="preserve"> bundling</w:t>
      </w:r>
    </w:p>
    <w:p w14:paraId="02B42A75" w14:textId="19C1AF16" w:rsidR="000936B7" w:rsidRDefault="00BB6118" w:rsidP="007E0D55">
      <w:pPr>
        <w:pStyle w:val="maintext"/>
        <w:ind w:firstLine="400"/>
      </w:pPr>
      <w:r w:rsidRPr="00BB6118">
        <w:t xml:space="preserve">Physical Resource Block (PRB) bundling was introduced </w:t>
      </w:r>
      <w:r w:rsidR="00B14C41">
        <w:t xml:space="preserve">in LTE </w:t>
      </w:r>
      <w:proofErr w:type="spellStart"/>
      <w:r w:rsidR="00A226AD">
        <w:t>Rel</w:t>
      </w:r>
      <w:proofErr w:type="spellEnd"/>
      <w:r w:rsidR="00B14C41">
        <w:t xml:space="preserve"> 10</w:t>
      </w:r>
      <w:r w:rsidRPr="00BB6118">
        <w:t xml:space="preserve">. </w:t>
      </w:r>
      <w:r w:rsidR="00B14C41">
        <w:t xml:space="preserve">PRB </w:t>
      </w:r>
      <w:r w:rsidRPr="00BB6118">
        <w:t xml:space="preserve">Bundling </w:t>
      </w:r>
      <w:r w:rsidR="00B14C41">
        <w:t xml:space="preserve">refers to bundling of PRBs into </w:t>
      </w:r>
      <w:r w:rsidRPr="00BB6118">
        <w:t xml:space="preserve">PRB Groups (PRG). Over each group, the UE may assume that the same pre-coder is applied, </w:t>
      </w:r>
      <w:r w:rsidRPr="00BB6118">
        <w:lastRenderedPageBreak/>
        <w:t>guaranteeing that there are no phase discontinuities in the effective channel over these PRBs.</w:t>
      </w:r>
      <w:r w:rsidR="00B14C41">
        <w:t xml:space="preserve"> This improves the channel estimation performance at UEs and hence leads to performance gains. However</w:t>
      </w:r>
      <w:r w:rsidR="0073254C">
        <w:t>,</w:t>
      </w:r>
      <w:r w:rsidR="00B14C41">
        <w:t xml:space="preserve"> in the cases where transmitter can perform per-PRB based precoding and/or there is channel </w:t>
      </w:r>
      <w:r w:rsidR="0054726D">
        <w:t>reciprocity</w:t>
      </w:r>
      <w:r w:rsidR="00B14C41">
        <w:t xml:space="preserve">, the gains achieved by PRB bundling </w:t>
      </w:r>
      <w:r w:rsidR="0073254C">
        <w:t>are</w:t>
      </w:r>
      <w:r w:rsidR="00B14C41">
        <w:t xml:space="preserve"> reduced significantly</w:t>
      </w:r>
      <w:sdt>
        <w:sdtPr>
          <w:id w:val="-1917692399"/>
          <w:citation/>
        </w:sdtPr>
        <w:sdtEndPr/>
        <w:sdtContent>
          <w:r w:rsidR="005A6D70">
            <w:fldChar w:fldCharType="begin"/>
          </w:r>
          <w:r w:rsidR="005A6D70">
            <w:rPr>
              <w:lang w:val="en-US"/>
            </w:rPr>
            <w:instrText xml:space="preserve"> CITATION R11612481 \l 1033 </w:instrText>
          </w:r>
          <w:r w:rsidR="005A6D70">
            <w:fldChar w:fldCharType="separate"/>
          </w:r>
          <w:r w:rsidR="001E06D3">
            <w:rPr>
              <w:noProof/>
              <w:lang w:val="en-US"/>
            </w:rPr>
            <w:t xml:space="preserve"> </w:t>
          </w:r>
          <w:r w:rsidR="001E06D3" w:rsidRPr="001E06D3">
            <w:rPr>
              <w:noProof/>
              <w:lang w:val="en-US"/>
            </w:rPr>
            <w:t>[3]</w:t>
          </w:r>
          <w:r w:rsidR="005A6D70">
            <w:fldChar w:fldCharType="end"/>
          </w:r>
        </w:sdtContent>
      </w:sdt>
      <w:r w:rsidR="00B14C41">
        <w:t xml:space="preserve">. </w:t>
      </w:r>
      <w:r w:rsidR="000936B7">
        <w:t>On the other hand, the PRB bundling size, namely the PRG size, plays an important role in determining the system performance</w:t>
      </w:r>
      <w:r w:rsidR="000936B7" w:rsidRPr="000936B7">
        <w:t xml:space="preserve"> </w:t>
      </w:r>
      <w:sdt>
        <w:sdtPr>
          <w:id w:val="1450039723"/>
          <w:citation/>
        </w:sdtPr>
        <w:sdtEndPr/>
        <w:sdtContent>
          <w:r w:rsidR="00E037D3">
            <w:fldChar w:fldCharType="begin"/>
          </w:r>
          <w:r w:rsidR="007267B4">
            <w:rPr>
              <w:lang w:val="en-US"/>
            </w:rPr>
            <w:instrText xml:space="preserve">CITATION R11612045 \l 1033 </w:instrText>
          </w:r>
          <w:r w:rsidR="00E037D3">
            <w:fldChar w:fldCharType="separate"/>
          </w:r>
          <w:r w:rsidR="001E06D3" w:rsidRPr="001E06D3">
            <w:rPr>
              <w:noProof/>
              <w:lang w:val="en-US"/>
            </w:rPr>
            <w:t>[4]</w:t>
          </w:r>
          <w:r w:rsidR="00E037D3">
            <w:fldChar w:fldCharType="end"/>
          </w:r>
        </w:sdtContent>
      </w:sdt>
      <w:r w:rsidR="000936B7" w:rsidRPr="000936B7">
        <w:t>.</w:t>
      </w:r>
      <w:r w:rsidR="000936B7">
        <w:t xml:space="preserve"> In LTE </w:t>
      </w:r>
      <w:proofErr w:type="spellStart"/>
      <w:r w:rsidR="000936B7">
        <w:t>Rel</w:t>
      </w:r>
      <w:proofErr w:type="spellEnd"/>
      <w:r w:rsidR="000936B7">
        <w:t xml:space="preserve"> 10, PRG size is determined purely dependent upon the system BW as per the following rule:</w:t>
      </w:r>
    </w:p>
    <w:p w14:paraId="54CD7C7B" w14:textId="77777777" w:rsidR="000936B7" w:rsidRDefault="000936B7" w:rsidP="007E0D55">
      <w:pPr>
        <w:pStyle w:val="maintext"/>
        <w:numPr>
          <w:ilvl w:val="0"/>
          <w:numId w:val="21"/>
        </w:numPr>
        <w:ind w:firstLineChars="0"/>
      </w:pPr>
      <w:r>
        <w:t>A PRG consists of consecutive PRBs</w:t>
      </w:r>
    </w:p>
    <w:p w14:paraId="4DA68C29" w14:textId="77777777" w:rsidR="000936B7" w:rsidRDefault="000936B7" w:rsidP="007E0D55">
      <w:pPr>
        <w:pStyle w:val="maintext"/>
        <w:numPr>
          <w:ilvl w:val="0"/>
          <w:numId w:val="21"/>
        </w:numPr>
        <w:ind w:firstLineChars="0"/>
      </w:pPr>
      <w:r w:rsidRPr="005A6A49">
        <w:rPr>
          <w:lang w:val="en-US"/>
        </w:rPr>
        <w:t>PRGs partition the system bandwidth</w:t>
      </w:r>
      <w:r>
        <w:t xml:space="preserve"> </w:t>
      </w:r>
    </w:p>
    <w:p w14:paraId="08884EAC" w14:textId="0F2D085D" w:rsidR="000936B7" w:rsidRDefault="000936B7" w:rsidP="007E0D55">
      <w:pPr>
        <w:pStyle w:val="maintext"/>
        <w:numPr>
          <w:ilvl w:val="0"/>
          <w:numId w:val="21"/>
        </w:numPr>
        <w:ind w:firstLineChars="0"/>
      </w:pPr>
      <w:r>
        <w:t xml:space="preserve">The size of a PRG is fixed and is only determined by the corresponding system bandwidth </w:t>
      </w:r>
    </w:p>
    <w:p w14:paraId="2D5C7085" w14:textId="77777777" w:rsidR="00736394" w:rsidRDefault="000936B7" w:rsidP="00736394">
      <w:pPr>
        <w:pStyle w:val="maintext"/>
        <w:ind w:firstLine="400"/>
      </w:pPr>
      <w:r>
        <w:t>There is a trade</w:t>
      </w:r>
      <w:r w:rsidR="007E0D55">
        <w:t>-</w:t>
      </w:r>
      <w:r>
        <w:t xml:space="preserve">off in the system performance when we increase </w:t>
      </w:r>
      <w:r w:rsidR="0050795D">
        <w:t xml:space="preserve">the </w:t>
      </w:r>
      <w:r>
        <w:t>PRG size. High PRG size may improve channel estimation performance, but it also increases receiver complexity. For NR, PRG size</w:t>
      </w:r>
      <w:r w:rsidR="0054726D">
        <w:t xml:space="preserve"> must be </w:t>
      </w:r>
      <w:r>
        <w:t>selected in a way</w:t>
      </w:r>
      <w:r w:rsidR="0054726D">
        <w:t xml:space="preserve"> to maximize gain.</w:t>
      </w:r>
      <w:r w:rsidR="00A86E36" w:rsidRPr="00A86E36">
        <w:t xml:space="preserve"> </w:t>
      </w:r>
    </w:p>
    <w:p w14:paraId="2F33B9DD" w14:textId="1E1FAE74" w:rsidR="00E1196E" w:rsidRPr="00465682" w:rsidRDefault="007B0386" w:rsidP="00736394">
      <w:pPr>
        <w:pStyle w:val="Heading1"/>
      </w:pPr>
      <w:r>
        <w:t xml:space="preserve">Discussion on </w:t>
      </w:r>
      <w:r w:rsidR="009D7E49">
        <w:t xml:space="preserve">UL </w:t>
      </w:r>
      <w:r>
        <w:t>PRG size</w:t>
      </w:r>
    </w:p>
    <w:p w14:paraId="18E0115D" w14:textId="535BF0A1" w:rsidR="00736394" w:rsidRDefault="00736394" w:rsidP="007E0D55">
      <w:pPr>
        <w:pStyle w:val="maintext"/>
        <w:ind w:firstLine="400"/>
      </w:pPr>
      <w:r>
        <w:t>Feasibility of PRB bundling and PRG size depends on the transmission mode of Uplink and pre</w:t>
      </w:r>
      <w:r w:rsidR="00FC75AA">
        <w:t>-</w:t>
      </w:r>
      <w:r>
        <w:t>coder reporting configurations</w:t>
      </w:r>
      <w:r w:rsidR="00EE079B">
        <w:t xml:space="preserve"> and channel reciprocity</w:t>
      </w:r>
      <w:r w:rsidR="00066837">
        <w:t xml:space="preserve"> </w:t>
      </w:r>
      <w:sdt>
        <w:sdtPr>
          <w:id w:val="2007930675"/>
          <w:citation/>
        </w:sdtPr>
        <w:sdtEndPr/>
        <w:sdtContent>
          <w:r w:rsidR="00066837">
            <w:fldChar w:fldCharType="begin"/>
          </w:r>
          <w:r w:rsidR="00066837">
            <w:rPr>
              <w:lang w:val="en-US"/>
            </w:rPr>
            <w:instrText xml:space="preserve"> CITATION R11613676 \l 1033 </w:instrText>
          </w:r>
          <w:r w:rsidR="00066837">
            <w:fldChar w:fldCharType="separate"/>
          </w:r>
          <w:r w:rsidR="001E06D3" w:rsidRPr="001E06D3">
            <w:rPr>
              <w:noProof/>
              <w:lang w:val="en-US"/>
            </w:rPr>
            <w:t>[5]</w:t>
          </w:r>
          <w:r w:rsidR="00066837">
            <w:fldChar w:fldCharType="end"/>
          </w:r>
        </w:sdtContent>
      </w:sdt>
      <w:r w:rsidR="00EE079B">
        <w:t xml:space="preserve">. </w:t>
      </w:r>
    </w:p>
    <w:p w14:paraId="1177C021" w14:textId="78A7C0E6" w:rsidR="00736394" w:rsidRDefault="00736394" w:rsidP="00736394">
      <w:pPr>
        <w:pStyle w:val="Heading2"/>
      </w:pPr>
      <w:r>
        <w:t>DFT-S-OFDMA based transmission</w:t>
      </w:r>
    </w:p>
    <w:p w14:paraId="067C34AA" w14:textId="750EDF0E" w:rsidR="00736394" w:rsidRDefault="0064770F" w:rsidP="00736394">
      <w:pPr>
        <w:pStyle w:val="maintext"/>
        <w:ind w:firstLine="400"/>
      </w:pPr>
      <w:r>
        <w:t>DFT</w:t>
      </w:r>
      <w:r w:rsidR="00D34CE5">
        <w:t>-S-</w:t>
      </w:r>
      <w:r>
        <w:t xml:space="preserve">OFDMA refers to </w:t>
      </w:r>
      <w:r w:rsidR="00736394">
        <w:t xml:space="preserve">single carrier </w:t>
      </w:r>
      <w:r>
        <w:t>OFDMA which is used in LTE for uplink transmissions</w:t>
      </w:r>
      <w:r w:rsidR="00A823C2">
        <w:t>, and the waveform can be used for single-stream transmission only according to the agreement in RAN1#86b</w:t>
      </w:r>
      <w:r>
        <w:t xml:space="preserve">. </w:t>
      </w:r>
      <w:r w:rsidR="00A823C2">
        <w:t xml:space="preserve">Although only single stream transmission is possible with DFT-S-OFDMA, the UL transmission can still be </w:t>
      </w:r>
      <w:proofErr w:type="spellStart"/>
      <w:r w:rsidR="00A823C2">
        <w:t>beamformed</w:t>
      </w:r>
      <w:proofErr w:type="spellEnd"/>
      <w:r w:rsidR="00A823C2">
        <w:t xml:space="preserve">, especially in </w:t>
      </w:r>
      <w:proofErr w:type="spellStart"/>
      <w:r w:rsidR="00A823C2">
        <w:t>mmWave</w:t>
      </w:r>
      <w:proofErr w:type="spellEnd"/>
      <w:r w:rsidR="00A823C2">
        <w:t xml:space="preserve"> communications in which UE has 2D </w:t>
      </w:r>
      <w:r w:rsidR="007C1F8B">
        <w:t>antenna panels</w:t>
      </w:r>
      <w:r w:rsidR="00A823C2">
        <w:t xml:space="preserve">. </w:t>
      </w:r>
      <w:r w:rsidR="007C1F8B">
        <w:t xml:space="preserve">When UE has multiple TXRUs, UE is capable of applying frequency selective precoding if CP-OFDM is used; however, with DFT-S-OFDM, </w:t>
      </w:r>
      <w:r>
        <w:t xml:space="preserve">the transmitter cannot perform frequency selective precoding. For this case, the UE </w:t>
      </w:r>
      <w:r w:rsidR="008A12FB">
        <w:t xml:space="preserve">shall apply </w:t>
      </w:r>
      <w:r>
        <w:t>the same pre-coder</w:t>
      </w:r>
      <w:r w:rsidR="007C1F8B">
        <w:t>/beamforming</w:t>
      </w:r>
      <w:r>
        <w:t xml:space="preserve"> for all scheduled PRBs which implies that PRG size is the whole scheduled bandwidth.</w:t>
      </w:r>
    </w:p>
    <w:p w14:paraId="47F1D1D6" w14:textId="5B5651F0" w:rsidR="0064770F" w:rsidRDefault="0064770F" w:rsidP="0064770F">
      <w:pPr>
        <w:pStyle w:val="Heading2"/>
      </w:pPr>
      <w:r>
        <w:t>CP-OFDMA based transmission</w:t>
      </w:r>
    </w:p>
    <w:p w14:paraId="65FD083D" w14:textId="6E4D5B05" w:rsidR="00736394" w:rsidRDefault="00404A24" w:rsidP="0064770F">
      <w:pPr>
        <w:pStyle w:val="maintext"/>
        <w:ind w:firstLine="400"/>
      </w:pPr>
      <w:r>
        <w:t xml:space="preserve">In NR, it is proposed that uplink </w:t>
      </w:r>
      <w:r w:rsidR="008A12FB">
        <w:t xml:space="preserve">may </w:t>
      </w:r>
      <w:r>
        <w:t>also use CP-OFDMA instead of DFT-S-OFDMA. This provides the flexibility to perform per-PRB precoding on the cost of a higher PAPR. Based on the reciprocity of</w:t>
      </w:r>
      <w:r w:rsidR="002D1712">
        <w:t xml:space="preserve"> the channel, configuration of </w:t>
      </w:r>
      <w:r>
        <w:t>PRB bundling can be determined.</w:t>
      </w:r>
    </w:p>
    <w:p w14:paraId="5625B86D" w14:textId="3208795D" w:rsidR="00404A24" w:rsidRPr="00124E98" w:rsidRDefault="00124E98" w:rsidP="00124E98">
      <w:pPr>
        <w:pStyle w:val="maintext"/>
        <w:ind w:firstLineChars="0" w:firstLine="0"/>
        <w:rPr>
          <w:b/>
        </w:rPr>
      </w:pPr>
      <w:r w:rsidRPr="00124E98">
        <w:rPr>
          <w:b/>
        </w:rPr>
        <w:t xml:space="preserve">3.2.1 </w:t>
      </w:r>
      <w:r w:rsidR="00404A24" w:rsidRPr="00124E98">
        <w:rPr>
          <w:b/>
        </w:rPr>
        <w:t>Channel with reciprocity</w:t>
      </w:r>
    </w:p>
    <w:p w14:paraId="02FA9FF9" w14:textId="0EB664DA" w:rsidR="00C64646" w:rsidRDefault="002D1712" w:rsidP="00E134A6">
      <w:pPr>
        <w:pStyle w:val="maintext"/>
        <w:ind w:firstLine="400"/>
      </w:pPr>
      <w:r>
        <w:t xml:space="preserve">If the </w:t>
      </w:r>
      <w:r w:rsidR="008A12FB">
        <w:t>UE is reciprocity calibrated</w:t>
      </w:r>
      <w:r>
        <w:t xml:space="preserve">, the UE can assume that uplink channel is same as the downlink channel which it can estimate. Based on the channel, it can itself decide the uplink pre-coder </w:t>
      </w:r>
      <w:r w:rsidR="003C5D7B">
        <w:t xml:space="preserve">and the UE can perform </w:t>
      </w:r>
      <w:r>
        <w:t>per-PRB based precoding.</w:t>
      </w:r>
      <w:r w:rsidR="00E134A6">
        <w:t xml:space="preserve"> </w:t>
      </w:r>
      <w:r w:rsidR="00C64646">
        <w:t>However, i</w:t>
      </w:r>
      <w:r w:rsidR="00E451BC">
        <w:t>t is not clear if allowing UEs to choose arbitrary pre</w:t>
      </w:r>
      <w:r w:rsidR="00BC44E2">
        <w:t>-</w:t>
      </w:r>
      <w:r w:rsidR="00E451BC">
        <w:t>coder will improve the performance given their lack of knowledge of channels of other UEs.</w:t>
      </w:r>
      <w:r w:rsidR="00E134A6">
        <w:t xml:space="preserve"> </w:t>
      </w:r>
      <w:r w:rsidR="00C64646">
        <w:t>Therefore, we propose that</w:t>
      </w:r>
      <w:r w:rsidR="007C1F8B">
        <w:t xml:space="preserve"> </w:t>
      </w:r>
      <w:r w:rsidR="007C1F8B" w:rsidRPr="00FD4F94">
        <w:rPr>
          <w:i/>
        </w:rPr>
        <w:t xml:space="preserve">UE-centric </w:t>
      </w:r>
      <w:proofErr w:type="spellStart"/>
      <w:r w:rsidR="007C1F8B">
        <w:rPr>
          <w:i/>
        </w:rPr>
        <w:t>gNB</w:t>
      </w:r>
      <w:proofErr w:type="spellEnd"/>
      <w:r w:rsidR="007C1F8B">
        <w:rPr>
          <w:i/>
        </w:rPr>
        <w:t xml:space="preserve">-aided </w:t>
      </w:r>
      <w:r w:rsidR="007C1F8B" w:rsidRPr="00FD4F94">
        <w:rPr>
          <w:i/>
        </w:rPr>
        <w:t>UL precoder selection</w:t>
      </w:r>
      <w:r w:rsidR="007C1F8B">
        <w:t xml:space="preserve"> should be allowed (as proposed in</w:t>
      </w:r>
      <w:r w:rsidR="00862154">
        <w:t xml:space="preserve"> </w:t>
      </w:r>
      <w:sdt>
        <w:sdtPr>
          <w:id w:val="-1623374476"/>
          <w:citation/>
        </w:sdtPr>
        <w:sdtEndPr/>
        <w:sdtContent>
          <w:r w:rsidR="001E06D3">
            <w:fldChar w:fldCharType="begin"/>
          </w:r>
          <w:r w:rsidR="001E06D3">
            <w:instrText xml:space="preserve">CITATION R11612501 \l 1042 </w:instrText>
          </w:r>
          <w:r w:rsidR="001E06D3">
            <w:fldChar w:fldCharType="separate"/>
          </w:r>
          <w:r w:rsidR="00862154" w:rsidRPr="00B63A84">
            <w:rPr>
              <w:noProof/>
            </w:rPr>
            <w:t>[6]</w:t>
          </w:r>
          <w:r w:rsidR="001E06D3">
            <w:fldChar w:fldCharType="end"/>
          </w:r>
        </w:sdtContent>
      </w:sdt>
      <w:r w:rsidR="007C1F8B">
        <w:t>)</w:t>
      </w:r>
      <w:r w:rsidR="00C64646">
        <w:t>.</w:t>
      </w:r>
    </w:p>
    <w:p w14:paraId="28F91335" w14:textId="7692C5C0" w:rsidR="00E61AEA" w:rsidRDefault="00E451BC" w:rsidP="00EE648D">
      <w:pPr>
        <w:pStyle w:val="maintext"/>
        <w:ind w:firstLine="400"/>
      </w:pPr>
      <w:r>
        <w:t>If UE selection of pre</w:t>
      </w:r>
      <w:r w:rsidR="001847AE">
        <w:t>-</w:t>
      </w:r>
      <w:r>
        <w:t>coders are allowed</w:t>
      </w:r>
      <w:r w:rsidRPr="002D1712">
        <w:t xml:space="preserve">, </w:t>
      </w:r>
      <w:r>
        <w:t xml:space="preserve">it is proposed </w:t>
      </w:r>
      <w:r w:rsidR="00BC44E2">
        <w:t xml:space="preserve">have an option </w:t>
      </w:r>
      <w:r>
        <w:t>to configure to turn on PRB bundling to improve channel estimation performance</w:t>
      </w:r>
      <w:r w:rsidR="00BC44E2">
        <w:t xml:space="preserve"> and UE-specifically configure a </w:t>
      </w:r>
      <w:r w:rsidR="00BC44E2" w:rsidRPr="002D1712">
        <w:t>PRG size</w:t>
      </w:r>
      <w:r w:rsidR="00BC44E2">
        <w:t xml:space="preserve"> in this case</w:t>
      </w:r>
      <w:r>
        <w:t xml:space="preserve">. </w:t>
      </w:r>
    </w:p>
    <w:p w14:paraId="77B93B87" w14:textId="17D715FF" w:rsidR="00D34CE5" w:rsidRDefault="00D34CE5" w:rsidP="0049703F">
      <w:pPr>
        <w:pStyle w:val="maintext"/>
        <w:ind w:firstLineChars="0" w:firstLine="400"/>
      </w:pPr>
      <w:r>
        <w:t xml:space="preserve">In the case where UEs are not allowed to arbitrary choose pre-coder for uplink transmission, </w:t>
      </w:r>
      <w:proofErr w:type="spellStart"/>
      <w:r>
        <w:t>gNBs</w:t>
      </w:r>
      <w:proofErr w:type="spellEnd"/>
      <w:r>
        <w:t xml:space="preserve"> </w:t>
      </w:r>
      <w:r w:rsidR="0007578C">
        <w:t xml:space="preserve">will need to </w:t>
      </w:r>
      <w:r>
        <w:t xml:space="preserve">provide or indicate the exact pre-coder to each UE to use. </w:t>
      </w:r>
    </w:p>
    <w:p w14:paraId="61E59C10" w14:textId="77777777" w:rsidR="0007578C" w:rsidRDefault="0007578C" w:rsidP="0049703F">
      <w:pPr>
        <w:pStyle w:val="maintext"/>
        <w:ind w:firstLineChars="0" w:firstLine="400"/>
      </w:pPr>
    </w:p>
    <w:p w14:paraId="3274767E" w14:textId="0F0D154D" w:rsidR="006730BD" w:rsidRPr="00124E98" w:rsidRDefault="00124E98" w:rsidP="00124E98">
      <w:pPr>
        <w:pStyle w:val="maintext"/>
        <w:ind w:firstLineChars="0" w:firstLine="0"/>
        <w:rPr>
          <w:b/>
        </w:rPr>
      </w:pPr>
      <w:r w:rsidRPr="00124E98">
        <w:rPr>
          <w:b/>
        </w:rPr>
        <w:t xml:space="preserve">3.2.2 </w:t>
      </w:r>
      <w:r w:rsidR="006730BD" w:rsidRPr="00124E98">
        <w:rPr>
          <w:b/>
        </w:rPr>
        <w:t>Channel without reciprocity</w:t>
      </w:r>
    </w:p>
    <w:p w14:paraId="50578234" w14:textId="482AF402" w:rsidR="00D21D14" w:rsidRDefault="006730BD" w:rsidP="006730BD">
      <w:pPr>
        <w:pStyle w:val="maintext"/>
        <w:ind w:firstLine="400"/>
      </w:pPr>
      <w:r>
        <w:t>If the channel is not reciprocal, the UE cannot estimate the uplink channel and cannot itself decide the optimal uplink pre-coder. In this case, the BS must provide UE with the optimal pre</w:t>
      </w:r>
      <w:r w:rsidR="00EE648D">
        <w:t>-</w:t>
      </w:r>
      <w:r>
        <w:t>coder index which can be either done using transmit pre</w:t>
      </w:r>
      <w:r w:rsidR="00EE648D">
        <w:t>-</w:t>
      </w:r>
      <w:r>
        <w:t>coder matrix index (TPMI) or antenna port virtualization (using pre</w:t>
      </w:r>
      <w:r w:rsidR="00EE648D">
        <w:t>-</w:t>
      </w:r>
      <w:r>
        <w:t>coded pilots).</w:t>
      </w:r>
      <w:r w:rsidR="00EE648D">
        <w:t xml:space="preserve"> In both cases, it is not possible to provide pre-coder information for each PRBs owing to the large overhead</w:t>
      </w:r>
      <w:r w:rsidR="00D21D14">
        <w:t xml:space="preserve">. </w:t>
      </w:r>
    </w:p>
    <w:p w14:paraId="780B6948" w14:textId="4984F9CE" w:rsidR="00A27EF5" w:rsidRDefault="00D21D14" w:rsidP="006730BD">
      <w:pPr>
        <w:pStyle w:val="maintext"/>
        <w:ind w:firstLine="400"/>
      </w:pPr>
      <w:r>
        <w:t>For TPMI based transmission</w:t>
      </w:r>
      <w:r w:rsidR="00A27EF5">
        <w:t xml:space="preserve"> and TPMI based precoder cycling</w:t>
      </w:r>
      <w:r w:rsidR="004D504A">
        <w:t xml:space="preserve"> </w:t>
      </w:r>
      <w:sdt>
        <w:sdtPr>
          <w:id w:val="-283109735"/>
          <w:citation/>
        </w:sdtPr>
        <w:sdtEndPr/>
        <w:sdtContent>
          <w:r w:rsidR="004D504A">
            <w:fldChar w:fldCharType="begin"/>
          </w:r>
          <w:r w:rsidR="004D504A">
            <w:rPr>
              <w:lang w:val="en-US"/>
            </w:rPr>
            <w:instrText xml:space="preserve"> CITATION R11612479 \l 1033 </w:instrText>
          </w:r>
          <w:r w:rsidR="004D504A">
            <w:fldChar w:fldCharType="separate"/>
          </w:r>
          <w:r w:rsidR="001E06D3" w:rsidRPr="001E06D3">
            <w:rPr>
              <w:noProof/>
              <w:lang w:val="en-US"/>
            </w:rPr>
            <w:t>[7]</w:t>
          </w:r>
          <w:r w:rsidR="004D504A">
            <w:fldChar w:fldCharType="end"/>
          </w:r>
        </w:sdtContent>
      </w:sdt>
      <w:r>
        <w:t>,</w:t>
      </w:r>
      <w:r w:rsidR="00EE648D">
        <w:t xml:space="preserve"> </w:t>
      </w:r>
      <w:r w:rsidR="00A27EF5">
        <w:t xml:space="preserve">either non-precoded or precoded DMRS can be considered. </w:t>
      </w:r>
      <w:r w:rsidR="0007578C">
        <w:t xml:space="preserve">Both options </w:t>
      </w:r>
      <w:r w:rsidR="00A24573">
        <w:t xml:space="preserve">were </w:t>
      </w:r>
      <w:r w:rsidR="0007578C">
        <w:t xml:space="preserve">considered in LTE UL MIMO. Potential benefits of non-precoded DMRS </w:t>
      </w:r>
      <w:r w:rsidR="0007578C">
        <w:lastRenderedPageBreak/>
        <w:t xml:space="preserve">include that they can be used for channel sounding at the TRP side, and </w:t>
      </w:r>
      <w:r w:rsidR="00A24573">
        <w:t xml:space="preserve">they allow wide-band channel estimation. </w:t>
      </w:r>
      <w:r w:rsidR="00A27EF5">
        <w:t>When non-precoded DMRS are used, the DMRS precoding granularity can be the full scheduled BW</w:t>
      </w:r>
      <w:r w:rsidR="00CF0D3A">
        <w:t xml:space="preserve"> (regardless of whether precoder cycling is applied for PUSCH or not)</w:t>
      </w:r>
      <w:r w:rsidR="00A27EF5">
        <w:t xml:space="preserve">. On the other hand, when precoded DMRS are used, the precoding granularity of DMRS and PUSCH should be aligned. If a single TPMI is applicable for the full scheduled BW, the PRG size becomes the full scheduled BW; </w:t>
      </w:r>
      <w:r w:rsidR="00CF0D3A">
        <w:t xml:space="preserve">on the contrary, </w:t>
      </w:r>
      <w:r w:rsidR="00A27EF5">
        <w:t>if precoder cycling</w:t>
      </w:r>
      <w:r w:rsidR="00CF0D3A">
        <w:t xml:space="preserve"> is configured for the PUSCH, the PRG size could be UE-specifically configured. </w:t>
      </w:r>
    </w:p>
    <w:p w14:paraId="72D5712D" w14:textId="0F68D735" w:rsidR="00690D5B" w:rsidRPr="00465682" w:rsidRDefault="00690D5B" w:rsidP="00690D5B">
      <w:pPr>
        <w:pStyle w:val="Heading1"/>
      </w:pPr>
      <w:r>
        <w:t>Summary</w:t>
      </w:r>
    </w:p>
    <w:p w14:paraId="6249CE3B" w14:textId="236FA695" w:rsidR="00A55B62" w:rsidRPr="00A55B62" w:rsidRDefault="00A55B62" w:rsidP="00A55B62">
      <w:pPr>
        <w:pStyle w:val="maintext"/>
        <w:ind w:firstLine="400"/>
      </w:pPr>
      <w:r w:rsidRPr="00A55B62">
        <w:t>In this contribution</w:t>
      </w:r>
      <w:r>
        <w:t>, we have discussed the DMRS configuration for Uplink transmission and proposed the following:</w:t>
      </w:r>
    </w:p>
    <w:p w14:paraId="7E7FF939" w14:textId="5336EEDC" w:rsidR="00A55B62" w:rsidRPr="00D34CE5" w:rsidRDefault="00A55B62" w:rsidP="00A55B62">
      <w:pPr>
        <w:pStyle w:val="maintext"/>
        <w:numPr>
          <w:ilvl w:val="0"/>
          <w:numId w:val="25"/>
        </w:numPr>
        <w:ind w:firstLineChars="0"/>
        <w:rPr>
          <w:i/>
        </w:rPr>
      </w:pPr>
      <w:r w:rsidRPr="00D34CE5">
        <w:rPr>
          <w:i/>
        </w:rPr>
        <w:t xml:space="preserve">If </w:t>
      </w:r>
      <w:r>
        <w:rPr>
          <w:i/>
        </w:rPr>
        <w:t>a</w:t>
      </w:r>
      <w:r w:rsidRPr="00D34CE5">
        <w:rPr>
          <w:i/>
        </w:rPr>
        <w:t xml:space="preserve"> UE is configured for DFT-S-OFDMA based transmission, </w:t>
      </w:r>
      <w:r w:rsidR="00A24573">
        <w:rPr>
          <w:i/>
        </w:rPr>
        <w:t xml:space="preserve">the </w:t>
      </w:r>
      <w:r w:rsidRPr="00D34CE5">
        <w:rPr>
          <w:i/>
        </w:rPr>
        <w:t>PRG size is the whole scheduled bandwidth.</w:t>
      </w:r>
    </w:p>
    <w:p w14:paraId="793D8DF2" w14:textId="3C3CC4D4" w:rsidR="00A24573" w:rsidRDefault="00A24573" w:rsidP="00A55B62">
      <w:pPr>
        <w:pStyle w:val="maintext"/>
        <w:numPr>
          <w:ilvl w:val="0"/>
          <w:numId w:val="25"/>
        </w:numPr>
        <w:ind w:firstLineChars="0"/>
        <w:rPr>
          <w:i/>
        </w:rPr>
      </w:pPr>
      <w:r>
        <w:rPr>
          <w:i/>
        </w:rPr>
        <w:t>If a UE is configured for CP-OFDM based transmission, the PRG size can be either of full scheduled BW or a UE-specifically configured value, and it can be dynamically indicated</w:t>
      </w:r>
    </w:p>
    <w:p w14:paraId="077AF833" w14:textId="53E6CD6B" w:rsidR="00A24573" w:rsidRDefault="00A24573" w:rsidP="00B63A84">
      <w:pPr>
        <w:pStyle w:val="maintext"/>
        <w:numPr>
          <w:ilvl w:val="1"/>
          <w:numId w:val="25"/>
        </w:numPr>
        <w:ind w:firstLineChars="0"/>
        <w:rPr>
          <w:i/>
        </w:rPr>
      </w:pPr>
      <w:r>
        <w:rPr>
          <w:i/>
        </w:rPr>
        <w:t xml:space="preserve">The selected precoder in each PRG is either selected by UE (i.e., </w:t>
      </w:r>
      <w:r w:rsidRPr="00FD4F94">
        <w:rPr>
          <w:i/>
        </w:rPr>
        <w:t xml:space="preserve">UE-centric </w:t>
      </w:r>
      <w:proofErr w:type="spellStart"/>
      <w:r>
        <w:rPr>
          <w:i/>
        </w:rPr>
        <w:t>gNB</w:t>
      </w:r>
      <w:proofErr w:type="spellEnd"/>
      <w:r>
        <w:rPr>
          <w:i/>
        </w:rPr>
        <w:t xml:space="preserve">-aided </w:t>
      </w:r>
      <w:r w:rsidRPr="00FD4F94">
        <w:rPr>
          <w:i/>
        </w:rPr>
        <w:t>UL precoder selection</w:t>
      </w:r>
      <w:r>
        <w:rPr>
          <w:i/>
        </w:rPr>
        <w:t xml:space="preserve">) or configured by </w:t>
      </w:r>
      <w:proofErr w:type="spellStart"/>
      <w:r>
        <w:rPr>
          <w:i/>
        </w:rPr>
        <w:t>gNB</w:t>
      </w:r>
      <w:proofErr w:type="spellEnd"/>
      <w:r>
        <w:rPr>
          <w:i/>
        </w:rPr>
        <w:t xml:space="preserve"> (i.e., precoder cycling).</w:t>
      </w:r>
    </w:p>
    <w:p w14:paraId="69A2E479" w14:textId="533731B6" w:rsidR="00A24573" w:rsidRDefault="00A24573" w:rsidP="00A55B62">
      <w:pPr>
        <w:pStyle w:val="maintext"/>
        <w:numPr>
          <w:ilvl w:val="0"/>
          <w:numId w:val="25"/>
        </w:numPr>
        <w:ind w:firstLineChars="0"/>
        <w:rPr>
          <w:i/>
        </w:rPr>
      </w:pPr>
      <w:r>
        <w:rPr>
          <w:i/>
        </w:rPr>
        <w:t>Study the use of non-precoded UL DMRS</w:t>
      </w:r>
    </w:p>
    <w:sdt>
      <w:sdtPr>
        <w:rPr>
          <w:rFonts w:ascii="Times New Roman" w:eastAsia="Times New Roman" w:hAnsi="Times New Roman" w:cs="Times New Roman"/>
          <w:b w:val="0"/>
          <w:bCs w:val="0"/>
          <w:kern w:val="0"/>
          <w:sz w:val="20"/>
          <w:szCs w:val="24"/>
        </w:rPr>
        <w:id w:val="974874103"/>
        <w:docPartObj>
          <w:docPartGallery w:val="Bibliographies"/>
          <w:docPartUnique/>
        </w:docPartObj>
      </w:sdtPr>
      <w:sdtEndPr/>
      <w:sdtContent>
        <w:p w14:paraId="513BA5A7" w14:textId="76AB19E7" w:rsidR="00E2377B" w:rsidRDefault="00E2377B" w:rsidP="0072532E">
          <w:pPr>
            <w:pStyle w:val="Heading1"/>
            <w:jc w:val="both"/>
          </w:pPr>
          <w:r>
            <w:t>References</w:t>
          </w:r>
        </w:p>
        <w:sdt>
          <w:sdtPr>
            <w:id w:val="-573587230"/>
            <w:bibliography/>
          </w:sdtPr>
          <w:sdtEndPr/>
          <w:sdtContent>
            <w:p w14:paraId="6B158468" w14:textId="77777777" w:rsidR="001E06D3" w:rsidRDefault="00E2377B" w:rsidP="0049703F">
              <w:pPr>
                <w:jc w:val="both"/>
                <w:rPr>
                  <w:rFonts w:asciiTheme="minorHAnsi" w:eastAsiaTheme="minorEastAsia" w:hAnsiTheme="minorHAnsi" w:cstheme="minorBidi"/>
                  <w:noProof/>
                  <w:sz w:val="22"/>
                  <w:szCs w:val="22"/>
                  <w:lang w:val="sv-SE"/>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8763"/>
              </w:tblGrid>
              <w:tr w:rsidR="001E06D3" w14:paraId="32149591" w14:textId="77777777">
                <w:trPr>
                  <w:divId w:val="762724308"/>
                  <w:tblCellSpacing w:w="15" w:type="dxa"/>
                </w:trPr>
                <w:tc>
                  <w:tcPr>
                    <w:tcW w:w="50" w:type="pct"/>
                    <w:hideMark/>
                  </w:tcPr>
                  <w:p w14:paraId="526BD4AC" w14:textId="77777777" w:rsidR="001E06D3" w:rsidRDefault="001E06D3">
                    <w:pPr>
                      <w:pStyle w:val="Bibliography"/>
                      <w:rPr>
                        <w:noProof/>
                        <w:sz w:val="24"/>
                      </w:rPr>
                    </w:pPr>
                    <w:r>
                      <w:rPr>
                        <w:noProof/>
                      </w:rPr>
                      <w:t xml:space="preserve">[1] </w:t>
                    </w:r>
                  </w:p>
                </w:tc>
                <w:tc>
                  <w:tcPr>
                    <w:tcW w:w="0" w:type="auto"/>
                    <w:hideMark/>
                  </w:tcPr>
                  <w:p w14:paraId="0DCAA47A" w14:textId="77777777" w:rsidR="001E06D3" w:rsidRDefault="001E06D3">
                    <w:pPr>
                      <w:pStyle w:val="Bibliography"/>
                      <w:rPr>
                        <w:noProof/>
                      </w:rPr>
                    </w:pPr>
                    <w:r>
                      <w:rPr>
                        <w:noProof/>
                      </w:rPr>
                      <w:t xml:space="preserve">"3GPP, RAN1#86, Chairman’s Notes". </w:t>
                    </w:r>
                  </w:p>
                </w:tc>
              </w:tr>
              <w:tr w:rsidR="001E06D3" w14:paraId="74038A32" w14:textId="77777777">
                <w:trPr>
                  <w:divId w:val="762724308"/>
                  <w:tblCellSpacing w:w="15" w:type="dxa"/>
                </w:trPr>
                <w:tc>
                  <w:tcPr>
                    <w:tcW w:w="50" w:type="pct"/>
                    <w:hideMark/>
                  </w:tcPr>
                  <w:p w14:paraId="5ABAACD2" w14:textId="77777777" w:rsidR="001E06D3" w:rsidRDefault="001E06D3">
                    <w:pPr>
                      <w:pStyle w:val="Bibliography"/>
                      <w:rPr>
                        <w:noProof/>
                      </w:rPr>
                    </w:pPr>
                    <w:r>
                      <w:rPr>
                        <w:noProof/>
                      </w:rPr>
                      <w:t xml:space="preserve">[2] </w:t>
                    </w:r>
                  </w:p>
                </w:tc>
                <w:tc>
                  <w:tcPr>
                    <w:tcW w:w="0" w:type="auto"/>
                    <w:hideMark/>
                  </w:tcPr>
                  <w:p w14:paraId="4684E9A0" w14:textId="77777777" w:rsidR="001E06D3" w:rsidRDefault="001E06D3">
                    <w:pPr>
                      <w:pStyle w:val="Bibliography"/>
                      <w:rPr>
                        <w:noProof/>
                      </w:rPr>
                    </w:pPr>
                    <w:r>
                      <w:rPr>
                        <w:noProof/>
                      </w:rPr>
                      <w:t xml:space="preserve">"3GPP, RAN1#87, Chairman’s Notes," </w:t>
                    </w:r>
                    <w:r>
                      <w:rPr>
                        <w:i/>
                        <w:iCs/>
                        <w:noProof/>
                      </w:rPr>
                      <w:t xml:space="preserve">3GPP TSG RAN WG1 Meeting #87, Reno, USA, </w:t>
                    </w:r>
                    <w:r>
                      <w:rPr>
                        <w:noProof/>
                      </w:rPr>
                      <w:t xml:space="preserve">14-18 Nov, 2016. </w:t>
                    </w:r>
                  </w:p>
                </w:tc>
              </w:tr>
              <w:tr w:rsidR="001E06D3" w14:paraId="0EE49F10" w14:textId="77777777">
                <w:trPr>
                  <w:divId w:val="762724308"/>
                  <w:tblCellSpacing w:w="15" w:type="dxa"/>
                </w:trPr>
                <w:tc>
                  <w:tcPr>
                    <w:tcW w:w="50" w:type="pct"/>
                    <w:hideMark/>
                  </w:tcPr>
                  <w:p w14:paraId="46D98FA8" w14:textId="77777777" w:rsidR="001E06D3" w:rsidRDefault="001E06D3">
                    <w:pPr>
                      <w:pStyle w:val="Bibliography"/>
                      <w:rPr>
                        <w:noProof/>
                      </w:rPr>
                    </w:pPr>
                    <w:r>
                      <w:rPr>
                        <w:noProof/>
                      </w:rPr>
                      <w:t xml:space="preserve">[3] </w:t>
                    </w:r>
                  </w:p>
                </w:tc>
                <w:tc>
                  <w:tcPr>
                    <w:tcW w:w="0" w:type="auto"/>
                    <w:hideMark/>
                  </w:tcPr>
                  <w:p w14:paraId="236904A9" w14:textId="77777777" w:rsidR="001E06D3" w:rsidRDefault="001E06D3">
                    <w:pPr>
                      <w:pStyle w:val="Bibliography"/>
                      <w:rPr>
                        <w:noProof/>
                      </w:rPr>
                    </w:pPr>
                    <w:r>
                      <w:rPr>
                        <w:noProof/>
                      </w:rPr>
                      <w:t xml:space="preserve">R1-1612481, "Discussion on precoding granularity in NR," </w:t>
                    </w:r>
                    <w:r>
                      <w:rPr>
                        <w:i/>
                        <w:iCs/>
                        <w:noProof/>
                      </w:rPr>
                      <w:t xml:space="preserve">Samsung, 3GPP TSG RAN WG1 #87 Reno, USA, </w:t>
                    </w:r>
                    <w:r>
                      <w:rPr>
                        <w:noProof/>
                      </w:rPr>
                      <w:t xml:space="preserve">14-18 Nov 2016. </w:t>
                    </w:r>
                  </w:p>
                </w:tc>
              </w:tr>
              <w:tr w:rsidR="001E06D3" w14:paraId="136A2BE5" w14:textId="77777777">
                <w:trPr>
                  <w:divId w:val="762724308"/>
                  <w:tblCellSpacing w:w="15" w:type="dxa"/>
                </w:trPr>
                <w:tc>
                  <w:tcPr>
                    <w:tcW w:w="50" w:type="pct"/>
                    <w:hideMark/>
                  </w:tcPr>
                  <w:p w14:paraId="73B6F037" w14:textId="77777777" w:rsidR="001E06D3" w:rsidRDefault="001E06D3">
                    <w:pPr>
                      <w:pStyle w:val="Bibliography"/>
                      <w:rPr>
                        <w:noProof/>
                      </w:rPr>
                    </w:pPr>
                    <w:r>
                      <w:rPr>
                        <w:noProof/>
                      </w:rPr>
                      <w:t xml:space="preserve">[4] </w:t>
                    </w:r>
                  </w:p>
                </w:tc>
                <w:tc>
                  <w:tcPr>
                    <w:tcW w:w="0" w:type="auto"/>
                    <w:hideMark/>
                  </w:tcPr>
                  <w:p w14:paraId="4C2A7227" w14:textId="77777777" w:rsidR="001E06D3" w:rsidRDefault="001E06D3">
                    <w:pPr>
                      <w:pStyle w:val="Bibliography"/>
                      <w:rPr>
                        <w:noProof/>
                      </w:rPr>
                    </w:pPr>
                    <w:r>
                      <w:rPr>
                        <w:noProof/>
                      </w:rPr>
                      <w:t xml:space="preserve">R1-1612045, "Discussion on phase continuity and PRB bundling," </w:t>
                    </w:r>
                    <w:r>
                      <w:rPr>
                        <w:i/>
                        <w:iCs/>
                        <w:noProof/>
                      </w:rPr>
                      <w:t xml:space="preserve">Qualcomm, 3GPP TSG RAN WG1 Meeting #87, Reno, USA, </w:t>
                    </w:r>
                    <w:r>
                      <w:rPr>
                        <w:noProof/>
                      </w:rPr>
                      <w:t xml:space="preserve">14-18 Nov, 2016. </w:t>
                    </w:r>
                  </w:p>
                </w:tc>
              </w:tr>
              <w:tr w:rsidR="001E06D3" w14:paraId="05F9C2B4" w14:textId="77777777">
                <w:trPr>
                  <w:divId w:val="762724308"/>
                  <w:tblCellSpacing w:w="15" w:type="dxa"/>
                </w:trPr>
                <w:tc>
                  <w:tcPr>
                    <w:tcW w:w="50" w:type="pct"/>
                    <w:hideMark/>
                  </w:tcPr>
                  <w:p w14:paraId="6B22AEFB" w14:textId="77777777" w:rsidR="001E06D3" w:rsidRDefault="001E06D3">
                    <w:pPr>
                      <w:pStyle w:val="Bibliography"/>
                      <w:rPr>
                        <w:noProof/>
                      </w:rPr>
                    </w:pPr>
                    <w:r>
                      <w:rPr>
                        <w:noProof/>
                      </w:rPr>
                      <w:t xml:space="preserve">[5] </w:t>
                    </w:r>
                  </w:p>
                </w:tc>
                <w:tc>
                  <w:tcPr>
                    <w:tcW w:w="0" w:type="auto"/>
                    <w:hideMark/>
                  </w:tcPr>
                  <w:p w14:paraId="2C9FB544" w14:textId="77777777" w:rsidR="001E06D3" w:rsidRDefault="001E06D3">
                    <w:pPr>
                      <w:pStyle w:val="Bibliography"/>
                      <w:rPr>
                        <w:noProof/>
                      </w:rPr>
                    </w:pPr>
                    <w:r>
                      <w:rPr>
                        <w:noProof/>
                      </w:rPr>
                      <w:t xml:space="preserve">R1-1613676, "Way Forward - WF on UL PRG size," </w:t>
                    </w:r>
                    <w:r>
                      <w:rPr>
                        <w:i/>
                        <w:iCs/>
                        <w:noProof/>
                      </w:rPr>
                      <w:t xml:space="preserve">Qualcomm, Interdigital, 3GPP TSG RAN WG1 Meeting #87, Reno, USA, </w:t>
                    </w:r>
                    <w:r>
                      <w:rPr>
                        <w:noProof/>
                      </w:rPr>
                      <w:t xml:space="preserve">14-18 Nov 2016. </w:t>
                    </w:r>
                  </w:p>
                </w:tc>
              </w:tr>
              <w:tr w:rsidR="001E06D3" w14:paraId="5D76D563" w14:textId="77777777">
                <w:trPr>
                  <w:divId w:val="762724308"/>
                  <w:tblCellSpacing w:w="15" w:type="dxa"/>
                </w:trPr>
                <w:tc>
                  <w:tcPr>
                    <w:tcW w:w="50" w:type="pct"/>
                    <w:hideMark/>
                  </w:tcPr>
                  <w:p w14:paraId="59AF346D" w14:textId="77777777" w:rsidR="001E06D3" w:rsidRDefault="001E06D3">
                    <w:pPr>
                      <w:pStyle w:val="Bibliography"/>
                      <w:rPr>
                        <w:noProof/>
                      </w:rPr>
                    </w:pPr>
                    <w:r>
                      <w:rPr>
                        <w:noProof/>
                      </w:rPr>
                      <w:t xml:space="preserve">[6] </w:t>
                    </w:r>
                  </w:p>
                </w:tc>
                <w:tc>
                  <w:tcPr>
                    <w:tcW w:w="0" w:type="auto"/>
                    <w:hideMark/>
                  </w:tcPr>
                  <w:p w14:paraId="317B2CEA" w14:textId="77777777" w:rsidR="001E06D3" w:rsidRDefault="001E06D3">
                    <w:pPr>
                      <w:pStyle w:val="Bibliography"/>
                      <w:rPr>
                        <w:noProof/>
                      </w:rPr>
                    </w:pPr>
                    <w:r>
                      <w:rPr>
                        <w:noProof/>
                      </w:rPr>
                      <w:t xml:space="preserve">R1-1612501, "CSI Acquisition for UL NR MIMO," </w:t>
                    </w:r>
                    <w:r>
                      <w:rPr>
                        <w:i/>
                        <w:iCs/>
                        <w:noProof/>
                      </w:rPr>
                      <w:t xml:space="preserve">Samsung, 3GPP TSG RAN WG1 Meeting #87, Reno, USA, </w:t>
                    </w:r>
                    <w:r>
                      <w:rPr>
                        <w:noProof/>
                      </w:rPr>
                      <w:t xml:space="preserve">14-18 Nov, 2016. </w:t>
                    </w:r>
                  </w:p>
                </w:tc>
              </w:tr>
              <w:tr w:rsidR="001E06D3" w14:paraId="7E3F4697" w14:textId="77777777">
                <w:trPr>
                  <w:divId w:val="762724308"/>
                  <w:tblCellSpacing w:w="15" w:type="dxa"/>
                </w:trPr>
                <w:tc>
                  <w:tcPr>
                    <w:tcW w:w="50" w:type="pct"/>
                    <w:hideMark/>
                  </w:tcPr>
                  <w:p w14:paraId="32E522A3" w14:textId="77777777" w:rsidR="001E06D3" w:rsidRDefault="001E06D3">
                    <w:pPr>
                      <w:pStyle w:val="Bibliography"/>
                      <w:rPr>
                        <w:noProof/>
                      </w:rPr>
                    </w:pPr>
                    <w:r>
                      <w:rPr>
                        <w:noProof/>
                      </w:rPr>
                      <w:t xml:space="preserve">[7] </w:t>
                    </w:r>
                  </w:p>
                </w:tc>
                <w:tc>
                  <w:tcPr>
                    <w:tcW w:w="0" w:type="auto"/>
                    <w:hideMark/>
                  </w:tcPr>
                  <w:p w14:paraId="1B6EA1BB" w14:textId="77777777" w:rsidR="001E06D3" w:rsidRDefault="001E06D3">
                    <w:pPr>
                      <w:pStyle w:val="Bibliography"/>
                      <w:rPr>
                        <w:noProof/>
                      </w:rPr>
                    </w:pPr>
                    <w:r>
                      <w:rPr>
                        <w:noProof/>
                      </w:rPr>
                      <w:t xml:space="preserve">R1-1612479, "DMRS-based spatial multiplexing for UL NR MIMO," </w:t>
                    </w:r>
                    <w:r>
                      <w:rPr>
                        <w:i/>
                        <w:iCs/>
                        <w:noProof/>
                      </w:rPr>
                      <w:t xml:space="preserve">Samsung, 3GPP TSG RAN WG1 Meeting #87, Reno, USA, </w:t>
                    </w:r>
                    <w:r>
                      <w:rPr>
                        <w:noProof/>
                      </w:rPr>
                      <w:t xml:space="preserve">14-18 Nov, 2016. </w:t>
                    </w:r>
                  </w:p>
                </w:tc>
              </w:tr>
              <w:tr w:rsidR="001E06D3" w14:paraId="3CDFBF31" w14:textId="77777777">
                <w:trPr>
                  <w:divId w:val="762724308"/>
                  <w:tblCellSpacing w:w="15" w:type="dxa"/>
                </w:trPr>
                <w:tc>
                  <w:tcPr>
                    <w:tcW w:w="50" w:type="pct"/>
                    <w:hideMark/>
                  </w:tcPr>
                  <w:p w14:paraId="5C840FE1" w14:textId="77777777" w:rsidR="001E06D3" w:rsidRDefault="001E06D3">
                    <w:pPr>
                      <w:pStyle w:val="Bibliography"/>
                      <w:rPr>
                        <w:noProof/>
                      </w:rPr>
                    </w:pPr>
                    <w:r>
                      <w:rPr>
                        <w:noProof/>
                      </w:rPr>
                      <w:t xml:space="preserve">[8] </w:t>
                    </w:r>
                  </w:p>
                </w:tc>
                <w:tc>
                  <w:tcPr>
                    <w:tcW w:w="0" w:type="auto"/>
                    <w:hideMark/>
                  </w:tcPr>
                  <w:p w14:paraId="516222D9" w14:textId="77777777" w:rsidR="001E06D3" w:rsidRDefault="001E06D3">
                    <w:pPr>
                      <w:pStyle w:val="Bibliography"/>
                      <w:rPr>
                        <w:noProof/>
                      </w:rPr>
                    </w:pPr>
                    <w:r>
                      <w:rPr>
                        <w:noProof/>
                      </w:rPr>
                      <w:t xml:space="preserve">R1-1612482, "DMRS-based precoder cycling and simulation results," </w:t>
                    </w:r>
                    <w:r>
                      <w:rPr>
                        <w:i/>
                        <w:iCs/>
                        <w:noProof/>
                      </w:rPr>
                      <w:t xml:space="preserve">Samsung, 3GPP TSG RAN WG1 Meeting #87, Reno, USA, </w:t>
                    </w:r>
                    <w:r>
                      <w:rPr>
                        <w:noProof/>
                      </w:rPr>
                      <w:t xml:space="preserve">14-18 Nov, 2016. </w:t>
                    </w:r>
                  </w:p>
                </w:tc>
              </w:tr>
            </w:tbl>
            <w:p w14:paraId="6EB684E7" w14:textId="77777777" w:rsidR="001E06D3" w:rsidRDefault="001E06D3">
              <w:pPr>
                <w:divId w:val="762724308"/>
                <w:rPr>
                  <w:noProof/>
                </w:rPr>
              </w:pPr>
            </w:p>
            <w:p w14:paraId="31422E24" w14:textId="5F602195" w:rsidR="00010CE6" w:rsidRDefault="00E2377B" w:rsidP="0049703F">
              <w:pPr>
                <w:jc w:val="both"/>
              </w:pPr>
              <w:r>
                <w:rPr>
                  <w:b/>
                  <w:bCs/>
                  <w:noProof/>
                </w:rPr>
                <w:fldChar w:fldCharType="end"/>
              </w:r>
            </w:p>
          </w:sdtContent>
        </w:sdt>
      </w:sdtContent>
    </w:sdt>
    <w:sectPr w:rsidR="00010CE6" w:rsidSect="00775D6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6520EF" w14:textId="77777777" w:rsidR="00F9204F" w:rsidRDefault="00F9204F">
      <w:r>
        <w:separator/>
      </w:r>
    </w:p>
  </w:endnote>
  <w:endnote w:type="continuationSeparator" w:id="0">
    <w:p w14:paraId="4E02A4AF" w14:textId="77777777" w:rsidR="00F9204F" w:rsidRDefault="00F92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5F4504" w14:textId="77777777" w:rsidR="00F9204F" w:rsidRDefault="00F9204F">
      <w:r>
        <w:separator/>
      </w:r>
    </w:p>
  </w:footnote>
  <w:footnote w:type="continuationSeparator" w:id="0">
    <w:p w14:paraId="0074F250" w14:textId="77777777" w:rsidR="00F9204F" w:rsidRDefault="00F92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E4F6B" w14:textId="77777777" w:rsidR="00736394" w:rsidRDefault="00736394" w:rsidP="00736394">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63.7pt;height:59.05pt" o:bullet="t">
        <v:imagedata r:id="rId1" o:title="artBA9E"/>
      </v:shape>
    </w:pict>
  </w:numPicBullet>
  <w:abstractNum w:abstractNumId="0"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7AC4993"/>
    <w:multiLevelType w:val="hybridMultilevel"/>
    <w:tmpl w:val="380A61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EAF5FD3"/>
    <w:multiLevelType w:val="hybridMultilevel"/>
    <w:tmpl w:val="FB408F24"/>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 w15:restartNumberingAfterBreak="0">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88D51EA"/>
    <w:multiLevelType w:val="hybridMultilevel"/>
    <w:tmpl w:val="C720A818"/>
    <w:lvl w:ilvl="0" w:tplc="BB009C4E">
      <w:start w:val="2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8C1984"/>
    <w:multiLevelType w:val="hybridMultilevel"/>
    <w:tmpl w:val="278A51A0"/>
    <w:lvl w:ilvl="0" w:tplc="E7BA64AE">
      <w:start w:val="1"/>
      <w:numFmt w:val="decimal"/>
      <w:lvlText w:val="%1."/>
      <w:lvlJc w:val="left"/>
      <w:pPr>
        <w:ind w:left="922" w:hanging="360"/>
      </w:pPr>
      <w:rPr>
        <w:rFonts w:ascii="Times New Roman" w:eastAsia="MS Mincho" w:hAnsi="Times New Roman" w:cs="Times New Roman"/>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9" w15:restartNumberingAfterBreak="0">
    <w:nsid w:val="2DF429B1"/>
    <w:multiLevelType w:val="hybridMultilevel"/>
    <w:tmpl w:val="6226C9DC"/>
    <w:lvl w:ilvl="0" w:tplc="BBD66FDE">
      <w:start w:val="1"/>
      <w:numFmt w:val="bullet"/>
      <w:lvlText w:val="•"/>
      <w:lvlJc w:val="left"/>
      <w:pPr>
        <w:tabs>
          <w:tab w:val="num" w:pos="720"/>
        </w:tabs>
        <w:ind w:left="720" w:hanging="360"/>
      </w:pPr>
      <w:rPr>
        <w:rFonts w:ascii="Arial" w:hAnsi="Arial" w:hint="default"/>
      </w:rPr>
    </w:lvl>
    <w:lvl w:ilvl="1" w:tplc="F0463D64">
      <w:start w:val="302"/>
      <w:numFmt w:val="bullet"/>
      <w:lvlText w:val="–"/>
      <w:lvlJc w:val="left"/>
      <w:pPr>
        <w:tabs>
          <w:tab w:val="num" w:pos="1440"/>
        </w:tabs>
        <w:ind w:left="1440" w:hanging="360"/>
      </w:pPr>
      <w:rPr>
        <w:rFonts w:ascii="Arial" w:hAnsi="Arial" w:hint="default"/>
      </w:rPr>
    </w:lvl>
    <w:lvl w:ilvl="2" w:tplc="A1DCE502">
      <w:start w:val="302"/>
      <w:numFmt w:val="bullet"/>
      <w:lvlText w:val="•"/>
      <w:lvlJc w:val="left"/>
      <w:pPr>
        <w:tabs>
          <w:tab w:val="num" w:pos="2160"/>
        </w:tabs>
        <w:ind w:left="2160" w:hanging="360"/>
      </w:pPr>
      <w:rPr>
        <w:rFonts w:ascii="Arial" w:hAnsi="Arial" w:hint="default"/>
      </w:rPr>
    </w:lvl>
    <w:lvl w:ilvl="3" w:tplc="23E2E856" w:tentative="1">
      <w:start w:val="1"/>
      <w:numFmt w:val="bullet"/>
      <w:lvlText w:val="•"/>
      <w:lvlJc w:val="left"/>
      <w:pPr>
        <w:tabs>
          <w:tab w:val="num" w:pos="2880"/>
        </w:tabs>
        <w:ind w:left="2880" w:hanging="360"/>
      </w:pPr>
      <w:rPr>
        <w:rFonts w:ascii="Arial" w:hAnsi="Arial" w:hint="default"/>
      </w:rPr>
    </w:lvl>
    <w:lvl w:ilvl="4" w:tplc="E81E7752" w:tentative="1">
      <w:start w:val="1"/>
      <w:numFmt w:val="bullet"/>
      <w:lvlText w:val="•"/>
      <w:lvlJc w:val="left"/>
      <w:pPr>
        <w:tabs>
          <w:tab w:val="num" w:pos="3600"/>
        </w:tabs>
        <w:ind w:left="3600" w:hanging="360"/>
      </w:pPr>
      <w:rPr>
        <w:rFonts w:ascii="Arial" w:hAnsi="Arial" w:hint="default"/>
      </w:rPr>
    </w:lvl>
    <w:lvl w:ilvl="5" w:tplc="E83863B0" w:tentative="1">
      <w:start w:val="1"/>
      <w:numFmt w:val="bullet"/>
      <w:lvlText w:val="•"/>
      <w:lvlJc w:val="left"/>
      <w:pPr>
        <w:tabs>
          <w:tab w:val="num" w:pos="4320"/>
        </w:tabs>
        <w:ind w:left="4320" w:hanging="360"/>
      </w:pPr>
      <w:rPr>
        <w:rFonts w:ascii="Arial" w:hAnsi="Arial" w:hint="default"/>
      </w:rPr>
    </w:lvl>
    <w:lvl w:ilvl="6" w:tplc="D8442448" w:tentative="1">
      <w:start w:val="1"/>
      <w:numFmt w:val="bullet"/>
      <w:lvlText w:val="•"/>
      <w:lvlJc w:val="left"/>
      <w:pPr>
        <w:tabs>
          <w:tab w:val="num" w:pos="5040"/>
        </w:tabs>
        <w:ind w:left="5040" w:hanging="360"/>
      </w:pPr>
      <w:rPr>
        <w:rFonts w:ascii="Arial" w:hAnsi="Arial" w:hint="default"/>
      </w:rPr>
    </w:lvl>
    <w:lvl w:ilvl="7" w:tplc="36167C3A" w:tentative="1">
      <w:start w:val="1"/>
      <w:numFmt w:val="bullet"/>
      <w:lvlText w:val="•"/>
      <w:lvlJc w:val="left"/>
      <w:pPr>
        <w:tabs>
          <w:tab w:val="num" w:pos="5760"/>
        </w:tabs>
        <w:ind w:left="5760" w:hanging="360"/>
      </w:pPr>
      <w:rPr>
        <w:rFonts w:ascii="Arial" w:hAnsi="Arial" w:hint="default"/>
      </w:rPr>
    </w:lvl>
    <w:lvl w:ilvl="8" w:tplc="64C077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8902C8F"/>
    <w:multiLevelType w:val="hybridMultilevel"/>
    <w:tmpl w:val="74EACC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A42CD0"/>
    <w:multiLevelType w:val="hybridMultilevel"/>
    <w:tmpl w:val="A4EEB0FE"/>
    <w:lvl w:ilvl="0" w:tplc="0409000F">
      <w:start w:val="1"/>
      <w:numFmt w:val="decimal"/>
      <w:lvlText w:val="%1."/>
      <w:lvlJc w:val="left"/>
      <w:pPr>
        <w:ind w:left="1120" w:hanging="360"/>
      </w:pPr>
      <w:rPr>
        <w:rFonts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2" w15:restartNumberingAfterBreak="0">
    <w:nsid w:val="3D42584A"/>
    <w:multiLevelType w:val="hybridMultilevel"/>
    <w:tmpl w:val="B2D655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0C91D60"/>
    <w:multiLevelType w:val="hybridMultilevel"/>
    <w:tmpl w:val="6C28C2C4"/>
    <w:lvl w:ilvl="0" w:tplc="8458CA8C">
      <w:start w:val="1"/>
      <w:numFmt w:val="bullet"/>
      <w:lvlText w:val=""/>
      <w:lvlPicBulletId w:val="0"/>
      <w:lvlJc w:val="left"/>
      <w:pPr>
        <w:tabs>
          <w:tab w:val="num" w:pos="720"/>
        </w:tabs>
        <w:ind w:left="720" w:hanging="360"/>
      </w:pPr>
      <w:rPr>
        <w:rFonts w:ascii="Symbol" w:hAnsi="Symbol" w:hint="default"/>
      </w:rPr>
    </w:lvl>
    <w:lvl w:ilvl="1" w:tplc="DB96AECA">
      <w:start w:val="211"/>
      <w:numFmt w:val="bullet"/>
      <w:lvlText w:val="-"/>
      <w:lvlJc w:val="left"/>
      <w:pPr>
        <w:tabs>
          <w:tab w:val="num" w:pos="1440"/>
        </w:tabs>
        <w:ind w:left="1440" w:hanging="360"/>
      </w:pPr>
      <w:rPr>
        <w:rFonts w:ascii="Malgun Gothic" w:hAnsi="Malgun Gothic" w:hint="default"/>
      </w:rPr>
    </w:lvl>
    <w:lvl w:ilvl="2" w:tplc="FEE2B2D4" w:tentative="1">
      <w:start w:val="1"/>
      <w:numFmt w:val="bullet"/>
      <w:lvlText w:val=""/>
      <w:lvlPicBulletId w:val="0"/>
      <w:lvlJc w:val="left"/>
      <w:pPr>
        <w:tabs>
          <w:tab w:val="num" w:pos="2160"/>
        </w:tabs>
        <w:ind w:left="2160" w:hanging="360"/>
      </w:pPr>
      <w:rPr>
        <w:rFonts w:ascii="Symbol" w:hAnsi="Symbol" w:hint="default"/>
      </w:rPr>
    </w:lvl>
    <w:lvl w:ilvl="3" w:tplc="26448C6E" w:tentative="1">
      <w:start w:val="1"/>
      <w:numFmt w:val="bullet"/>
      <w:lvlText w:val=""/>
      <w:lvlPicBulletId w:val="0"/>
      <w:lvlJc w:val="left"/>
      <w:pPr>
        <w:tabs>
          <w:tab w:val="num" w:pos="2880"/>
        </w:tabs>
        <w:ind w:left="2880" w:hanging="360"/>
      </w:pPr>
      <w:rPr>
        <w:rFonts w:ascii="Symbol" w:hAnsi="Symbol" w:hint="default"/>
      </w:rPr>
    </w:lvl>
    <w:lvl w:ilvl="4" w:tplc="EB1E7DF2" w:tentative="1">
      <w:start w:val="1"/>
      <w:numFmt w:val="bullet"/>
      <w:lvlText w:val=""/>
      <w:lvlPicBulletId w:val="0"/>
      <w:lvlJc w:val="left"/>
      <w:pPr>
        <w:tabs>
          <w:tab w:val="num" w:pos="3600"/>
        </w:tabs>
        <w:ind w:left="3600" w:hanging="360"/>
      </w:pPr>
      <w:rPr>
        <w:rFonts w:ascii="Symbol" w:hAnsi="Symbol" w:hint="default"/>
      </w:rPr>
    </w:lvl>
    <w:lvl w:ilvl="5" w:tplc="14D47094" w:tentative="1">
      <w:start w:val="1"/>
      <w:numFmt w:val="bullet"/>
      <w:lvlText w:val=""/>
      <w:lvlPicBulletId w:val="0"/>
      <w:lvlJc w:val="left"/>
      <w:pPr>
        <w:tabs>
          <w:tab w:val="num" w:pos="4320"/>
        </w:tabs>
        <w:ind w:left="4320" w:hanging="360"/>
      </w:pPr>
      <w:rPr>
        <w:rFonts w:ascii="Symbol" w:hAnsi="Symbol" w:hint="default"/>
      </w:rPr>
    </w:lvl>
    <w:lvl w:ilvl="6" w:tplc="64BA9AF6" w:tentative="1">
      <w:start w:val="1"/>
      <w:numFmt w:val="bullet"/>
      <w:lvlText w:val=""/>
      <w:lvlPicBulletId w:val="0"/>
      <w:lvlJc w:val="left"/>
      <w:pPr>
        <w:tabs>
          <w:tab w:val="num" w:pos="5040"/>
        </w:tabs>
        <w:ind w:left="5040" w:hanging="360"/>
      </w:pPr>
      <w:rPr>
        <w:rFonts w:ascii="Symbol" w:hAnsi="Symbol" w:hint="default"/>
      </w:rPr>
    </w:lvl>
    <w:lvl w:ilvl="7" w:tplc="3B5CB904" w:tentative="1">
      <w:start w:val="1"/>
      <w:numFmt w:val="bullet"/>
      <w:lvlText w:val=""/>
      <w:lvlPicBulletId w:val="0"/>
      <w:lvlJc w:val="left"/>
      <w:pPr>
        <w:tabs>
          <w:tab w:val="num" w:pos="5760"/>
        </w:tabs>
        <w:ind w:left="5760" w:hanging="360"/>
      </w:pPr>
      <w:rPr>
        <w:rFonts w:ascii="Symbol" w:hAnsi="Symbol" w:hint="default"/>
      </w:rPr>
    </w:lvl>
    <w:lvl w:ilvl="8" w:tplc="52E81988"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4E32084F"/>
    <w:multiLevelType w:val="hybridMultilevel"/>
    <w:tmpl w:val="C5FA79A0"/>
    <w:lvl w:ilvl="0" w:tplc="61E402F6">
      <w:start w:val="1"/>
      <w:numFmt w:val="bullet"/>
      <w:lvlText w:val="-"/>
      <w:lvlJc w:val="left"/>
      <w:pPr>
        <w:tabs>
          <w:tab w:val="num" w:pos="720"/>
        </w:tabs>
        <w:ind w:left="720" w:hanging="360"/>
      </w:pPr>
      <w:rPr>
        <w:rFonts w:ascii="Malgun Gothic" w:hAnsi="Malgun Gothic" w:hint="default"/>
      </w:rPr>
    </w:lvl>
    <w:lvl w:ilvl="1" w:tplc="DF9AC0C4">
      <w:start w:val="1"/>
      <w:numFmt w:val="bullet"/>
      <w:lvlText w:val="-"/>
      <w:lvlJc w:val="left"/>
      <w:pPr>
        <w:tabs>
          <w:tab w:val="num" w:pos="1440"/>
        </w:tabs>
        <w:ind w:left="1440" w:hanging="360"/>
      </w:pPr>
      <w:rPr>
        <w:rFonts w:ascii="Malgun Gothic" w:hAnsi="Malgun Gothic" w:hint="default"/>
      </w:rPr>
    </w:lvl>
    <w:lvl w:ilvl="2" w:tplc="A01014CA">
      <w:start w:val="211"/>
      <w:numFmt w:val="bullet"/>
      <w:lvlText w:val="•"/>
      <w:lvlJc w:val="left"/>
      <w:pPr>
        <w:tabs>
          <w:tab w:val="num" w:pos="2160"/>
        </w:tabs>
        <w:ind w:left="2160" w:hanging="360"/>
      </w:pPr>
      <w:rPr>
        <w:rFonts w:ascii="Arial" w:hAnsi="Arial" w:hint="default"/>
      </w:rPr>
    </w:lvl>
    <w:lvl w:ilvl="3" w:tplc="1122C682">
      <w:start w:val="211"/>
      <w:numFmt w:val="bullet"/>
      <w:lvlText w:val="–"/>
      <w:lvlJc w:val="left"/>
      <w:pPr>
        <w:tabs>
          <w:tab w:val="num" w:pos="2880"/>
        </w:tabs>
        <w:ind w:left="2880" w:hanging="360"/>
      </w:pPr>
      <w:rPr>
        <w:rFonts w:ascii="Arial" w:hAnsi="Arial" w:hint="default"/>
      </w:rPr>
    </w:lvl>
    <w:lvl w:ilvl="4" w:tplc="DC7E7504" w:tentative="1">
      <w:start w:val="1"/>
      <w:numFmt w:val="bullet"/>
      <w:lvlText w:val="-"/>
      <w:lvlJc w:val="left"/>
      <w:pPr>
        <w:tabs>
          <w:tab w:val="num" w:pos="3600"/>
        </w:tabs>
        <w:ind w:left="3600" w:hanging="360"/>
      </w:pPr>
      <w:rPr>
        <w:rFonts w:ascii="Malgun Gothic" w:hAnsi="Malgun Gothic" w:hint="default"/>
      </w:rPr>
    </w:lvl>
    <w:lvl w:ilvl="5" w:tplc="B0787F06" w:tentative="1">
      <w:start w:val="1"/>
      <w:numFmt w:val="bullet"/>
      <w:lvlText w:val="-"/>
      <w:lvlJc w:val="left"/>
      <w:pPr>
        <w:tabs>
          <w:tab w:val="num" w:pos="4320"/>
        </w:tabs>
        <w:ind w:left="4320" w:hanging="360"/>
      </w:pPr>
      <w:rPr>
        <w:rFonts w:ascii="Malgun Gothic" w:hAnsi="Malgun Gothic" w:hint="default"/>
      </w:rPr>
    </w:lvl>
    <w:lvl w:ilvl="6" w:tplc="899A74C2" w:tentative="1">
      <w:start w:val="1"/>
      <w:numFmt w:val="bullet"/>
      <w:lvlText w:val="-"/>
      <w:lvlJc w:val="left"/>
      <w:pPr>
        <w:tabs>
          <w:tab w:val="num" w:pos="5040"/>
        </w:tabs>
        <w:ind w:left="5040" w:hanging="360"/>
      </w:pPr>
      <w:rPr>
        <w:rFonts w:ascii="Malgun Gothic" w:hAnsi="Malgun Gothic" w:hint="default"/>
      </w:rPr>
    </w:lvl>
    <w:lvl w:ilvl="7" w:tplc="C73282EE" w:tentative="1">
      <w:start w:val="1"/>
      <w:numFmt w:val="bullet"/>
      <w:lvlText w:val="-"/>
      <w:lvlJc w:val="left"/>
      <w:pPr>
        <w:tabs>
          <w:tab w:val="num" w:pos="5760"/>
        </w:tabs>
        <w:ind w:left="5760" w:hanging="360"/>
      </w:pPr>
      <w:rPr>
        <w:rFonts w:ascii="Malgun Gothic" w:hAnsi="Malgun Gothic" w:hint="default"/>
      </w:rPr>
    </w:lvl>
    <w:lvl w:ilvl="8" w:tplc="5A56F9B0" w:tentative="1">
      <w:start w:val="1"/>
      <w:numFmt w:val="bullet"/>
      <w:lvlText w:val="-"/>
      <w:lvlJc w:val="left"/>
      <w:pPr>
        <w:tabs>
          <w:tab w:val="num" w:pos="6480"/>
        </w:tabs>
        <w:ind w:left="6480" w:hanging="360"/>
      </w:pPr>
      <w:rPr>
        <w:rFonts w:ascii="Malgun Gothic" w:hAnsi="Malgun Gothic" w:hint="default"/>
      </w:rPr>
    </w:lvl>
  </w:abstractNum>
  <w:abstractNum w:abstractNumId="15" w15:restartNumberingAfterBreak="0">
    <w:nsid w:val="57E6558D"/>
    <w:multiLevelType w:val="hybridMultilevel"/>
    <w:tmpl w:val="8CBEE054"/>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6" w15:restartNumberingAfterBreak="0">
    <w:nsid w:val="636C71D1"/>
    <w:multiLevelType w:val="hybridMultilevel"/>
    <w:tmpl w:val="7D6031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3875396"/>
    <w:multiLevelType w:val="hybridMultilevel"/>
    <w:tmpl w:val="E62A978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B7889"/>
    <w:multiLevelType w:val="hybridMultilevel"/>
    <w:tmpl w:val="E4D8F814"/>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1" w15:restartNumberingAfterBreak="0">
    <w:nsid w:val="77BF2832"/>
    <w:multiLevelType w:val="hybridMultilevel"/>
    <w:tmpl w:val="82380BB4"/>
    <w:lvl w:ilvl="0" w:tplc="0409000F">
      <w:start w:val="1"/>
      <w:numFmt w:val="decimal"/>
      <w:lvlText w:val="%1."/>
      <w:lvlJc w:val="left"/>
      <w:pPr>
        <w:ind w:left="1120" w:hanging="360"/>
      </w:pPr>
      <w:rPr>
        <w:rFonts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2"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ED18BC"/>
    <w:multiLevelType w:val="multilevel"/>
    <w:tmpl w:val="6B063AC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4"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6"/>
  </w:num>
  <w:num w:numId="3">
    <w:abstractNumId w:val="2"/>
  </w:num>
  <w:num w:numId="4">
    <w:abstractNumId w:val="12"/>
  </w:num>
  <w:num w:numId="5">
    <w:abstractNumId w:val="5"/>
  </w:num>
  <w:num w:numId="6">
    <w:abstractNumId w:val="7"/>
  </w:num>
  <w:num w:numId="7">
    <w:abstractNumId w:val="4"/>
  </w:num>
  <w:num w:numId="8">
    <w:abstractNumId w:val="23"/>
  </w:num>
  <w:num w:numId="9">
    <w:abstractNumId w:val="1"/>
  </w:num>
  <w:num w:numId="10">
    <w:abstractNumId w:val="17"/>
  </w:num>
  <w:num w:numId="11">
    <w:abstractNumId w:val="22"/>
  </w:num>
  <w:num w:numId="12">
    <w:abstractNumId w:val="24"/>
  </w:num>
  <w:num w:numId="13">
    <w:abstractNumId w:val="0"/>
  </w:num>
  <w:num w:numId="14">
    <w:abstractNumId w:val="8"/>
  </w:num>
  <w:num w:numId="15">
    <w:abstractNumId w:val="10"/>
  </w:num>
  <w:num w:numId="16">
    <w:abstractNumId w:val="13"/>
  </w:num>
  <w:num w:numId="17">
    <w:abstractNumId w:val="9"/>
  </w:num>
  <w:num w:numId="18">
    <w:abstractNumId w:val="19"/>
  </w:num>
  <w:num w:numId="19">
    <w:abstractNumId w:val="16"/>
  </w:num>
  <w:num w:numId="20">
    <w:abstractNumId w:val="3"/>
  </w:num>
  <w:num w:numId="21">
    <w:abstractNumId w:val="21"/>
  </w:num>
  <w:num w:numId="22">
    <w:abstractNumId w:val="15"/>
  </w:num>
  <w:num w:numId="23">
    <w:abstractNumId w:val="11"/>
  </w:num>
  <w:num w:numId="24">
    <w:abstractNumId w:val="14"/>
  </w:num>
  <w:num w:numId="25">
    <w:abstractNumId w:val="20"/>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removePersonalInformation/>
  <w:removeDateAndTime/>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1AAA"/>
    <w:rsid w:val="0000351A"/>
    <w:rsid w:val="000047F4"/>
    <w:rsid w:val="000048F6"/>
    <w:rsid w:val="00010BCA"/>
    <w:rsid w:val="00010CE6"/>
    <w:rsid w:val="00010EB2"/>
    <w:rsid w:val="00012C9A"/>
    <w:rsid w:val="000157BD"/>
    <w:rsid w:val="000168ED"/>
    <w:rsid w:val="000178EB"/>
    <w:rsid w:val="00022D74"/>
    <w:rsid w:val="00022EF3"/>
    <w:rsid w:val="00023DC7"/>
    <w:rsid w:val="00026479"/>
    <w:rsid w:val="000313F2"/>
    <w:rsid w:val="0003196B"/>
    <w:rsid w:val="000321DA"/>
    <w:rsid w:val="0003363B"/>
    <w:rsid w:val="00040015"/>
    <w:rsid w:val="00040FCA"/>
    <w:rsid w:val="00042230"/>
    <w:rsid w:val="000429CF"/>
    <w:rsid w:val="000432DE"/>
    <w:rsid w:val="00043711"/>
    <w:rsid w:val="00046A04"/>
    <w:rsid w:val="00051188"/>
    <w:rsid w:val="000512B1"/>
    <w:rsid w:val="0005367D"/>
    <w:rsid w:val="00056296"/>
    <w:rsid w:val="00056456"/>
    <w:rsid w:val="00061B17"/>
    <w:rsid w:val="00062FA5"/>
    <w:rsid w:val="000658C5"/>
    <w:rsid w:val="00066048"/>
    <w:rsid w:val="000666C0"/>
    <w:rsid w:val="00066837"/>
    <w:rsid w:val="000714BF"/>
    <w:rsid w:val="00071741"/>
    <w:rsid w:val="00072325"/>
    <w:rsid w:val="00073254"/>
    <w:rsid w:val="000738D0"/>
    <w:rsid w:val="00074503"/>
    <w:rsid w:val="0007578C"/>
    <w:rsid w:val="0007709B"/>
    <w:rsid w:val="000801CF"/>
    <w:rsid w:val="0008154E"/>
    <w:rsid w:val="00087755"/>
    <w:rsid w:val="0008783B"/>
    <w:rsid w:val="00087EAE"/>
    <w:rsid w:val="00090CE2"/>
    <w:rsid w:val="000936B7"/>
    <w:rsid w:val="00093C20"/>
    <w:rsid w:val="000950D8"/>
    <w:rsid w:val="000955E9"/>
    <w:rsid w:val="00095DC6"/>
    <w:rsid w:val="000A1ADD"/>
    <w:rsid w:val="000A23B5"/>
    <w:rsid w:val="000A258F"/>
    <w:rsid w:val="000A4A88"/>
    <w:rsid w:val="000A4DD7"/>
    <w:rsid w:val="000A505C"/>
    <w:rsid w:val="000B110F"/>
    <w:rsid w:val="000B1F13"/>
    <w:rsid w:val="000B366B"/>
    <w:rsid w:val="000B4CC4"/>
    <w:rsid w:val="000B5B12"/>
    <w:rsid w:val="000B68A8"/>
    <w:rsid w:val="000B6E87"/>
    <w:rsid w:val="000B7C1D"/>
    <w:rsid w:val="000C0CC9"/>
    <w:rsid w:val="000C3724"/>
    <w:rsid w:val="000D2EBE"/>
    <w:rsid w:val="000D3CB1"/>
    <w:rsid w:val="000D49FA"/>
    <w:rsid w:val="000D5C66"/>
    <w:rsid w:val="000D5F6D"/>
    <w:rsid w:val="000D6B22"/>
    <w:rsid w:val="000E0492"/>
    <w:rsid w:val="000E4A00"/>
    <w:rsid w:val="000E4FF5"/>
    <w:rsid w:val="000E5246"/>
    <w:rsid w:val="000E54F9"/>
    <w:rsid w:val="000F08B5"/>
    <w:rsid w:val="000F1567"/>
    <w:rsid w:val="000F204C"/>
    <w:rsid w:val="000F27A6"/>
    <w:rsid w:val="000F30A8"/>
    <w:rsid w:val="000F6698"/>
    <w:rsid w:val="001025A4"/>
    <w:rsid w:val="001037AC"/>
    <w:rsid w:val="00104C43"/>
    <w:rsid w:val="00106384"/>
    <w:rsid w:val="00110245"/>
    <w:rsid w:val="001107AE"/>
    <w:rsid w:val="00110ADB"/>
    <w:rsid w:val="0011214B"/>
    <w:rsid w:val="00112E18"/>
    <w:rsid w:val="0011310B"/>
    <w:rsid w:val="00113920"/>
    <w:rsid w:val="00113F8C"/>
    <w:rsid w:val="00120784"/>
    <w:rsid w:val="00122D08"/>
    <w:rsid w:val="00123528"/>
    <w:rsid w:val="00123A82"/>
    <w:rsid w:val="00124D4F"/>
    <w:rsid w:val="00124E12"/>
    <w:rsid w:val="00124E98"/>
    <w:rsid w:val="00127152"/>
    <w:rsid w:val="00131DC5"/>
    <w:rsid w:val="001378B1"/>
    <w:rsid w:val="00141448"/>
    <w:rsid w:val="00143330"/>
    <w:rsid w:val="00143D03"/>
    <w:rsid w:val="001449AE"/>
    <w:rsid w:val="00144BD6"/>
    <w:rsid w:val="0014525A"/>
    <w:rsid w:val="00151288"/>
    <w:rsid w:val="00152243"/>
    <w:rsid w:val="00152871"/>
    <w:rsid w:val="0015335C"/>
    <w:rsid w:val="001562E7"/>
    <w:rsid w:val="00156306"/>
    <w:rsid w:val="0016042B"/>
    <w:rsid w:val="00162B89"/>
    <w:rsid w:val="00164EC7"/>
    <w:rsid w:val="00166398"/>
    <w:rsid w:val="001663B0"/>
    <w:rsid w:val="0016738C"/>
    <w:rsid w:val="00171671"/>
    <w:rsid w:val="00173216"/>
    <w:rsid w:val="00177C52"/>
    <w:rsid w:val="00181B37"/>
    <w:rsid w:val="00181C43"/>
    <w:rsid w:val="001847AE"/>
    <w:rsid w:val="0018544B"/>
    <w:rsid w:val="0018798A"/>
    <w:rsid w:val="00190AEC"/>
    <w:rsid w:val="001922FD"/>
    <w:rsid w:val="00194400"/>
    <w:rsid w:val="0019529B"/>
    <w:rsid w:val="0019561E"/>
    <w:rsid w:val="001A1B1F"/>
    <w:rsid w:val="001A1BA3"/>
    <w:rsid w:val="001A2AF7"/>
    <w:rsid w:val="001A6313"/>
    <w:rsid w:val="001B0DF1"/>
    <w:rsid w:val="001B155D"/>
    <w:rsid w:val="001B167B"/>
    <w:rsid w:val="001B4039"/>
    <w:rsid w:val="001B59CA"/>
    <w:rsid w:val="001B6BE5"/>
    <w:rsid w:val="001C793B"/>
    <w:rsid w:val="001C7C7B"/>
    <w:rsid w:val="001D0208"/>
    <w:rsid w:val="001D0BEB"/>
    <w:rsid w:val="001D1AAC"/>
    <w:rsid w:val="001D1C46"/>
    <w:rsid w:val="001D1D5F"/>
    <w:rsid w:val="001D6F3B"/>
    <w:rsid w:val="001E06D3"/>
    <w:rsid w:val="001E0C4B"/>
    <w:rsid w:val="001E2AE3"/>
    <w:rsid w:val="001F0A5F"/>
    <w:rsid w:val="001F234D"/>
    <w:rsid w:val="001F3D9E"/>
    <w:rsid w:val="001F769C"/>
    <w:rsid w:val="001F7A55"/>
    <w:rsid w:val="00200321"/>
    <w:rsid w:val="00201552"/>
    <w:rsid w:val="002040FE"/>
    <w:rsid w:val="00205880"/>
    <w:rsid w:val="00206D32"/>
    <w:rsid w:val="00206DBE"/>
    <w:rsid w:val="0021013F"/>
    <w:rsid w:val="0021058D"/>
    <w:rsid w:val="002129DC"/>
    <w:rsid w:val="002147AA"/>
    <w:rsid w:val="00214839"/>
    <w:rsid w:val="00215500"/>
    <w:rsid w:val="00216C78"/>
    <w:rsid w:val="00220639"/>
    <w:rsid w:val="00225B5B"/>
    <w:rsid w:val="0022796C"/>
    <w:rsid w:val="00232D1A"/>
    <w:rsid w:val="0023325B"/>
    <w:rsid w:val="00236793"/>
    <w:rsid w:val="00236DB6"/>
    <w:rsid w:val="00237711"/>
    <w:rsid w:val="0024058B"/>
    <w:rsid w:val="002432C8"/>
    <w:rsid w:val="002444B4"/>
    <w:rsid w:val="00246F2D"/>
    <w:rsid w:val="0024749B"/>
    <w:rsid w:val="00252EF9"/>
    <w:rsid w:val="002531C6"/>
    <w:rsid w:val="00254B17"/>
    <w:rsid w:val="00255A4A"/>
    <w:rsid w:val="00257925"/>
    <w:rsid w:val="00257EF4"/>
    <w:rsid w:val="002604BB"/>
    <w:rsid w:val="00261D59"/>
    <w:rsid w:val="00262F26"/>
    <w:rsid w:val="00266BC5"/>
    <w:rsid w:val="00267A6A"/>
    <w:rsid w:val="00270503"/>
    <w:rsid w:val="00272625"/>
    <w:rsid w:val="00276543"/>
    <w:rsid w:val="00277AC7"/>
    <w:rsid w:val="002822D6"/>
    <w:rsid w:val="002835CB"/>
    <w:rsid w:val="00284FB1"/>
    <w:rsid w:val="002876A4"/>
    <w:rsid w:val="00287837"/>
    <w:rsid w:val="00290099"/>
    <w:rsid w:val="002920AC"/>
    <w:rsid w:val="00292C64"/>
    <w:rsid w:val="00293373"/>
    <w:rsid w:val="00293B81"/>
    <w:rsid w:val="0029423B"/>
    <w:rsid w:val="002966B5"/>
    <w:rsid w:val="002A0267"/>
    <w:rsid w:val="002A10F7"/>
    <w:rsid w:val="002A365D"/>
    <w:rsid w:val="002A6A11"/>
    <w:rsid w:val="002B061A"/>
    <w:rsid w:val="002B2462"/>
    <w:rsid w:val="002B33E8"/>
    <w:rsid w:val="002B3D65"/>
    <w:rsid w:val="002B555D"/>
    <w:rsid w:val="002B5AC4"/>
    <w:rsid w:val="002B6807"/>
    <w:rsid w:val="002C4A57"/>
    <w:rsid w:val="002C6FD2"/>
    <w:rsid w:val="002D04FD"/>
    <w:rsid w:val="002D1712"/>
    <w:rsid w:val="002E1317"/>
    <w:rsid w:val="002E7FE2"/>
    <w:rsid w:val="002F155D"/>
    <w:rsid w:val="002F20F0"/>
    <w:rsid w:val="002F2B8A"/>
    <w:rsid w:val="002F4A4A"/>
    <w:rsid w:val="002F67BB"/>
    <w:rsid w:val="002F7FDC"/>
    <w:rsid w:val="003048A9"/>
    <w:rsid w:val="00304B63"/>
    <w:rsid w:val="00305342"/>
    <w:rsid w:val="00305A2D"/>
    <w:rsid w:val="0030652D"/>
    <w:rsid w:val="0031064C"/>
    <w:rsid w:val="00313079"/>
    <w:rsid w:val="003142F4"/>
    <w:rsid w:val="00314E8A"/>
    <w:rsid w:val="00314F5E"/>
    <w:rsid w:val="00314F6C"/>
    <w:rsid w:val="00316CC8"/>
    <w:rsid w:val="0032222C"/>
    <w:rsid w:val="00324AB0"/>
    <w:rsid w:val="00325D7A"/>
    <w:rsid w:val="00325E70"/>
    <w:rsid w:val="003260E7"/>
    <w:rsid w:val="00326D21"/>
    <w:rsid w:val="003272DE"/>
    <w:rsid w:val="00327586"/>
    <w:rsid w:val="003333FD"/>
    <w:rsid w:val="0033373F"/>
    <w:rsid w:val="00334D08"/>
    <w:rsid w:val="00340189"/>
    <w:rsid w:val="00340F80"/>
    <w:rsid w:val="00344518"/>
    <w:rsid w:val="00345265"/>
    <w:rsid w:val="003456E3"/>
    <w:rsid w:val="003505C2"/>
    <w:rsid w:val="0035350A"/>
    <w:rsid w:val="00354765"/>
    <w:rsid w:val="0035593C"/>
    <w:rsid w:val="003562DA"/>
    <w:rsid w:val="00357254"/>
    <w:rsid w:val="00360E82"/>
    <w:rsid w:val="00362747"/>
    <w:rsid w:val="00364B5B"/>
    <w:rsid w:val="00365F75"/>
    <w:rsid w:val="0036627B"/>
    <w:rsid w:val="00367AEA"/>
    <w:rsid w:val="0037076D"/>
    <w:rsid w:val="00375D21"/>
    <w:rsid w:val="0037625C"/>
    <w:rsid w:val="00377460"/>
    <w:rsid w:val="003778CC"/>
    <w:rsid w:val="003812E7"/>
    <w:rsid w:val="003813D7"/>
    <w:rsid w:val="003820F5"/>
    <w:rsid w:val="003827FD"/>
    <w:rsid w:val="00383809"/>
    <w:rsid w:val="00384734"/>
    <w:rsid w:val="00386823"/>
    <w:rsid w:val="003875A3"/>
    <w:rsid w:val="0038782B"/>
    <w:rsid w:val="00391FA8"/>
    <w:rsid w:val="003A2EEB"/>
    <w:rsid w:val="003B0C41"/>
    <w:rsid w:val="003B2DCC"/>
    <w:rsid w:val="003B3951"/>
    <w:rsid w:val="003B4ED7"/>
    <w:rsid w:val="003B5D10"/>
    <w:rsid w:val="003B63E2"/>
    <w:rsid w:val="003B6B84"/>
    <w:rsid w:val="003B780D"/>
    <w:rsid w:val="003C13BA"/>
    <w:rsid w:val="003C545F"/>
    <w:rsid w:val="003C5D7B"/>
    <w:rsid w:val="003D001B"/>
    <w:rsid w:val="003D343A"/>
    <w:rsid w:val="003D3DC6"/>
    <w:rsid w:val="003D40A1"/>
    <w:rsid w:val="003D7F34"/>
    <w:rsid w:val="003E03EC"/>
    <w:rsid w:val="003E1504"/>
    <w:rsid w:val="003E3882"/>
    <w:rsid w:val="003E51AF"/>
    <w:rsid w:val="003E6C14"/>
    <w:rsid w:val="003F229D"/>
    <w:rsid w:val="003F46BD"/>
    <w:rsid w:val="003F5B73"/>
    <w:rsid w:val="003F7EEA"/>
    <w:rsid w:val="00402CF4"/>
    <w:rsid w:val="0040477E"/>
    <w:rsid w:val="00404A24"/>
    <w:rsid w:val="00404DD4"/>
    <w:rsid w:val="00410992"/>
    <w:rsid w:val="004157A0"/>
    <w:rsid w:val="00416521"/>
    <w:rsid w:val="00417218"/>
    <w:rsid w:val="00422131"/>
    <w:rsid w:val="004223F7"/>
    <w:rsid w:val="004229EA"/>
    <w:rsid w:val="00423D13"/>
    <w:rsid w:val="00424DF8"/>
    <w:rsid w:val="004250FE"/>
    <w:rsid w:val="00427E3C"/>
    <w:rsid w:val="00432701"/>
    <w:rsid w:val="00433016"/>
    <w:rsid w:val="004342A6"/>
    <w:rsid w:val="00436048"/>
    <w:rsid w:val="00441F4C"/>
    <w:rsid w:val="00445B3D"/>
    <w:rsid w:val="00450FC4"/>
    <w:rsid w:val="004512C2"/>
    <w:rsid w:val="00451327"/>
    <w:rsid w:val="00455903"/>
    <w:rsid w:val="00463DD8"/>
    <w:rsid w:val="00465682"/>
    <w:rsid w:val="00466211"/>
    <w:rsid w:val="00470093"/>
    <w:rsid w:val="0047464B"/>
    <w:rsid w:val="00475E67"/>
    <w:rsid w:val="004761DB"/>
    <w:rsid w:val="00477AFB"/>
    <w:rsid w:val="00483FBC"/>
    <w:rsid w:val="00490FE0"/>
    <w:rsid w:val="00491542"/>
    <w:rsid w:val="00493260"/>
    <w:rsid w:val="00493440"/>
    <w:rsid w:val="00493A56"/>
    <w:rsid w:val="00495FAF"/>
    <w:rsid w:val="0049703F"/>
    <w:rsid w:val="00497665"/>
    <w:rsid w:val="00497954"/>
    <w:rsid w:val="004A13DE"/>
    <w:rsid w:val="004A260D"/>
    <w:rsid w:val="004A3635"/>
    <w:rsid w:val="004A55DB"/>
    <w:rsid w:val="004A705C"/>
    <w:rsid w:val="004A7582"/>
    <w:rsid w:val="004B196A"/>
    <w:rsid w:val="004B5A3F"/>
    <w:rsid w:val="004B5F86"/>
    <w:rsid w:val="004B69DB"/>
    <w:rsid w:val="004C0974"/>
    <w:rsid w:val="004C0C89"/>
    <w:rsid w:val="004C0CDE"/>
    <w:rsid w:val="004C22F4"/>
    <w:rsid w:val="004C3A9E"/>
    <w:rsid w:val="004C53DB"/>
    <w:rsid w:val="004D0621"/>
    <w:rsid w:val="004D23FD"/>
    <w:rsid w:val="004D2D65"/>
    <w:rsid w:val="004D2D69"/>
    <w:rsid w:val="004D504A"/>
    <w:rsid w:val="004D6F57"/>
    <w:rsid w:val="004D7397"/>
    <w:rsid w:val="004D7989"/>
    <w:rsid w:val="004E095B"/>
    <w:rsid w:val="004E09C5"/>
    <w:rsid w:val="004E218A"/>
    <w:rsid w:val="004E37CF"/>
    <w:rsid w:val="004E4B38"/>
    <w:rsid w:val="004E5659"/>
    <w:rsid w:val="004E624C"/>
    <w:rsid w:val="004E699E"/>
    <w:rsid w:val="004F1D49"/>
    <w:rsid w:val="004F472D"/>
    <w:rsid w:val="004F61CB"/>
    <w:rsid w:val="004F66DD"/>
    <w:rsid w:val="004F6F7E"/>
    <w:rsid w:val="005000F6"/>
    <w:rsid w:val="00500796"/>
    <w:rsid w:val="0050175B"/>
    <w:rsid w:val="0050290B"/>
    <w:rsid w:val="00503930"/>
    <w:rsid w:val="00504685"/>
    <w:rsid w:val="0050795D"/>
    <w:rsid w:val="00510496"/>
    <w:rsid w:val="0051349B"/>
    <w:rsid w:val="005147EE"/>
    <w:rsid w:val="0052122F"/>
    <w:rsid w:val="0052499D"/>
    <w:rsid w:val="00526B3F"/>
    <w:rsid w:val="00531188"/>
    <w:rsid w:val="00533683"/>
    <w:rsid w:val="005339F2"/>
    <w:rsid w:val="00537511"/>
    <w:rsid w:val="005375D5"/>
    <w:rsid w:val="00542BF3"/>
    <w:rsid w:val="0054726D"/>
    <w:rsid w:val="005535BA"/>
    <w:rsid w:val="00553623"/>
    <w:rsid w:val="00553849"/>
    <w:rsid w:val="00554ACD"/>
    <w:rsid w:val="00562A9B"/>
    <w:rsid w:val="00565EA8"/>
    <w:rsid w:val="0056667C"/>
    <w:rsid w:val="005669E9"/>
    <w:rsid w:val="00570907"/>
    <w:rsid w:val="00577F15"/>
    <w:rsid w:val="005824C6"/>
    <w:rsid w:val="00582B96"/>
    <w:rsid w:val="00585A53"/>
    <w:rsid w:val="00585E61"/>
    <w:rsid w:val="005932EA"/>
    <w:rsid w:val="00594CE5"/>
    <w:rsid w:val="00594D8F"/>
    <w:rsid w:val="005959AE"/>
    <w:rsid w:val="005962C9"/>
    <w:rsid w:val="00596CF8"/>
    <w:rsid w:val="005971DE"/>
    <w:rsid w:val="005A0301"/>
    <w:rsid w:val="005A0417"/>
    <w:rsid w:val="005A0CC8"/>
    <w:rsid w:val="005A23BE"/>
    <w:rsid w:val="005A3198"/>
    <w:rsid w:val="005A3912"/>
    <w:rsid w:val="005A5411"/>
    <w:rsid w:val="005A5CA7"/>
    <w:rsid w:val="005A6D70"/>
    <w:rsid w:val="005B0860"/>
    <w:rsid w:val="005B3F67"/>
    <w:rsid w:val="005B59E9"/>
    <w:rsid w:val="005B5CDC"/>
    <w:rsid w:val="005B69A6"/>
    <w:rsid w:val="005C1FBD"/>
    <w:rsid w:val="005C2E10"/>
    <w:rsid w:val="005C4319"/>
    <w:rsid w:val="005D0938"/>
    <w:rsid w:val="005D1C87"/>
    <w:rsid w:val="005D2B03"/>
    <w:rsid w:val="005D2BDA"/>
    <w:rsid w:val="005D2E98"/>
    <w:rsid w:val="005D6620"/>
    <w:rsid w:val="005D7600"/>
    <w:rsid w:val="005E1C8D"/>
    <w:rsid w:val="005E1F97"/>
    <w:rsid w:val="005E7C07"/>
    <w:rsid w:val="005F4CEC"/>
    <w:rsid w:val="006003FE"/>
    <w:rsid w:val="00601019"/>
    <w:rsid w:val="00601020"/>
    <w:rsid w:val="00603BC8"/>
    <w:rsid w:val="00604D8F"/>
    <w:rsid w:val="0060553F"/>
    <w:rsid w:val="00606EEB"/>
    <w:rsid w:val="00607B2E"/>
    <w:rsid w:val="006162D1"/>
    <w:rsid w:val="00621AE9"/>
    <w:rsid w:val="0062584C"/>
    <w:rsid w:val="00631DB9"/>
    <w:rsid w:val="006332F0"/>
    <w:rsid w:val="00633C38"/>
    <w:rsid w:val="00637E78"/>
    <w:rsid w:val="0064005C"/>
    <w:rsid w:val="00640CB7"/>
    <w:rsid w:val="00644905"/>
    <w:rsid w:val="00644982"/>
    <w:rsid w:val="00644D3E"/>
    <w:rsid w:val="0064510C"/>
    <w:rsid w:val="0064770F"/>
    <w:rsid w:val="00647BDE"/>
    <w:rsid w:val="00647C36"/>
    <w:rsid w:val="006500CF"/>
    <w:rsid w:val="00651D1D"/>
    <w:rsid w:val="006520A4"/>
    <w:rsid w:val="00652374"/>
    <w:rsid w:val="00652588"/>
    <w:rsid w:val="00652E22"/>
    <w:rsid w:val="00655177"/>
    <w:rsid w:val="00655A77"/>
    <w:rsid w:val="00655E69"/>
    <w:rsid w:val="00656123"/>
    <w:rsid w:val="00656706"/>
    <w:rsid w:val="0066020B"/>
    <w:rsid w:val="00660A60"/>
    <w:rsid w:val="00662545"/>
    <w:rsid w:val="00666D4E"/>
    <w:rsid w:val="00667B1A"/>
    <w:rsid w:val="006702CD"/>
    <w:rsid w:val="006730BD"/>
    <w:rsid w:val="00673B2A"/>
    <w:rsid w:val="00674094"/>
    <w:rsid w:val="00675B54"/>
    <w:rsid w:val="00680298"/>
    <w:rsid w:val="00681FA1"/>
    <w:rsid w:val="00683D70"/>
    <w:rsid w:val="00684884"/>
    <w:rsid w:val="00684F5E"/>
    <w:rsid w:val="006858E8"/>
    <w:rsid w:val="0068682B"/>
    <w:rsid w:val="00687322"/>
    <w:rsid w:val="00687AE8"/>
    <w:rsid w:val="00687C1F"/>
    <w:rsid w:val="00690D5B"/>
    <w:rsid w:val="00694C94"/>
    <w:rsid w:val="00695278"/>
    <w:rsid w:val="00695F1B"/>
    <w:rsid w:val="00697390"/>
    <w:rsid w:val="006A0B77"/>
    <w:rsid w:val="006A0FDD"/>
    <w:rsid w:val="006A286A"/>
    <w:rsid w:val="006B0CD7"/>
    <w:rsid w:val="006B1C50"/>
    <w:rsid w:val="006B1F94"/>
    <w:rsid w:val="006B3066"/>
    <w:rsid w:val="006B3621"/>
    <w:rsid w:val="006B5D8C"/>
    <w:rsid w:val="006B616D"/>
    <w:rsid w:val="006B6598"/>
    <w:rsid w:val="006C1008"/>
    <w:rsid w:val="006C1AE6"/>
    <w:rsid w:val="006C1DD1"/>
    <w:rsid w:val="006C36BC"/>
    <w:rsid w:val="006C4484"/>
    <w:rsid w:val="006C457C"/>
    <w:rsid w:val="006C5015"/>
    <w:rsid w:val="006C7A8F"/>
    <w:rsid w:val="006D1CEE"/>
    <w:rsid w:val="006D1E7E"/>
    <w:rsid w:val="006D25A1"/>
    <w:rsid w:val="006D3E98"/>
    <w:rsid w:val="006D4C18"/>
    <w:rsid w:val="006D66F3"/>
    <w:rsid w:val="006D6F60"/>
    <w:rsid w:val="006E131F"/>
    <w:rsid w:val="006E2A01"/>
    <w:rsid w:val="006E35D9"/>
    <w:rsid w:val="006E6208"/>
    <w:rsid w:val="006F07F5"/>
    <w:rsid w:val="006F160A"/>
    <w:rsid w:val="006F345F"/>
    <w:rsid w:val="006F46AF"/>
    <w:rsid w:val="006F520D"/>
    <w:rsid w:val="006F57A2"/>
    <w:rsid w:val="006F6CC9"/>
    <w:rsid w:val="006F7B91"/>
    <w:rsid w:val="006F7FAF"/>
    <w:rsid w:val="007012BC"/>
    <w:rsid w:val="007033B4"/>
    <w:rsid w:val="0070377A"/>
    <w:rsid w:val="00705354"/>
    <w:rsid w:val="007129E7"/>
    <w:rsid w:val="00713423"/>
    <w:rsid w:val="00713C49"/>
    <w:rsid w:val="00714027"/>
    <w:rsid w:val="00722882"/>
    <w:rsid w:val="00722B90"/>
    <w:rsid w:val="00723F98"/>
    <w:rsid w:val="0072532E"/>
    <w:rsid w:val="007255EA"/>
    <w:rsid w:val="00725930"/>
    <w:rsid w:val="00725FB3"/>
    <w:rsid w:val="007267B4"/>
    <w:rsid w:val="00726BE5"/>
    <w:rsid w:val="007314E8"/>
    <w:rsid w:val="0073254C"/>
    <w:rsid w:val="00732A21"/>
    <w:rsid w:val="007341A8"/>
    <w:rsid w:val="00734FF0"/>
    <w:rsid w:val="007350CC"/>
    <w:rsid w:val="007358A9"/>
    <w:rsid w:val="00736394"/>
    <w:rsid w:val="0074138A"/>
    <w:rsid w:val="0074743D"/>
    <w:rsid w:val="00750C6D"/>
    <w:rsid w:val="007511DD"/>
    <w:rsid w:val="00753C23"/>
    <w:rsid w:val="00754F3E"/>
    <w:rsid w:val="00755A8F"/>
    <w:rsid w:val="007574E7"/>
    <w:rsid w:val="007601F2"/>
    <w:rsid w:val="0076195A"/>
    <w:rsid w:val="00762598"/>
    <w:rsid w:val="00762803"/>
    <w:rsid w:val="00763AD1"/>
    <w:rsid w:val="00765683"/>
    <w:rsid w:val="00766DF1"/>
    <w:rsid w:val="0076701D"/>
    <w:rsid w:val="0077106B"/>
    <w:rsid w:val="00774ABA"/>
    <w:rsid w:val="00775D60"/>
    <w:rsid w:val="00776009"/>
    <w:rsid w:val="007761A4"/>
    <w:rsid w:val="0077652F"/>
    <w:rsid w:val="0077668D"/>
    <w:rsid w:val="00777003"/>
    <w:rsid w:val="007771AC"/>
    <w:rsid w:val="007808F7"/>
    <w:rsid w:val="00780BC2"/>
    <w:rsid w:val="00780DC6"/>
    <w:rsid w:val="0078122B"/>
    <w:rsid w:val="00783FC8"/>
    <w:rsid w:val="007852CD"/>
    <w:rsid w:val="00786366"/>
    <w:rsid w:val="00790A37"/>
    <w:rsid w:val="00790AA2"/>
    <w:rsid w:val="007911BB"/>
    <w:rsid w:val="0079190D"/>
    <w:rsid w:val="007922C2"/>
    <w:rsid w:val="007951E5"/>
    <w:rsid w:val="00797339"/>
    <w:rsid w:val="007A3260"/>
    <w:rsid w:val="007A3A2A"/>
    <w:rsid w:val="007B0386"/>
    <w:rsid w:val="007B1711"/>
    <w:rsid w:val="007B2F78"/>
    <w:rsid w:val="007B393D"/>
    <w:rsid w:val="007B548E"/>
    <w:rsid w:val="007B685C"/>
    <w:rsid w:val="007C1F8B"/>
    <w:rsid w:val="007C53FE"/>
    <w:rsid w:val="007C57CD"/>
    <w:rsid w:val="007D640C"/>
    <w:rsid w:val="007D6C58"/>
    <w:rsid w:val="007D7831"/>
    <w:rsid w:val="007E0350"/>
    <w:rsid w:val="007E0A6D"/>
    <w:rsid w:val="007E0D55"/>
    <w:rsid w:val="007E101F"/>
    <w:rsid w:val="007E19B4"/>
    <w:rsid w:val="007E44C7"/>
    <w:rsid w:val="007E613F"/>
    <w:rsid w:val="007E77ED"/>
    <w:rsid w:val="007E7DD5"/>
    <w:rsid w:val="007F7545"/>
    <w:rsid w:val="00800F99"/>
    <w:rsid w:val="00801D5B"/>
    <w:rsid w:val="00802C5B"/>
    <w:rsid w:val="00802F74"/>
    <w:rsid w:val="008045BE"/>
    <w:rsid w:val="00805D7A"/>
    <w:rsid w:val="00806D39"/>
    <w:rsid w:val="00807181"/>
    <w:rsid w:val="0081076A"/>
    <w:rsid w:val="008123CE"/>
    <w:rsid w:val="00813683"/>
    <w:rsid w:val="00816B60"/>
    <w:rsid w:val="00817DF8"/>
    <w:rsid w:val="00824292"/>
    <w:rsid w:val="0082440E"/>
    <w:rsid w:val="00825221"/>
    <w:rsid w:val="00830701"/>
    <w:rsid w:val="00831C96"/>
    <w:rsid w:val="00831D55"/>
    <w:rsid w:val="00834DE7"/>
    <w:rsid w:val="008353BE"/>
    <w:rsid w:val="00835B77"/>
    <w:rsid w:val="00840869"/>
    <w:rsid w:val="00844A65"/>
    <w:rsid w:val="00846501"/>
    <w:rsid w:val="0085118C"/>
    <w:rsid w:val="00851420"/>
    <w:rsid w:val="00851BD8"/>
    <w:rsid w:val="00851EB5"/>
    <w:rsid w:val="00852785"/>
    <w:rsid w:val="0085357D"/>
    <w:rsid w:val="00861D10"/>
    <w:rsid w:val="00862154"/>
    <w:rsid w:val="00862884"/>
    <w:rsid w:val="00863C59"/>
    <w:rsid w:val="008640DE"/>
    <w:rsid w:val="00867E2D"/>
    <w:rsid w:val="008709E3"/>
    <w:rsid w:val="0087112A"/>
    <w:rsid w:val="008720FD"/>
    <w:rsid w:val="00872419"/>
    <w:rsid w:val="00877AD9"/>
    <w:rsid w:val="0088163C"/>
    <w:rsid w:val="0088293A"/>
    <w:rsid w:val="00884CA0"/>
    <w:rsid w:val="008878FF"/>
    <w:rsid w:val="00892F96"/>
    <w:rsid w:val="00893F66"/>
    <w:rsid w:val="00896D9A"/>
    <w:rsid w:val="00896F4E"/>
    <w:rsid w:val="00897679"/>
    <w:rsid w:val="008A0E51"/>
    <w:rsid w:val="008A12FB"/>
    <w:rsid w:val="008A5B12"/>
    <w:rsid w:val="008A5BAE"/>
    <w:rsid w:val="008A5F4F"/>
    <w:rsid w:val="008A7766"/>
    <w:rsid w:val="008B2396"/>
    <w:rsid w:val="008C0C0D"/>
    <w:rsid w:val="008C1098"/>
    <w:rsid w:val="008C13BA"/>
    <w:rsid w:val="008C2602"/>
    <w:rsid w:val="008C4B38"/>
    <w:rsid w:val="008D003A"/>
    <w:rsid w:val="008D0387"/>
    <w:rsid w:val="008D0DE7"/>
    <w:rsid w:val="008D3A1B"/>
    <w:rsid w:val="008D3FCE"/>
    <w:rsid w:val="008D47A7"/>
    <w:rsid w:val="008D4B80"/>
    <w:rsid w:val="008D5179"/>
    <w:rsid w:val="008D67EA"/>
    <w:rsid w:val="008E0A85"/>
    <w:rsid w:val="008E17C0"/>
    <w:rsid w:val="008E3E8C"/>
    <w:rsid w:val="008E7A08"/>
    <w:rsid w:val="008E7AC7"/>
    <w:rsid w:val="008F00EE"/>
    <w:rsid w:val="008F1889"/>
    <w:rsid w:val="008F3733"/>
    <w:rsid w:val="008F6998"/>
    <w:rsid w:val="008F7C76"/>
    <w:rsid w:val="009014BE"/>
    <w:rsid w:val="00901B30"/>
    <w:rsid w:val="00901EF1"/>
    <w:rsid w:val="00901FB0"/>
    <w:rsid w:val="00904D1E"/>
    <w:rsid w:val="00910F84"/>
    <w:rsid w:val="00914EAA"/>
    <w:rsid w:val="00915D5B"/>
    <w:rsid w:val="00916088"/>
    <w:rsid w:val="009215DD"/>
    <w:rsid w:val="00921A0F"/>
    <w:rsid w:val="00930B81"/>
    <w:rsid w:val="0093123C"/>
    <w:rsid w:val="009372E8"/>
    <w:rsid w:val="009442E7"/>
    <w:rsid w:val="0094494A"/>
    <w:rsid w:val="0094668A"/>
    <w:rsid w:val="00947778"/>
    <w:rsid w:val="0095016A"/>
    <w:rsid w:val="00950B44"/>
    <w:rsid w:val="00953202"/>
    <w:rsid w:val="00953827"/>
    <w:rsid w:val="009547CF"/>
    <w:rsid w:val="009575CF"/>
    <w:rsid w:val="00960A2A"/>
    <w:rsid w:val="00961D8C"/>
    <w:rsid w:val="009628DF"/>
    <w:rsid w:val="00964E72"/>
    <w:rsid w:val="0096514F"/>
    <w:rsid w:val="009709D4"/>
    <w:rsid w:val="00970BC6"/>
    <w:rsid w:val="00971567"/>
    <w:rsid w:val="00971A56"/>
    <w:rsid w:val="00973410"/>
    <w:rsid w:val="00975508"/>
    <w:rsid w:val="00975FB3"/>
    <w:rsid w:val="00976046"/>
    <w:rsid w:val="00976C06"/>
    <w:rsid w:val="0099287D"/>
    <w:rsid w:val="00992DE6"/>
    <w:rsid w:val="00994A16"/>
    <w:rsid w:val="00995262"/>
    <w:rsid w:val="00997EC2"/>
    <w:rsid w:val="009A4E09"/>
    <w:rsid w:val="009A6631"/>
    <w:rsid w:val="009A6BB8"/>
    <w:rsid w:val="009B078C"/>
    <w:rsid w:val="009B2E48"/>
    <w:rsid w:val="009B3BA2"/>
    <w:rsid w:val="009B4A20"/>
    <w:rsid w:val="009B6E44"/>
    <w:rsid w:val="009C1C5D"/>
    <w:rsid w:val="009C1E2D"/>
    <w:rsid w:val="009C31FE"/>
    <w:rsid w:val="009C430C"/>
    <w:rsid w:val="009C466D"/>
    <w:rsid w:val="009C630E"/>
    <w:rsid w:val="009C7C14"/>
    <w:rsid w:val="009D176B"/>
    <w:rsid w:val="009D27AE"/>
    <w:rsid w:val="009D5EEA"/>
    <w:rsid w:val="009D5EFF"/>
    <w:rsid w:val="009D73FB"/>
    <w:rsid w:val="009D7E49"/>
    <w:rsid w:val="009E3080"/>
    <w:rsid w:val="009E6422"/>
    <w:rsid w:val="009F48D6"/>
    <w:rsid w:val="009F66BD"/>
    <w:rsid w:val="009F6CFD"/>
    <w:rsid w:val="00A00A89"/>
    <w:rsid w:val="00A01F3E"/>
    <w:rsid w:val="00A01F81"/>
    <w:rsid w:val="00A02919"/>
    <w:rsid w:val="00A05B6F"/>
    <w:rsid w:val="00A068F7"/>
    <w:rsid w:val="00A0696C"/>
    <w:rsid w:val="00A06F3B"/>
    <w:rsid w:val="00A108E2"/>
    <w:rsid w:val="00A12B68"/>
    <w:rsid w:val="00A130B6"/>
    <w:rsid w:val="00A1394C"/>
    <w:rsid w:val="00A17005"/>
    <w:rsid w:val="00A17071"/>
    <w:rsid w:val="00A17106"/>
    <w:rsid w:val="00A20451"/>
    <w:rsid w:val="00A204EE"/>
    <w:rsid w:val="00A217C9"/>
    <w:rsid w:val="00A226AD"/>
    <w:rsid w:val="00A2337E"/>
    <w:rsid w:val="00A24573"/>
    <w:rsid w:val="00A2596A"/>
    <w:rsid w:val="00A27EF5"/>
    <w:rsid w:val="00A300D8"/>
    <w:rsid w:val="00A32C7A"/>
    <w:rsid w:val="00A32EB8"/>
    <w:rsid w:val="00A338BC"/>
    <w:rsid w:val="00A33DDB"/>
    <w:rsid w:val="00A36948"/>
    <w:rsid w:val="00A3779B"/>
    <w:rsid w:val="00A37AFB"/>
    <w:rsid w:val="00A40771"/>
    <w:rsid w:val="00A40ED1"/>
    <w:rsid w:val="00A44581"/>
    <w:rsid w:val="00A4563F"/>
    <w:rsid w:val="00A52E67"/>
    <w:rsid w:val="00A52ED3"/>
    <w:rsid w:val="00A5510F"/>
    <w:rsid w:val="00A55B62"/>
    <w:rsid w:val="00A566C0"/>
    <w:rsid w:val="00A63906"/>
    <w:rsid w:val="00A6425E"/>
    <w:rsid w:val="00A70040"/>
    <w:rsid w:val="00A71988"/>
    <w:rsid w:val="00A72099"/>
    <w:rsid w:val="00A72E47"/>
    <w:rsid w:val="00A73324"/>
    <w:rsid w:val="00A76630"/>
    <w:rsid w:val="00A76C31"/>
    <w:rsid w:val="00A7713F"/>
    <w:rsid w:val="00A800F8"/>
    <w:rsid w:val="00A8134E"/>
    <w:rsid w:val="00A81AA1"/>
    <w:rsid w:val="00A823C2"/>
    <w:rsid w:val="00A82A38"/>
    <w:rsid w:val="00A83FF5"/>
    <w:rsid w:val="00A8610D"/>
    <w:rsid w:val="00A86E36"/>
    <w:rsid w:val="00A949C7"/>
    <w:rsid w:val="00AA0DB6"/>
    <w:rsid w:val="00AA13EF"/>
    <w:rsid w:val="00AA1FEA"/>
    <w:rsid w:val="00AA661E"/>
    <w:rsid w:val="00AA73B6"/>
    <w:rsid w:val="00AA7B6F"/>
    <w:rsid w:val="00AB11D8"/>
    <w:rsid w:val="00AB41E7"/>
    <w:rsid w:val="00AB4641"/>
    <w:rsid w:val="00AB5E61"/>
    <w:rsid w:val="00AC17CC"/>
    <w:rsid w:val="00AC2D65"/>
    <w:rsid w:val="00AC314B"/>
    <w:rsid w:val="00AC34A6"/>
    <w:rsid w:val="00AC49F9"/>
    <w:rsid w:val="00AC4C25"/>
    <w:rsid w:val="00AC4D6D"/>
    <w:rsid w:val="00AC76EA"/>
    <w:rsid w:val="00AD1F6D"/>
    <w:rsid w:val="00AD46C2"/>
    <w:rsid w:val="00AD5544"/>
    <w:rsid w:val="00AD69EE"/>
    <w:rsid w:val="00AD71A7"/>
    <w:rsid w:val="00AE23B3"/>
    <w:rsid w:val="00AE45A1"/>
    <w:rsid w:val="00AE6F5F"/>
    <w:rsid w:val="00AE6FBE"/>
    <w:rsid w:val="00AE77B0"/>
    <w:rsid w:val="00AF1A7E"/>
    <w:rsid w:val="00AF1DCF"/>
    <w:rsid w:val="00AF30B3"/>
    <w:rsid w:val="00AF547F"/>
    <w:rsid w:val="00AF696E"/>
    <w:rsid w:val="00AF6C92"/>
    <w:rsid w:val="00B009D8"/>
    <w:rsid w:val="00B01769"/>
    <w:rsid w:val="00B02F0B"/>
    <w:rsid w:val="00B03797"/>
    <w:rsid w:val="00B075C7"/>
    <w:rsid w:val="00B11F9B"/>
    <w:rsid w:val="00B1389D"/>
    <w:rsid w:val="00B14C41"/>
    <w:rsid w:val="00B16120"/>
    <w:rsid w:val="00B17AB4"/>
    <w:rsid w:val="00B213BD"/>
    <w:rsid w:val="00B21907"/>
    <w:rsid w:val="00B2689E"/>
    <w:rsid w:val="00B31021"/>
    <w:rsid w:val="00B329B0"/>
    <w:rsid w:val="00B32BD0"/>
    <w:rsid w:val="00B35193"/>
    <w:rsid w:val="00B368D9"/>
    <w:rsid w:val="00B36F32"/>
    <w:rsid w:val="00B403F6"/>
    <w:rsid w:val="00B4213D"/>
    <w:rsid w:val="00B44258"/>
    <w:rsid w:val="00B44276"/>
    <w:rsid w:val="00B45687"/>
    <w:rsid w:val="00B45C03"/>
    <w:rsid w:val="00B46CA2"/>
    <w:rsid w:val="00B47890"/>
    <w:rsid w:val="00B478E9"/>
    <w:rsid w:val="00B5056A"/>
    <w:rsid w:val="00B51FB2"/>
    <w:rsid w:val="00B53124"/>
    <w:rsid w:val="00B55202"/>
    <w:rsid w:val="00B616B6"/>
    <w:rsid w:val="00B63A84"/>
    <w:rsid w:val="00B64453"/>
    <w:rsid w:val="00B67DCA"/>
    <w:rsid w:val="00B708F8"/>
    <w:rsid w:val="00B70CBC"/>
    <w:rsid w:val="00B7168A"/>
    <w:rsid w:val="00B732C3"/>
    <w:rsid w:val="00B7373E"/>
    <w:rsid w:val="00B73EDB"/>
    <w:rsid w:val="00B8162F"/>
    <w:rsid w:val="00B81F33"/>
    <w:rsid w:val="00B87828"/>
    <w:rsid w:val="00B921A2"/>
    <w:rsid w:val="00B923A0"/>
    <w:rsid w:val="00B92CA9"/>
    <w:rsid w:val="00B949B0"/>
    <w:rsid w:val="00B977ED"/>
    <w:rsid w:val="00BA1CEB"/>
    <w:rsid w:val="00BA4F7D"/>
    <w:rsid w:val="00BB0EAB"/>
    <w:rsid w:val="00BB30B6"/>
    <w:rsid w:val="00BB395F"/>
    <w:rsid w:val="00BB44A3"/>
    <w:rsid w:val="00BB50EF"/>
    <w:rsid w:val="00BB6118"/>
    <w:rsid w:val="00BC005A"/>
    <w:rsid w:val="00BC0290"/>
    <w:rsid w:val="00BC2416"/>
    <w:rsid w:val="00BC2FD7"/>
    <w:rsid w:val="00BC4010"/>
    <w:rsid w:val="00BC42F5"/>
    <w:rsid w:val="00BC44E2"/>
    <w:rsid w:val="00BD2402"/>
    <w:rsid w:val="00BD2796"/>
    <w:rsid w:val="00BD282A"/>
    <w:rsid w:val="00BD65B7"/>
    <w:rsid w:val="00BD7760"/>
    <w:rsid w:val="00BE2BA3"/>
    <w:rsid w:val="00BE2F11"/>
    <w:rsid w:val="00BE3254"/>
    <w:rsid w:val="00BE34E2"/>
    <w:rsid w:val="00BE62D6"/>
    <w:rsid w:val="00BE77E3"/>
    <w:rsid w:val="00BF1424"/>
    <w:rsid w:val="00BF2347"/>
    <w:rsid w:val="00BF3356"/>
    <w:rsid w:val="00BF3A2E"/>
    <w:rsid w:val="00BF410C"/>
    <w:rsid w:val="00BF4235"/>
    <w:rsid w:val="00BF4909"/>
    <w:rsid w:val="00C01EEA"/>
    <w:rsid w:val="00C02F2E"/>
    <w:rsid w:val="00C044D5"/>
    <w:rsid w:val="00C056DC"/>
    <w:rsid w:val="00C107EB"/>
    <w:rsid w:val="00C10E08"/>
    <w:rsid w:val="00C1202F"/>
    <w:rsid w:val="00C120D7"/>
    <w:rsid w:val="00C13CCB"/>
    <w:rsid w:val="00C13EE0"/>
    <w:rsid w:val="00C14523"/>
    <w:rsid w:val="00C147F5"/>
    <w:rsid w:val="00C1560A"/>
    <w:rsid w:val="00C21CBF"/>
    <w:rsid w:val="00C222E2"/>
    <w:rsid w:val="00C43126"/>
    <w:rsid w:val="00C442F5"/>
    <w:rsid w:val="00C459BB"/>
    <w:rsid w:val="00C462A5"/>
    <w:rsid w:val="00C465B3"/>
    <w:rsid w:val="00C4778A"/>
    <w:rsid w:val="00C5125F"/>
    <w:rsid w:val="00C53272"/>
    <w:rsid w:val="00C53C5F"/>
    <w:rsid w:val="00C5519E"/>
    <w:rsid w:val="00C601F3"/>
    <w:rsid w:val="00C61496"/>
    <w:rsid w:val="00C64646"/>
    <w:rsid w:val="00C65B0F"/>
    <w:rsid w:val="00C67961"/>
    <w:rsid w:val="00C67DD0"/>
    <w:rsid w:val="00C702E7"/>
    <w:rsid w:val="00C715D9"/>
    <w:rsid w:val="00C725FC"/>
    <w:rsid w:val="00C73AAC"/>
    <w:rsid w:val="00C74D18"/>
    <w:rsid w:val="00C77CA9"/>
    <w:rsid w:val="00C8094B"/>
    <w:rsid w:val="00C847DA"/>
    <w:rsid w:val="00C90EB5"/>
    <w:rsid w:val="00C926AE"/>
    <w:rsid w:val="00C945A2"/>
    <w:rsid w:val="00C96540"/>
    <w:rsid w:val="00C97FA3"/>
    <w:rsid w:val="00CA2A22"/>
    <w:rsid w:val="00CA41E0"/>
    <w:rsid w:val="00CA4444"/>
    <w:rsid w:val="00CA534F"/>
    <w:rsid w:val="00CA64EB"/>
    <w:rsid w:val="00CA73C2"/>
    <w:rsid w:val="00CB1555"/>
    <w:rsid w:val="00CB19D6"/>
    <w:rsid w:val="00CB443A"/>
    <w:rsid w:val="00CC1050"/>
    <w:rsid w:val="00CC266C"/>
    <w:rsid w:val="00CC57BA"/>
    <w:rsid w:val="00CC61CB"/>
    <w:rsid w:val="00CD07B6"/>
    <w:rsid w:val="00CD28AB"/>
    <w:rsid w:val="00CD6E23"/>
    <w:rsid w:val="00CE1D17"/>
    <w:rsid w:val="00CE28B2"/>
    <w:rsid w:val="00CE391E"/>
    <w:rsid w:val="00CE53F4"/>
    <w:rsid w:val="00CE6660"/>
    <w:rsid w:val="00CF0D3A"/>
    <w:rsid w:val="00CF3183"/>
    <w:rsid w:val="00CF394C"/>
    <w:rsid w:val="00CF574F"/>
    <w:rsid w:val="00CF5FFB"/>
    <w:rsid w:val="00CF61BA"/>
    <w:rsid w:val="00CF67BE"/>
    <w:rsid w:val="00D02CF2"/>
    <w:rsid w:val="00D02CF8"/>
    <w:rsid w:val="00D03119"/>
    <w:rsid w:val="00D0427E"/>
    <w:rsid w:val="00D056EB"/>
    <w:rsid w:val="00D07979"/>
    <w:rsid w:val="00D10D5C"/>
    <w:rsid w:val="00D15150"/>
    <w:rsid w:val="00D1782F"/>
    <w:rsid w:val="00D21D14"/>
    <w:rsid w:val="00D235EF"/>
    <w:rsid w:val="00D239B7"/>
    <w:rsid w:val="00D2459C"/>
    <w:rsid w:val="00D25DE1"/>
    <w:rsid w:val="00D26403"/>
    <w:rsid w:val="00D33F7A"/>
    <w:rsid w:val="00D34CE5"/>
    <w:rsid w:val="00D34FB2"/>
    <w:rsid w:val="00D35368"/>
    <w:rsid w:val="00D37AFB"/>
    <w:rsid w:val="00D402BC"/>
    <w:rsid w:val="00D411D0"/>
    <w:rsid w:val="00D43869"/>
    <w:rsid w:val="00D43E4D"/>
    <w:rsid w:val="00D441E9"/>
    <w:rsid w:val="00D5439F"/>
    <w:rsid w:val="00D54ABB"/>
    <w:rsid w:val="00D55786"/>
    <w:rsid w:val="00D55BC1"/>
    <w:rsid w:val="00D55FDA"/>
    <w:rsid w:val="00D630D9"/>
    <w:rsid w:val="00D64328"/>
    <w:rsid w:val="00D66E56"/>
    <w:rsid w:val="00D7069C"/>
    <w:rsid w:val="00D728F1"/>
    <w:rsid w:val="00D75061"/>
    <w:rsid w:val="00D75BA3"/>
    <w:rsid w:val="00D75F6D"/>
    <w:rsid w:val="00D77632"/>
    <w:rsid w:val="00D779CD"/>
    <w:rsid w:val="00D8113A"/>
    <w:rsid w:val="00D826B9"/>
    <w:rsid w:val="00D86354"/>
    <w:rsid w:val="00D864E5"/>
    <w:rsid w:val="00D866D9"/>
    <w:rsid w:val="00D90D6B"/>
    <w:rsid w:val="00D9142E"/>
    <w:rsid w:val="00D9209E"/>
    <w:rsid w:val="00D934E1"/>
    <w:rsid w:val="00D93729"/>
    <w:rsid w:val="00D93E74"/>
    <w:rsid w:val="00D94909"/>
    <w:rsid w:val="00D96339"/>
    <w:rsid w:val="00D96AAA"/>
    <w:rsid w:val="00DA58C4"/>
    <w:rsid w:val="00DA7958"/>
    <w:rsid w:val="00DB2022"/>
    <w:rsid w:val="00DB42C3"/>
    <w:rsid w:val="00DB69AD"/>
    <w:rsid w:val="00DC049F"/>
    <w:rsid w:val="00DC08F7"/>
    <w:rsid w:val="00DC3220"/>
    <w:rsid w:val="00DC56B3"/>
    <w:rsid w:val="00DC72B1"/>
    <w:rsid w:val="00DD07ED"/>
    <w:rsid w:val="00DD0DF4"/>
    <w:rsid w:val="00DD2675"/>
    <w:rsid w:val="00DD307D"/>
    <w:rsid w:val="00DD3132"/>
    <w:rsid w:val="00DD5C64"/>
    <w:rsid w:val="00DE1015"/>
    <w:rsid w:val="00DE3749"/>
    <w:rsid w:val="00DE6142"/>
    <w:rsid w:val="00DE6676"/>
    <w:rsid w:val="00DE7890"/>
    <w:rsid w:val="00DE7BA0"/>
    <w:rsid w:val="00DE7DB0"/>
    <w:rsid w:val="00DF1699"/>
    <w:rsid w:val="00DF1834"/>
    <w:rsid w:val="00DF6852"/>
    <w:rsid w:val="00DF7169"/>
    <w:rsid w:val="00DF7A02"/>
    <w:rsid w:val="00E0078B"/>
    <w:rsid w:val="00E00A8D"/>
    <w:rsid w:val="00E01003"/>
    <w:rsid w:val="00E024A9"/>
    <w:rsid w:val="00E02E44"/>
    <w:rsid w:val="00E034A8"/>
    <w:rsid w:val="00E037D3"/>
    <w:rsid w:val="00E052CC"/>
    <w:rsid w:val="00E05A25"/>
    <w:rsid w:val="00E06FA8"/>
    <w:rsid w:val="00E1015C"/>
    <w:rsid w:val="00E1196E"/>
    <w:rsid w:val="00E134A6"/>
    <w:rsid w:val="00E1404A"/>
    <w:rsid w:val="00E14FC6"/>
    <w:rsid w:val="00E16D5A"/>
    <w:rsid w:val="00E20A3A"/>
    <w:rsid w:val="00E2377B"/>
    <w:rsid w:val="00E240B2"/>
    <w:rsid w:val="00E252E1"/>
    <w:rsid w:val="00E2607D"/>
    <w:rsid w:val="00E27ABF"/>
    <w:rsid w:val="00E31231"/>
    <w:rsid w:val="00E33544"/>
    <w:rsid w:val="00E41309"/>
    <w:rsid w:val="00E42ACF"/>
    <w:rsid w:val="00E4432F"/>
    <w:rsid w:val="00E44A53"/>
    <w:rsid w:val="00E451BC"/>
    <w:rsid w:val="00E476DD"/>
    <w:rsid w:val="00E50C53"/>
    <w:rsid w:val="00E536F9"/>
    <w:rsid w:val="00E54B70"/>
    <w:rsid w:val="00E56911"/>
    <w:rsid w:val="00E569F3"/>
    <w:rsid w:val="00E5757D"/>
    <w:rsid w:val="00E618C3"/>
    <w:rsid w:val="00E61AEA"/>
    <w:rsid w:val="00E63D88"/>
    <w:rsid w:val="00E667BB"/>
    <w:rsid w:val="00E67608"/>
    <w:rsid w:val="00E7410A"/>
    <w:rsid w:val="00E74CFA"/>
    <w:rsid w:val="00E75572"/>
    <w:rsid w:val="00E77E92"/>
    <w:rsid w:val="00E846C9"/>
    <w:rsid w:val="00E87567"/>
    <w:rsid w:val="00E87F03"/>
    <w:rsid w:val="00E90661"/>
    <w:rsid w:val="00E91008"/>
    <w:rsid w:val="00E93892"/>
    <w:rsid w:val="00E94C6F"/>
    <w:rsid w:val="00E94D47"/>
    <w:rsid w:val="00E9572F"/>
    <w:rsid w:val="00E96FCE"/>
    <w:rsid w:val="00EA0F16"/>
    <w:rsid w:val="00EA121C"/>
    <w:rsid w:val="00EA345D"/>
    <w:rsid w:val="00EA40F1"/>
    <w:rsid w:val="00EA52C0"/>
    <w:rsid w:val="00EB4041"/>
    <w:rsid w:val="00EB646B"/>
    <w:rsid w:val="00EC24A4"/>
    <w:rsid w:val="00EC4047"/>
    <w:rsid w:val="00EC5788"/>
    <w:rsid w:val="00EC7B17"/>
    <w:rsid w:val="00ED5F8E"/>
    <w:rsid w:val="00EE079B"/>
    <w:rsid w:val="00EE39C7"/>
    <w:rsid w:val="00EE4A8D"/>
    <w:rsid w:val="00EE5208"/>
    <w:rsid w:val="00EE5AF3"/>
    <w:rsid w:val="00EE648D"/>
    <w:rsid w:val="00EF1539"/>
    <w:rsid w:val="00EF2CF8"/>
    <w:rsid w:val="00EF5EDB"/>
    <w:rsid w:val="00EF67F6"/>
    <w:rsid w:val="00EF6982"/>
    <w:rsid w:val="00F035A8"/>
    <w:rsid w:val="00F06914"/>
    <w:rsid w:val="00F06BE5"/>
    <w:rsid w:val="00F07A92"/>
    <w:rsid w:val="00F07C10"/>
    <w:rsid w:val="00F07DD9"/>
    <w:rsid w:val="00F10182"/>
    <w:rsid w:val="00F11094"/>
    <w:rsid w:val="00F128D6"/>
    <w:rsid w:val="00F130E6"/>
    <w:rsid w:val="00F14373"/>
    <w:rsid w:val="00F171ED"/>
    <w:rsid w:val="00F23914"/>
    <w:rsid w:val="00F251D8"/>
    <w:rsid w:val="00F26930"/>
    <w:rsid w:val="00F30A9D"/>
    <w:rsid w:val="00F318E7"/>
    <w:rsid w:val="00F35030"/>
    <w:rsid w:val="00F360A7"/>
    <w:rsid w:val="00F421ED"/>
    <w:rsid w:val="00F45C53"/>
    <w:rsid w:val="00F46234"/>
    <w:rsid w:val="00F60963"/>
    <w:rsid w:val="00F62E96"/>
    <w:rsid w:val="00F757CE"/>
    <w:rsid w:val="00F81F83"/>
    <w:rsid w:val="00F82574"/>
    <w:rsid w:val="00F82F6B"/>
    <w:rsid w:val="00F851C1"/>
    <w:rsid w:val="00F914ED"/>
    <w:rsid w:val="00F9204F"/>
    <w:rsid w:val="00F92F2C"/>
    <w:rsid w:val="00F95522"/>
    <w:rsid w:val="00FA1C95"/>
    <w:rsid w:val="00FA350E"/>
    <w:rsid w:val="00FA4FF1"/>
    <w:rsid w:val="00FA5A91"/>
    <w:rsid w:val="00FA619F"/>
    <w:rsid w:val="00FA706C"/>
    <w:rsid w:val="00FA7307"/>
    <w:rsid w:val="00FA764C"/>
    <w:rsid w:val="00FB02B5"/>
    <w:rsid w:val="00FB327B"/>
    <w:rsid w:val="00FB5816"/>
    <w:rsid w:val="00FB77AC"/>
    <w:rsid w:val="00FB7FBB"/>
    <w:rsid w:val="00FC6393"/>
    <w:rsid w:val="00FC75AA"/>
    <w:rsid w:val="00FC7BD6"/>
    <w:rsid w:val="00FD0B7C"/>
    <w:rsid w:val="00FD0F59"/>
    <w:rsid w:val="00FD22B3"/>
    <w:rsid w:val="00FD2EC9"/>
    <w:rsid w:val="00FD2F3B"/>
    <w:rsid w:val="00FD3595"/>
    <w:rsid w:val="00FD4930"/>
    <w:rsid w:val="00FD5017"/>
    <w:rsid w:val="00FD7A0C"/>
    <w:rsid w:val="00FE00ED"/>
    <w:rsid w:val="00FE33A7"/>
    <w:rsid w:val="00FE5799"/>
    <w:rsid w:val="00FE6553"/>
    <w:rsid w:val="00FE7655"/>
    <w:rsid w:val="00FE7696"/>
    <w:rsid w:val="00FE7C1C"/>
    <w:rsid w:val="00FF1FBB"/>
    <w:rsid w:val="00FF3663"/>
    <w:rsid w:val="00FF6037"/>
    <w:rsid w:val="00FF67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64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
    <w:qFormat/>
    <w:rsid w:val="00010CE6"/>
    <w:pPr>
      <w:keepNext/>
      <w:numPr>
        <w:numId w:val="1"/>
      </w:numPr>
      <w:spacing w:before="240" w:after="60"/>
      <w:outlineLvl w:val="0"/>
    </w:pPr>
    <w:rPr>
      <w:rFonts w:ascii="Helvetica" w:eastAsia="MS Mincho" w:hAnsi="Helvetica" w:cs="Arial"/>
      <w:b/>
      <w:bCs/>
      <w:kern w:val="32"/>
      <w:sz w:val="32"/>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010CE6"/>
    <w:rPr>
      <w:rFonts w:ascii="Helvetica" w:eastAsia="MS Mincho" w:hAnsi="Helvetica" w:cs="Arial"/>
      <w:b/>
      <w:bCs/>
      <w:kern w:val="32"/>
      <w:sz w:val="32"/>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FootnoteText">
    <w:name w:val="footnote text"/>
    <w:basedOn w:val="Normal"/>
    <w:link w:val="FootnoteTextChar"/>
    <w:uiPriority w:val="99"/>
    <w:semiHidden/>
    <w:unhideWhenUsed/>
    <w:rsid w:val="00E1404A"/>
    <w:pPr>
      <w:overflowPunct w:val="0"/>
      <w:autoSpaceDE w:val="0"/>
      <w:autoSpaceDN w:val="0"/>
      <w:adjustRightInd w:val="0"/>
      <w:spacing w:after="180"/>
      <w:textAlignment w:val="baseline"/>
    </w:pPr>
    <w:rPr>
      <w:szCs w:val="20"/>
      <w:lang w:val="en-GB"/>
    </w:rPr>
  </w:style>
  <w:style w:type="character" w:customStyle="1" w:styleId="FootnoteTextChar">
    <w:name w:val="Footnote Text Char"/>
    <w:basedOn w:val="DefaultParagraphFont"/>
    <w:link w:val="FootnoteText"/>
    <w:uiPriority w:val="99"/>
    <w:semiHidden/>
    <w:rsid w:val="00E1404A"/>
    <w:rPr>
      <w:rFonts w:ascii="Times New Roman" w:eastAsia="Times New Roman" w:hAnsi="Times New Roman" w:cs="Times New Roman"/>
      <w:sz w:val="20"/>
      <w:szCs w:val="20"/>
      <w:lang w:val="en-GB"/>
    </w:rPr>
  </w:style>
  <w:style w:type="character" w:styleId="FootnoteReference">
    <w:name w:val="footnote reference"/>
    <w:uiPriority w:val="99"/>
    <w:semiHidden/>
    <w:unhideWhenUsed/>
    <w:rsid w:val="00E1404A"/>
    <w:rPr>
      <w:vertAlign w:val="superscript"/>
    </w:rPr>
  </w:style>
  <w:style w:type="paragraph" w:styleId="ListParagraph">
    <w:name w:val="List Paragraph"/>
    <w:basedOn w:val="Normal"/>
    <w:uiPriority w:val="34"/>
    <w:qFormat/>
    <w:rsid w:val="00E1404A"/>
    <w:pPr>
      <w:overflowPunct w:val="0"/>
      <w:autoSpaceDE w:val="0"/>
      <w:autoSpaceDN w:val="0"/>
      <w:adjustRightInd w:val="0"/>
      <w:spacing w:after="180"/>
      <w:ind w:left="720"/>
      <w:contextualSpacing/>
      <w:textAlignment w:val="baseline"/>
    </w:pPr>
    <w:rPr>
      <w:szCs w:val="20"/>
      <w:lang w:val="en-GB"/>
    </w:rPr>
  </w:style>
  <w:style w:type="paragraph" w:customStyle="1" w:styleId="Bulletedo1">
    <w:name w:val="Bulleted o 1"/>
    <w:basedOn w:val="Normal"/>
    <w:rsid w:val="00E06FA8"/>
    <w:pPr>
      <w:numPr>
        <w:numId w:val="6"/>
      </w:numPr>
      <w:overflowPunct w:val="0"/>
      <w:autoSpaceDE w:val="0"/>
      <w:autoSpaceDN w:val="0"/>
      <w:adjustRightInd w:val="0"/>
      <w:spacing w:after="180"/>
      <w:textAlignment w:val="baseline"/>
    </w:pPr>
    <w:rPr>
      <w:rFonts w:eastAsia="SimSun"/>
      <w:szCs w:val="20"/>
    </w:rPr>
  </w:style>
  <w:style w:type="paragraph" w:styleId="NormalWeb">
    <w:name w:val="Normal (Web)"/>
    <w:basedOn w:val="Normal"/>
    <w:uiPriority w:val="99"/>
    <w:unhideWhenUsed/>
    <w:rsid w:val="009D5EEA"/>
    <w:pPr>
      <w:spacing w:before="100" w:beforeAutospacing="1" w:after="100" w:afterAutospacing="1"/>
    </w:pPr>
    <w:rPr>
      <w:rFonts w:eastAsiaTheme="minorEastAsia"/>
      <w:sz w:val="24"/>
    </w:rPr>
  </w:style>
  <w:style w:type="paragraph" w:styleId="DocumentMap">
    <w:name w:val="Document Map"/>
    <w:basedOn w:val="Normal"/>
    <w:link w:val="DocumentMapChar"/>
    <w:uiPriority w:val="99"/>
    <w:semiHidden/>
    <w:unhideWhenUsed/>
    <w:rsid w:val="009372E8"/>
    <w:rPr>
      <w:rFonts w:ascii="Gulim" w:eastAsia="Gulim"/>
      <w:sz w:val="18"/>
      <w:szCs w:val="18"/>
    </w:rPr>
  </w:style>
  <w:style w:type="character" w:customStyle="1" w:styleId="DocumentMapChar">
    <w:name w:val="Document Map Char"/>
    <w:basedOn w:val="DefaultParagraphFont"/>
    <w:link w:val="DocumentMap"/>
    <w:uiPriority w:val="99"/>
    <w:semiHidden/>
    <w:rsid w:val="009372E8"/>
    <w:rPr>
      <w:rFonts w:ascii="Gulim" w:eastAsia="Gulim" w:hAnsi="Times New Roman" w:cs="Times New Roman"/>
      <w:sz w:val="18"/>
      <w:szCs w:val="18"/>
      <w:lang w:val="en-US"/>
    </w:rPr>
  </w:style>
  <w:style w:type="paragraph" w:styleId="BalloonText">
    <w:name w:val="Balloon Text"/>
    <w:basedOn w:val="Normal"/>
    <w:link w:val="BalloonTextChar"/>
    <w:uiPriority w:val="99"/>
    <w:semiHidden/>
    <w:unhideWhenUsed/>
    <w:rsid w:val="009372E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9372E8"/>
    <w:rPr>
      <w:rFonts w:asciiTheme="majorHAnsi" w:eastAsiaTheme="majorEastAsia" w:hAnsiTheme="majorHAnsi" w:cstheme="majorBidi"/>
      <w:sz w:val="18"/>
      <w:szCs w:val="18"/>
      <w:lang w:val="en-US"/>
    </w:rPr>
  </w:style>
  <w:style w:type="paragraph" w:styleId="Caption">
    <w:name w:val="caption"/>
    <w:basedOn w:val="Normal"/>
    <w:next w:val="Normal"/>
    <w:uiPriority w:val="35"/>
    <w:semiHidden/>
    <w:unhideWhenUsed/>
    <w:qFormat/>
    <w:rsid w:val="009372E8"/>
    <w:rPr>
      <w:b/>
      <w:bCs/>
      <w:szCs w:val="20"/>
    </w:rPr>
  </w:style>
  <w:style w:type="character" w:styleId="CommentReference">
    <w:name w:val="annotation reference"/>
    <w:basedOn w:val="DefaultParagraphFont"/>
    <w:uiPriority w:val="99"/>
    <w:semiHidden/>
    <w:unhideWhenUsed/>
    <w:rsid w:val="009B6E44"/>
    <w:rPr>
      <w:sz w:val="18"/>
      <w:szCs w:val="18"/>
    </w:rPr>
  </w:style>
  <w:style w:type="paragraph" w:styleId="CommentText">
    <w:name w:val="annotation text"/>
    <w:basedOn w:val="Normal"/>
    <w:link w:val="CommentTextChar"/>
    <w:uiPriority w:val="99"/>
    <w:semiHidden/>
    <w:unhideWhenUsed/>
    <w:rsid w:val="009B6E44"/>
  </w:style>
  <w:style w:type="character" w:customStyle="1" w:styleId="CommentTextChar">
    <w:name w:val="Comment Text Char"/>
    <w:basedOn w:val="DefaultParagraphFont"/>
    <w:link w:val="CommentText"/>
    <w:uiPriority w:val="99"/>
    <w:semiHidden/>
    <w:rsid w:val="009B6E44"/>
    <w:rPr>
      <w:rFonts w:ascii="Times New Roman" w:eastAsia="Times New Roman" w:hAnsi="Times New Roman" w:cs="Times New Roman"/>
      <w:sz w:val="20"/>
      <w:szCs w:val="24"/>
      <w:lang w:val="en-US"/>
    </w:rPr>
  </w:style>
  <w:style w:type="paragraph" w:styleId="CommentSubject">
    <w:name w:val="annotation subject"/>
    <w:basedOn w:val="CommentText"/>
    <w:next w:val="CommentText"/>
    <w:link w:val="CommentSubjectChar"/>
    <w:uiPriority w:val="99"/>
    <w:semiHidden/>
    <w:unhideWhenUsed/>
    <w:rsid w:val="009B6E44"/>
    <w:rPr>
      <w:b/>
      <w:bCs/>
    </w:rPr>
  </w:style>
  <w:style w:type="character" w:customStyle="1" w:styleId="CommentSubjectChar">
    <w:name w:val="Comment Subject Char"/>
    <w:basedOn w:val="CommentTextChar"/>
    <w:link w:val="CommentSubject"/>
    <w:uiPriority w:val="99"/>
    <w:semiHidden/>
    <w:rsid w:val="009B6E44"/>
    <w:rPr>
      <w:rFonts w:ascii="Times New Roman" w:eastAsia="Times New Roman" w:hAnsi="Times New Roman" w:cs="Times New Roman"/>
      <w:b/>
      <w:bCs/>
      <w:sz w:val="20"/>
      <w:szCs w:val="24"/>
      <w:lang w:val="en-US"/>
    </w:rPr>
  </w:style>
  <w:style w:type="character" w:customStyle="1" w:styleId="apple-converted-space">
    <w:name w:val="apple-converted-space"/>
    <w:basedOn w:val="DefaultParagraphFont"/>
    <w:rsid w:val="00F251D8"/>
  </w:style>
  <w:style w:type="table" w:styleId="PlainTable1">
    <w:name w:val="Plain Table 1"/>
    <w:basedOn w:val="TableNormal"/>
    <w:uiPriority w:val="41"/>
    <w:rsid w:val="00C442F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A7713F"/>
    <w:rPr>
      <w:i/>
      <w:iCs/>
    </w:rPr>
  </w:style>
  <w:style w:type="table" w:styleId="TableGrid">
    <w:name w:val="Table Grid"/>
    <w:basedOn w:val="TableNormal"/>
    <w:uiPriority w:val="59"/>
    <w:rsid w:val="00B92C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E2377B"/>
  </w:style>
  <w:style w:type="character" w:styleId="Hyperlink">
    <w:name w:val="Hyperlink"/>
    <w:uiPriority w:val="99"/>
    <w:rsid w:val="00E1196E"/>
    <w:rPr>
      <w:color w:val="0000FF"/>
      <w:u w:val="single"/>
    </w:rPr>
  </w:style>
  <w:style w:type="paragraph" w:customStyle="1" w:styleId="CRCoverPage">
    <w:name w:val="CR Cover Page"/>
    <w:rsid w:val="000936B7"/>
    <w:pPr>
      <w:spacing w:after="120" w:line="240" w:lineRule="auto"/>
    </w:pPr>
    <w:rPr>
      <w:rFonts w:ascii="Arial" w:eastAsia="Malgun Gothic" w:hAnsi="Arial" w:cs="Times New Roman"/>
      <w:sz w:val="20"/>
      <w:szCs w:val="20"/>
      <w:lang w:val="en-GB"/>
    </w:rPr>
  </w:style>
  <w:style w:type="paragraph" w:customStyle="1" w:styleId="maintext">
    <w:name w:val="main text"/>
    <w:basedOn w:val="Normal"/>
    <w:link w:val="maintextChar"/>
    <w:qFormat/>
    <w:rsid w:val="000936B7"/>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basedOn w:val="DefaultParagraphFont"/>
    <w:link w:val="maintext"/>
    <w:rsid w:val="000936B7"/>
    <w:rPr>
      <w:rFonts w:ascii="Times New Roman" w:eastAsia="Malgun Gothic" w:hAnsi="Times New Roman" w:cs="Batang"/>
      <w:sz w:val="20"/>
      <w:szCs w:val="20"/>
      <w:lang w:val="en-GB" w:eastAsia="ko-KR"/>
    </w:rPr>
  </w:style>
  <w:style w:type="paragraph" w:customStyle="1" w:styleId="H3A">
    <w:name w:val="H3A"/>
    <w:basedOn w:val="Heading3"/>
    <w:qFormat/>
    <w:rsid w:val="00124E98"/>
    <w:pPr>
      <w:tabs>
        <w:tab w:val="left" w:pos="0"/>
      </w:tabs>
      <w:spacing w:after="0"/>
      <w:ind w:left="0" w:firstLine="0"/>
    </w:pPr>
    <w:rPr>
      <w:rFonts w:ascii="Helvetica" w:hAnsi="Helvetic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0647">
      <w:bodyDiv w:val="1"/>
      <w:marLeft w:val="0"/>
      <w:marRight w:val="0"/>
      <w:marTop w:val="0"/>
      <w:marBottom w:val="0"/>
      <w:divBdr>
        <w:top w:val="none" w:sz="0" w:space="0" w:color="auto"/>
        <w:left w:val="none" w:sz="0" w:space="0" w:color="auto"/>
        <w:bottom w:val="none" w:sz="0" w:space="0" w:color="auto"/>
        <w:right w:val="none" w:sz="0" w:space="0" w:color="auto"/>
      </w:divBdr>
    </w:div>
    <w:div w:id="45028942">
      <w:bodyDiv w:val="1"/>
      <w:marLeft w:val="0"/>
      <w:marRight w:val="0"/>
      <w:marTop w:val="0"/>
      <w:marBottom w:val="0"/>
      <w:divBdr>
        <w:top w:val="none" w:sz="0" w:space="0" w:color="auto"/>
        <w:left w:val="none" w:sz="0" w:space="0" w:color="auto"/>
        <w:bottom w:val="none" w:sz="0" w:space="0" w:color="auto"/>
        <w:right w:val="none" w:sz="0" w:space="0" w:color="auto"/>
      </w:divBdr>
    </w:div>
    <w:div w:id="45222091">
      <w:bodyDiv w:val="1"/>
      <w:marLeft w:val="0"/>
      <w:marRight w:val="0"/>
      <w:marTop w:val="0"/>
      <w:marBottom w:val="0"/>
      <w:divBdr>
        <w:top w:val="none" w:sz="0" w:space="0" w:color="auto"/>
        <w:left w:val="none" w:sz="0" w:space="0" w:color="auto"/>
        <w:bottom w:val="none" w:sz="0" w:space="0" w:color="auto"/>
        <w:right w:val="none" w:sz="0" w:space="0" w:color="auto"/>
      </w:divBdr>
    </w:div>
    <w:div w:id="49499569">
      <w:bodyDiv w:val="1"/>
      <w:marLeft w:val="0"/>
      <w:marRight w:val="0"/>
      <w:marTop w:val="0"/>
      <w:marBottom w:val="0"/>
      <w:divBdr>
        <w:top w:val="none" w:sz="0" w:space="0" w:color="auto"/>
        <w:left w:val="none" w:sz="0" w:space="0" w:color="auto"/>
        <w:bottom w:val="none" w:sz="0" w:space="0" w:color="auto"/>
        <w:right w:val="none" w:sz="0" w:space="0" w:color="auto"/>
      </w:divBdr>
    </w:div>
    <w:div w:id="72751337">
      <w:bodyDiv w:val="1"/>
      <w:marLeft w:val="0"/>
      <w:marRight w:val="0"/>
      <w:marTop w:val="0"/>
      <w:marBottom w:val="0"/>
      <w:divBdr>
        <w:top w:val="none" w:sz="0" w:space="0" w:color="auto"/>
        <w:left w:val="none" w:sz="0" w:space="0" w:color="auto"/>
        <w:bottom w:val="none" w:sz="0" w:space="0" w:color="auto"/>
        <w:right w:val="none" w:sz="0" w:space="0" w:color="auto"/>
      </w:divBdr>
    </w:div>
    <w:div w:id="94332681">
      <w:bodyDiv w:val="1"/>
      <w:marLeft w:val="0"/>
      <w:marRight w:val="0"/>
      <w:marTop w:val="0"/>
      <w:marBottom w:val="0"/>
      <w:divBdr>
        <w:top w:val="none" w:sz="0" w:space="0" w:color="auto"/>
        <w:left w:val="none" w:sz="0" w:space="0" w:color="auto"/>
        <w:bottom w:val="none" w:sz="0" w:space="0" w:color="auto"/>
        <w:right w:val="none" w:sz="0" w:space="0" w:color="auto"/>
      </w:divBdr>
    </w:div>
    <w:div w:id="96220002">
      <w:bodyDiv w:val="1"/>
      <w:marLeft w:val="0"/>
      <w:marRight w:val="0"/>
      <w:marTop w:val="0"/>
      <w:marBottom w:val="0"/>
      <w:divBdr>
        <w:top w:val="none" w:sz="0" w:space="0" w:color="auto"/>
        <w:left w:val="none" w:sz="0" w:space="0" w:color="auto"/>
        <w:bottom w:val="none" w:sz="0" w:space="0" w:color="auto"/>
        <w:right w:val="none" w:sz="0" w:space="0" w:color="auto"/>
      </w:divBdr>
    </w:div>
    <w:div w:id="130442768">
      <w:bodyDiv w:val="1"/>
      <w:marLeft w:val="0"/>
      <w:marRight w:val="0"/>
      <w:marTop w:val="0"/>
      <w:marBottom w:val="0"/>
      <w:divBdr>
        <w:top w:val="none" w:sz="0" w:space="0" w:color="auto"/>
        <w:left w:val="none" w:sz="0" w:space="0" w:color="auto"/>
        <w:bottom w:val="none" w:sz="0" w:space="0" w:color="auto"/>
        <w:right w:val="none" w:sz="0" w:space="0" w:color="auto"/>
      </w:divBdr>
    </w:div>
    <w:div w:id="135532169">
      <w:bodyDiv w:val="1"/>
      <w:marLeft w:val="0"/>
      <w:marRight w:val="0"/>
      <w:marTop w:val="0"/>
      <w:marBottom w:val="0"/>
      <w:divBdr>
        <w:top w:val="none" w:sz="0" w:space="0" w:color="auto"/>
        <w:left w:val="none" w:sz="0" w:space="0" w:color="auto"/>
        <w:bottom w:val="none" w:sz="0" w:space="0" w:color="auto"/>
        <w:right w:val="none" w:sz="0" w:space="0" w:color="auto"/>
      </w:divBdr>
    </w:div>
    <w:div w:id="144015197">
      <w:bodyDiv w:val="1"/>
      <w:marLeft w:val="0"/>
      <w:marRight w:val="0"/>
      <w:marTop w:val="0"/>
      <w:marBottom w:val="0"/>
      <w:divBdr>
        <w:top w:val="none" w:sz="0" w:space="0" w:color="auto"/>
        <w:left w:val="none" w:sz="0" w:space="0" w:color="auto"/>
        <w:bottom w:val="none" w:sz="0" w:space="0" w:color="auto"/>
        <w:right w:val="none" w:sz="0" w:space="0" w:color="auto"/>
      </w:divBdr>
    </w:div>
    <w:div w:id="168259896">
      <w:bodyDiv w:val="1"/>
      <w:marLeft w:val="0"/>
      <w:marRight w:val="0"/>
      <w:marTop w:val="0"/>
      <w:marBottom w:val="0"/>
      <w:divBdr>
        <w:top w:val="none" w:sz="0" w:space="0" w:color="auto"/>
        <w:left w:val="none" w:sz="0" w:space="0" w:color="auto"/>
        <w:bottom w:val="none" w:sz="0" w:space="0" w:color="auto"/>
        <w:right w:val="none" w:sz="0" w:space="0" w:color="auto"/>
      </w:divBdr>
    </w:div>
    <w:div w:id="177430823">
      <w:bodyDiv w:val="1"/>
      <w:marLeft w:val="0"/>
      <w:marRight w:val="0"/>
      <w:marTop w:val="0"/>
      <w:marBottom w:val="0"/>
      <w:divBdr>
        <w:top w:val="none" w:sz="0" w:space="0" w:color="auto"/>
        <w:left w:val="none" w:sz="0" w:space="0" w:color="auto"/>
        <w:bottom w:val="none" w:sz="0" w:space="0" w:color="auto"/>
        <w:right w:val="none" w:sz="0" w:space="0" w:color="auto"/>
      </w:divBdr>
    </w:div>
    <w:div w:id="182982949">
      <w:bodyDiv w:val="1"/>
      <w:marLeft w:val="0"/>
      <w:marRight w:val="0"/>
      <w:marTop w:val="0"/>
      <w:marBottom w:val="0"/>
      <w:divBdr>
        <w:top w:val="none" w:sz="0" w:space="0" w:color="auto"/>
        <w:left w:val="none" w:sz="0" w:space="0" w:color="auto"/>
        <w:bottom w:val="none" w:sz="0" w:space="0" w:color="auto"/>
        <w:right w:val="none" w:sz="0" w:space="0" w:color="auto"/>
      </w:divBdr>
    </w:div>
    <w:div w:id="210578308">
      <w:bodyDiv w:val="1"/>
      <w:marLeft w:val="0"/>
      <w:marRight w:val="0"/>
      <w:marTop w:val="0"/>
      <w:marBottom w:val="0"/>
      <w:divBdr>
        <w:top w:val="none" w:sz="0" w:space="0" w:color="auto"/>
        <w:left w:val="none" w:sz="0" w:space="0" w:color="auto"/>
        <w:bottom w:val="none" w:sz="0" w:space="0" w:color="auto"/>
        <w:right w:val="none" w:sz="0" w:space="0" w:color="auto"/>
      </w:divBdr>
    </w:div>
    <w:div w:id="231352850">
      <w:bodyDiv w:val="1"/>
      <w:marLeft w:val="0"/>
      <w:marRight w:val="0"/>
      <w:marTop w:val="0"/>
      <w:marBottom w:val="0"/>
      <w:divBdr>
        <w:top w:val="none" w:sz="0" w:space="0" w:color="auto"/>
        <w:left w:val="none" w:sz="0" w:space="0" w:color="auto"/>
        <w:bottom w:val="none" w:sz="0" w:space="0" w:color="auto"/>
        <w:right w:val="none" w:sz="0" w:space="0" w:color="auto"/>
      </w:divBdr>
    </w:div>
    <w:div w:id="236089745">
      <w:bodyDiv w:val="1"/>
      <w:marLeft w:val="0"/>
      <w:marRight w:val="0"/>
      <w:marTop w:val="0"/>
      <w:marBottom w:val="0"/>
      <w:divBdr>
        <w:top w:val="none" w:sz="0" w:space="0" w:color="auto"/>
        <w:left w:val="none" w:sz="0" w:space="0" w:color="auto"/>
        <w:bottom w:val="none" w:sz="0" w:space="0" w:color="auto"/>
        <w:right w:val="none" w:sz="0" w:space="0" w:color="auto"/>
      </w:divBdr>
      <w:divsChild>
        <w:div w:id="355618882">
          <w:marLeft w:val="792"/>
          <w:marRight w:val="0"/>
          <w:marTop w:val="0"/>
          <w:marBottom w:val="0"/>
          <w:divBdr>
            <w:top w:val="none" w:sz="0" w:space="0" w:color="auto"/>
            <w:left w:val="none" w:sz="0" w:space="0" w:color="auto"/>
            <w:bottom w:val="none" w:sz="0" w:space="0" w:color="auto"/>
            <w:right w:val="none" w:sz="0" w:space="0" w:color="auto"/>
          </w:divBdr>
        </w:div>
        <w:div w:id="736519107">
          <w:marLeft w:val="792"/>
          <w:marRight w:val="0"/>
          <w:marTop w:val="0"/>
          <w:marBottom w:val="0"/>
          <w:divBdr>
            <w:top w:val="none" w:sz="0" w:space="0" w:color="auto"/>
            <w:left w:val="none" w:sz="0" w:space="0" w:color="auto"/>
            <w:bottom w:val="none" w:sz="0" w:space="0" w:color="auto"/>
            <w:right w:val="none" w:sz="0" w:space="0" w:color="auto"/>
          </w:divBdr>
        </w:div>
        <w:div w:id="865290858">
          <w:marLeft w:val="418"/>
          <w:marRight w:val="0"/>
          <w:marTop w:val="0"/>
          <w:marBottom w:val="0"/>
          <w:divBdr>
            <w:top w:val="none" w:sz="0" w:space="0" w:color="auto"/>
            <w:left w:val="none" w:sz="0" w:space="0" w:color="auto"/>
            <w:bottom w:val="none" w:sz="0" w:space="0" w:color="auto"/>
            <w:right w:val="none" w:sz="0" w:space="0" w:color="auto"/>
          </w:divBdr>
        </w:div>
        <w:div w:id="1114707999">
          <w:marLeft w:val="792"/>
          <w:marRight w:val="0"/>
          <w:marTop w:val="0"/>
          <w:marBottom w:val="0"/>
          <w:divBdr>
            <w:top w:val="none" w:sz="0" w:space="0" w:color="auto"/>
            <w:left w:val="none" w:sz="0" w:space="0" w:color="auto"/>
            <w:bottom w:val="none" w:sz="0" w:space="0" w:color="auto"/>
            <w:right w:val="none" w:sz="0" w:space="0" w:color="auto"/>
          </w:divBdr>
        </w:div>
        <w:div w:id="1334379587">
          <w:marLeft w:val="792"/>
          <w:marRight w:val="0"/>
          <w:marTop w:val="0"/>
          <w:marBottom w:val="0"/>
          <w:divBdr>
            <w:top w:val="none" w:sz="0" w:space="0" w:color="auto"/>
            <w:left w:val="none" w:sz="0" w:space="0" w:color="auto"/>
            <w:bottom w:val="none" w:sz="0" w:space="0" w:color="auto"/>
            <w:right w:val="none" w:sz="0" w:space="0" w:color="auto"/>
          </w:divBdr>
        </w:div>
        <w:div w:id="1789814858">
          <w:marLeft w:val="418"/>
          <w:marRight w:val="0"/>
          <w:marTop w:val="0"/>
          <w:marBottom w:val="0"/>
          <w:divBdr>
            <w:top w:val="none" w:sz="0" w:space="0" w:color="auto"/>
            <w:left w:val="none" w:sz="0" w:space="0" w:color="auto"/>
            <w:bottom w:val="none" w:sz="0" w:space="0" w:color="auto"/>
            <w:right w:val="none" w:sz="0" w:space="0" w:color="auto"/>
          </w:divBdr>
        </w:div>
        <w:div w:id="1985969621">
          <w:marLeft w:val="792"/>
          <w:marRight w:val="0"/>
          <w:marTop w:val="0"/>
          <w:marBottom w:val="0"/>
          <w:divBdr>
            <w:top w:val="none" w:sz="0" w:space="0" w:color="auto"/>
            <w:left w:val="none" w:sz="0" w:space="0" w:color="auto"/>
            <w:bottom w:val="none" w:sz="0" w:space="0" w:color="auto"/>
            <w:right w:val="none" w:sz="0" w:space="0" w:color="auto"/>
          </w:divBdr>
        </w:div>
      </w:divsChild>
    </w:div>
    <w:div w:id="244457485">
      <w:bodyDiv w:val="1"/>
      <w:marLeft w:val="0"/>
      <w:marRight w:val="0"/>
      <w:marTop w:val="0"/>
      <w:marBottom w:val="0"/>
      <w:divBdr>
        <w:top w:val="none" w:sz="0" w:space="0" w:color="auto"/>
        <w:left w:val="none" w:sz="0" w:space="0" w:color="auto"/>
        <w:bottom w:val="none" w:sz="0" w:space="0" w:color="auto"/>
        <w:right w:val="none" w:sz="0" w:space="0" w:color="auto"/>
      </w:divBdr>
    </w:div>
    <w:div w:id="263272875">
      <w:bodyDiv w:val="1"/>
      <w:marLeft w:val="0"/>
      <w:marRight w:val="0"/>
      <w:marTop w:val="0"/>
      <w:marBottom w:val="0"/>
      <w:divBdr>
        <w:top w:val="none" w:sz="0" w:space="0" w:color="auto"/>
        <w:left w:val="none" w:sz="0" w:space="0" w:color="auto"/>
        <w:bottom w:val="none" w:sz="0" w:space="0" w:color="auto"/>
        <w:right w:val="none" w:sz="0" w:space="0" w:color="auto"/>
      </w:divBdr>
    </w:div>
    <w:div w:id="264579596">
      <w:bodyDiv w:val="1"/>
      <w:marLeft w:val="0"/>
      <w:marRight w:val="0"/>
      <w:marTop w:val="0"/>
      <w:marBottom w:val="0"/>
      <w:divBdr>
        <w:top w:val="none" w:sz="0" w:space="0" w:color="auto"/>
        <w:left w:val="none" w:sz="0" w:space="0" w:color="auto"/>
        <w:bottom w:val="none" w:sz="0" w:space="0" w:color="auto"/>
        <w:right w:val="none" w:sz="0" w:space="0" w:color="auto"/>
      </w:divBdr>
    </w:div>
    <w:div w:id="266739350">
      <w:bodyDiv w:val="1"/>
      <w:marLeft w:val="0"/>
      <w:marRight w:val="0"/>
      <w:marTop w:val="0"/>
      <w:marBottom w:val="0"/>
      <w:divBdr>
        <w:top w:val="none" w:sz="0" w:space="0" w:color="auto"/>
        <w:left w:val="none" w:sz="0" w:space="0" w:color="auto"/>
        <w:bottom w:val="none" w:sz="0" w:space="0" w:color="auto"/>
        <w:right w:val="none" w:sz="0" w:space="0" w:color="auto"/>
      </w:divBdr>
    </w:div>
    <w:div w:id="270287510">
      <w:bodyDiv w:val="1"/>
      <w:marLeft w:val="0"/>
      <w:marRight w:val="0"/>
      <w:marTop w:val="0"/>
      <w:marBottom w:val="0"/>
      <w:divBdr>
        <w:top w:val="none" w:sz="0" w:space="0" w:color="auto"/>
        <w:left w:val="none" w:sz="0" w:space="0" w:color="auto"/>
        <w:bottom w:val="none" w:sz="0" w:space="0" w:color="auto"/>
        <w:right w:val="none" w:sz="0" w:space="0" w:color="auto"/>
      </w:divBdr>
    </w:div>
    <w:div w:id="275984068">
      <w:bodyDiv w:val="1"/>
      <w:marLeft w:val="0"/>
      <w:marRight w:val="0"/>
      <w:marTop w:val="0"/>
      <w:marBottom w:val="0"/>
      <w:divBdr>
        <w:top w:val="none" w:sz="0" w:space="0" w:color="auto"/>
        <w:left w:val="none" w:sz="0" w:space="0" w:color="auto"/>
        <w:bottom w:val="none" w:sz="0" w:space="0" w:color="auto"/>
        <w:right w:val="none" w:sz="0" w:space="0" w:color="auto"/>
      </w:divBdr>
    </w:div>
    <w:div w:id="281348769">
      <w:bodyDiv w:val="1"/>
      <w:marLeft w:val="0"/>
      <w:marRight w:val="0"/>
      <w:marTop w:val="0"/>
      <w:marBottom w:val="0"/>
      <w:divBdr>
        <w:top w:val="none" w:sz="0" w:space="0" w:color="auto"/>
        <w:left w:val="none" w:sz="0" w:space="0" w:color="auto"/>
        <w:bottom w:val="none" w:sz="0" w:space="0" w:color="auto"/>
        <w:right w:val="none" w:sz="0" w:space="0" w:color="auto"/>
      </w:divBdr>
    </w:div>
    <w:div w:id="296834951">
      <w:bodyDiv w:val="1"/>
      <w:marLeft w:val="0"/>
      <w:marRight w:val="0"/>
      <w:marTop w:val="0"/>
      <w:marBottom w:val="0"/>
      <w:divBdr>
        <w:top w:val="none" w:sz="0" w:space="0" w:color="auto"/>
        <w:left w:val="none" w:sz="0" w:space="0" w:color="auto"/>
        <w:bottom w:val="none" w:sz="0" w:space="0" w:color="auto"/>
        <w:right w:val="none" w:sz="0" w:space="0" w:color="auto"/>
      </w:divBdr>
    </w:div>
    <w:div w:id="297612461">
      <w:bodyDiv w:val="1"/>
      <w:marLeft w:val="0"/>
      <w:marRight w:val="0"/>
      <w:marTop w:val="0"/>
      <w:marBottom w:val="0"/>
      <w:divBdr>
        <w:top w:val="none" w:sz="0" w:space="0" w:color="auto"/>
        <w:left w:val="none" w:sz="0" w:space="0" w:color="auto"/>
        <w:bottom w:val="none" w:sz="0" w:space="0" w:color="auto"/>
        <w:right w:val="none" w:sz="0" w:space="0" w:color="auto"/>
      </w:divBdr>
    </w:div>
    <w:div w:id="312880677">
      <w:bodyDiv w:val="1"/>
      <w:marLeft w:val="0"/>
      <w:marRight w:val="0"/>
      <w:marTop w:val="0"/>
      <w:marBottom w:val="0"/>
      <w:divBdr>
        <w:top w:val="none" w:sz="0" w:space="0" w:color="auto"/>
        <w:left w:val="none" w:sz="0" w:space="0" w:color="auto"/>
        <w:bottom w:val="none" w:sz="0" w:space="0" w:color="auto"/>
        <w:right w:val="none" w:sz="0" w:space="0" w:color="auto"/>
      </w:divBdr>
    </w:div>
    <w:div w:id="330649039">
      <w:bodyDiv w:val="1"/>
      <w:marLeft w:val="0"/>
      <w:marRight w:val="0"/>
      <w:marTop w:val="0"/>
      <w:marBottom w:val="0"/>
      <w:divBdr>
        <w:top w:val="none" w:sz="0" w:space="0" w:color="auto"/>
        <w:left w:val="none" w:sz="0" w:space="0" w:color="auto"/>
        <w:bottom w:val="none" w:sz="0" w:space="0" w:color="auto"/>
        <w:right w:val="none" w:sz="0" w:space="0" w:color="auto"/>
      </w:divBdr>
    </w:div>
    <w:div w:id="331571722">
      <w:bodyDiv w:val="1"/>
      <w:marLeft w:val="0"/>
      <w:marRight w:val="0"/>
      <w:marTop w:val="0"/>
      <w:marBottom w:val="0"/>
      <w:divBdr>
        <w:top w:val="none" w:sz="0" w:space="0" w:color="auto"/>
        <w:left w:val="none" w:sz="0" w:space="0" w:color="auto"/>
        <w:bottom w:val="none" w:sz="0" w:space="0" w:color="auto"/>
        <w:right w:val="none" w:sz="0" w:space="0" w:color="auto"/>
      </w:divBdr>
    </w:div>
    <w:div w:id="346904640">
      <w:bodyDiv w:val="1"/>
      <w:marLeft w:val="0"/>
      <w:marRight w:val="0"/>
      <w:marTop w:val="0"/>
      <w:marBottom w:val="0"/>
      <w:divBdr>
        <w:top w:val="none" w:sz="0" w:space="0" w:color="auto"/>
        <w:left w:val="none" w:sz="0" w:space="0" w:color="auto"/>
        <w:bottom w:val="none" w:sz="0" w:space="0" w:color="auto"/>
        <w:right w:val="none" w:sz="0" w:space="0" w:color="auto"/>
      </w:divBdr>
    </w:div>
    <w:div w:id="357050664">
      <w:bodyDiv w:val="1"/>
      <w:marLeft w:val="0"/>
      <w:marRight w:val="0"/>
      <w:marTop w:val="0"/>
      <w:marBottom w:val="0"/>
      <w:divBdr>
        <w:top w:val="none" w:sz="0" w:space="0" w:color="auto"/>
        <w:left w:val="none" w:sz="0" w:space="0" w:color="auto"/>
        <w:bottom w:val="none" w:sz="0" w:space="0" w:color="auto"/>
        <w:right w:val="none" w:sz="0" w:space="0" w:color="auto"/>
      </w:divBdr>
    </w:div>
    <w:div w:id="367225448">
      <w:bodyDiv w:val="1"/>
      <w:marLeft w:val="0"/>
      <w:marRight w:val="0"/>
      <w:marTop w:val="0"/>
      <w:marBottom w:val="0"/>
      <w:divBdr>
        <w:top w:val="none" w:sz="0" w:space="0" w:color="auto"/>
        <w:left w:val="none" w:sz="0" w:space="0" w:color="auto"/>
        <w:bottom w:val="none" w:sz="0" w:space="0" w:color="auto"/>
        <w:right w:val="none" w:sz="0" w:space="0" w:color="auto"/>
      </w:divBdr>
    </w:div>
    <w:div w:id="371074222">
      <w:bodyDiv w:val="1"/>
      <w:marLeft w:val="0"/>
      <w:marRight w:val="0"/>
      <w:marTop w:val="0"/>
      <w:marBottom w:val="0"/>
      <w:divBdr>
        <w:top w:val="none" w:sz="0" w:space="0" w:color="auto"/>
        <w:left w:val="none" w:sz="0" w:space="0" w:color="auto"/>
        <w:bottom w:val="none" w:sz="0" w:space="0" w:color="auto"/>
        <w:right w:val="none" w:sz="0" w:space="0" w:color="auto"/>
      </w:divBdr>
    </w:div>
    <w:div w:id="373433165">
      <w:bodyDiv w:val="1"/>
      <w:marLeft w:val="0"/>
      <w:marRight w:val="0"/>
      <w:marTop w:val="0"/>
      <w:marBottom w:val="0"/>
      <w:divBdr>
        <w:top w:val="none" w:sz="0" w:space="0" w:color="auto"/>
        <w:left w:val="none" w:sz="0" w:space="0" w:color="auto"/>
        <w:bottom w:val="none" w:sz="0" w:space="0" w:color="auto"/>
        <w:right w:val="none" w:sz="0" w:space="0" w:color="auto"/>
      </w:divBdr>
    </w:div>
    <w:div w:id="405423379">
      <w:bodyDiv w:val="1"/>
      <w:marLeft w:val="0"/>
      <w:marRight w:val="0"/>
      <w:marTop w:val="0"/>
      <w:marBottom w:val="0"/>
      <w:divBdr>
        <w:top w:val="none" w:sz="0" w:space="0" w:color="auto"/>
        <w:left w:val="none" w:sz="0" w:space="0" w:color="auto"/>
        <w:bottom w:val="none" w:sz="0" w:space="0" w:color="auto"/>
        <w:right w:val="none" w:sz="0" w:space="0" w:color="auto"/>
      </w:divBdr>
    </w:div>
    <w:div w:id="436606189">
      <w:bodyDiv w:val="1"/>
      <w:marLeft w:val="0"/>
      <w:marRight w:val="0"/>
      <w:marTop w:val="0"/>
      <w:marBottom w:val="0"/>
      <w:divBdr>
        <w:top w:val="none" w:sz="0" w:space="0" w:color="auto"/>
        <w:left w:val="none" w:sz="0" w:space="0" w:color="auto"/>
        <w:bottom w:val="none" w:sz="0" w:space="0" w:color="auto"/>
        <w:right w:val="none" w:sz="0" w:space="0" w:color="auto"/>
      </w:divBdr>
    </w:div>
    <w:div w:id="464082241">
      <w:bodyDiv w:val="1"/>
      <w:marLeft w:val="0"/>
      <w:marRight w:val="0"/>
      <w:marTop w:val="0"/>
      <w:marBottom w:val="0"/>
      <w:divBdr>
        <w:top w:val="none" w:sz="0" w:space="0" w:color="auto"/>
        <w:left w:val="none" w:sz="0" w:space="0" w:color="auto"/>
        <w:bottom w:val="none" w:sz="0" w:space="0" w:color="auto"/>
        <w:right w:val="none" w:sz="0" w:space="0" w:color="auto"/>
      </w:divBdr>
    </w:div>
    <w:div w:id="476338342">
      <w:bodyDiv w:val="1"/>
      <w:marLeft w:val="0"/>
      <w:marRight w:val="0"/>
      <w:marTop w:val="0"/>
      <w:marBottom w:val="0"/>
      <w:divBdr>
        <w:top w:val="none" w:sz="0" w:space="0" w:color="auto"/>
        <w:left w:val="none" w:sz="0" w:space="0" w:color="auto"/>
        <w:bottom w:val="none" w:sz="0" w:space="0" w:color="auto"/>
        <w:right w:val="none" w:sz="0" w:space="0" w:color="auto"/>
      </w:divBdr>
    </w:div>
    <w:div w:id="480926810">
      <w:bodyDiv w:val="1"/>
      <w:marLeft w:val="0"/>
      <w:marRight w:val="0"/>
      <w:marTop w:val="0"/>
      <w:marBottom w:val="0"/>
      <w:divBdr>
        <w:top w:val="none" w:sz="0" w:space="0" w:color="auto"/>
        <w:left w:val="none" w:sz="0" w:space="0" w:color="auto"/>
        <w:bottom w:val="none" w:sz="0" w:space="0" w:color="auto"/>
        <w:right w:val="none" w:sz="0" w:space="0" w:color="auto"/>
      </w:divBdr>
    </w:div>
    <w:div w:id="483090597">
      <w:bodyDiv w:val="1"/>
      <w:marLeft w:val="0"/>
      <w:marRight w:val="0"/>
      <w:marTop w:val="0"/>
      <w:marBottom w:val="0"/>
      <w:divBdr>
        <w:top w:val="none" w:sz="0" w:space="0" w:color="auto"/>
        <w:left w:val="none" w:sz="0" w:space="0" w:color="auto"/>
        <w:bottom w:val="none" w:sz="0" w:space="0" w:color="auto"/>
        <w:right w:val="none" w:sz="0" w:space="0" w:color="auto"/>
      </w:divBdr>
    </w:div>
    <w:div w:id="488595902">
      <w:bodyDiv w:val="1"/>
      <w:marLeft w:val="0"/>
      <w:marRight w:val="0"/>
      <w:marTop w:val="0"/>
      <w:marBottom w:val="0"/>
      <w:divBdr>
        <w:top w:val="none" w:sz="0" w:space="0" w:color="auto"/>
        <w:left w:val="none" w:sz="0" w:space="0" w:color="auto"/>
        <w:bottom w:val="none" w:sz="0" w:space="0" w:color="auto"/>
        <w:right w:val="none" w:sz="0" w:space="0" w:color="auto"/>
      </w:divBdr>
    </w:div>
    <w:div w:id="501119662">
      <w:bodyDiv w:val="1"/>
      <w:marLeft w:val="0"/>
      <w:marRight w:val="0"/>
      <w:marTop w:val="0"/>
      <w:marBottom w:val="0"/>
      <w:divBdr>
        <w:top w:val="none" w:sz="0" w:space="0" w:color="auto"/>
        <w:left w:val="none" w:sz="0" w:space="0" w:color="auto"/>
        <w:bottom w:val="none" w:sz="0" w:space="0" w:color="auto"/>
        <w:right w:val="none" w:sz="0" w:space="0" w:color="auto"/>
      </w:divBdr>
    </w:div>
    <w:div w:id="516963888">
      <w:bodyDiv w:val="1"/>
      <w:marLeft w:val="0"/>
      <w:marRight w:val="0"/>
      <w:marTop w:val="0"/>
      <w:marBottom w:val="0"/>
      <w:divBdr>
        <w:top w:val="none" w:sz="0" w:space="0" w:color="auto"/>
        <w:left w:val="none" w:sz="0" w:space="0" w:color="auto"/>
        <w:bottom w:val="none" w:sz="0" w:space="0" w:color="auto"/>
        <w:right w:val="none" w:sz="0" w:space="0" w:color="auto"/>
      </w:divBdr>
    </w:div>
    <w:div w:id="538274788">
      <w:bodyDiv w:val="1"/>
      <w:marLeft w:val="0"/>
      <w:marRight w:val="0"/>
      <w:marTop w:val="0"/>
      <w:marBottom w:val="0"/>
      <w:divBdr>
        <w:top w:val="none" w:sz="0" w:space="0" w:color="auto"/>
        <w:left w:val="none" w:sz="0" w:space="0" w:color="auto"/>
        <w:bottom w:val="none" w:sz="0" w:space="0" w:color="auto"/>
        <w:right w:val="none" w:sz="0" w:space="0" w:color="auto"/>
      </w:divBdr>
    </w:div>
    <w:div w:id="560988853">
      <w:bodyDiv w:val="1"/>
      <w:marLeft w:val="0"/>
      <w:marRight w:val="0"/>
      <w:marTop w:val="0"/>
      <w:marBottom w:val="0"/>
      <w:divBdr>
        <w:top w:val="none" w:sz="0" w:space="0" w:color="auto"/>
        <w:left w:val="none" w:sz="0" w:space="0" w:color="auto"/>
        <w:bottom w:val="none" w:sz="0" w:space="0" w:color="auto"/>
        <w:right w:val="none" w:sz="0" w:space="0" w:color="auto"/>
      </w:divBdr>
    </w:div>
    <w:div w:id="571696423">
      <w:bodyDiv w:val="1"/>
      <w:marLeft w:val="0"/>
      <w:marRight w:val="0"/>
      <w:marTop w:val="0"/>
      <w:marBottom w:val="0"/>
      <w:divBdr>
        <w:top w:val="none" w:sz="0" w:space="0" w:color="auto"/>
        <w:left w:val="none" w:sz="0" w:space="0" w:color="auto"/>
        <w:bottom w:val="none" w:sz="0" w:space="0" w:color="auto"/>
        <w:right w:val="none" w:sz="0" w:space="0" w:color="auto"/>
      </w:divBdr>
    </w:div>
    <w:div w:id="582684894">
      <w:bodyDiv w:val="1"/>
      <w:marLeft w:val="0"/>
      <w:marRight w:val="0"/>
      <w:marTop w:val="0"/>
      <w:marBottom w:val="0"/>
      <w:divBdr>
        <w:top w:val="none" w:sz="0" w:space="0" w:color="auto"/>
        <w:left w:val="none" w:sz="0" w:space="0" w:color="auto"/>
        <w:bottom w:val="none" w:sz="0" w:space="0" w:color="auto"/>
        <w:right w:val="none" w:sz="0" w:space="0" w:color="auto"/>
      </w:divBdr>
    </w:div>
    <w:div w:id="589235737">
      <w:bodyDiv w:val="1"/>
      <w:marLeft w:val="0"/>
      <w:marRight w:val="0"/>
      <w:marTop w:val="0"/>
      <w:marBottom w:val="0"/>
      <w:divBdr>
        <w:top w:val="none" w:sz="0" w:space="0" w:color="auto"/>
        <w:left w:val="none" w:sz="0" w:space="0" w:color="auto"/>
        <w:bottom w:val="none" w:sz="0" w:space="0" w:color="auto"/>
        <w:right w:val="none" w:sz="0" w:space="0" w:color="auto"/>
      </w:divBdr>
    </w:div>
    <w:div w:id="605117395">
      <w:bodyDiv w:val="1"/>
      <w:marLeft w:val="0"/>
      <w:marRight w:val="0"/>
      <w:marTop w:val="0"/>
      <w:marBottom w:val="0"/>
      <w:divBdr>
        <w:top w:val="none" w:sz="0" w:space="0" w:color="auto"/>
        <w:left w:val="none" w:sz="0" w:space="0" w:color="auto"/>
        <w:bottom w:val="none" w:sz="0" w:space="0" w:color="auto"/>
        <w:right w:val="none" w:sz="0" w:space="0" w:color="auto"/>
      </w:divBdr>
    </w:div>
    <w:div w:id="605968543">
      <w:bodyDiv w:val="1"/>
      <w:marLeft w:val="0"/>
      <w:marRight w:val="0"/>
      <w:marTop w:val="0"/>
      <w:marBottom w:val="0"/>
      <w:divBdr>
        <w:top w:val="none" w:sz="0" w:space="0" w:color="auto"/>
        <w:left w:val="none" w:sz="0" w:space="0" w:color="auto"/>
        <w:bottom w:val="none" w:sz="0" w:space="0" w:color="auto"/>
        <w:right w:val="none" w:sz="0" w:space="0" w:color="auto"/>
      </w:divBdr>
    </w:div>
    <w:div w:id="607659357">
      <w:bodyDiv w:val="1"/>
      <w:marLeft w:val="0"/>
      <w:marRight w:val="0"/>
      <w:marTop w:val="0"/>
      <w:marBottom w:val="0"/>
      <w:divBdr>
        <w:top w:val="none" w:sz="0" w:space="0" w:color="auto"/>
        <w:left w:val="none" w:sz="0" w:space="0" w:color="auto"/>
        <w:bottom w:val="none" w:sz="0" w:space="0" w:color="auto"/>
        <w:right w:val="none" w:sz="0" w:space="0" w:color="auto"/>
      </w:divBdr>
    </w:div>
    <w:div w:id="632758776">
      <w:bodyDiv w:val="1"/>
      <w:marLeft w:val="0"/>
      <w:marRight w:val="0"/>
      <w:marTop w:val="0"/>
      <w:marBottom w:val="0"/>
      <w:divBdr>
        <w:top w:val="none" w:sz="0" w:space="0" w:color="auto"/>
        <w:left w:val="none" w:sz="0" w:space="0" w:color="auto"/>
        <w:bottom w:val="none" w:sz="0" w:space="0" w:color="auto"/>
        <w:right w:val="none" w:sz="0" w:space="0" w:color="auto"/>
      </w:divBdr>
    </w:div>
    <w:div w:id="652754441">
      <w:bodyDiv w:val="1"/>
      <w:marLeft w:val="0"/>
      <w:marRight w:val="0"/>
      <w:marTop w:val="0"/>
      <w:marBottom w:val="0"/>
      <w:divBdr>
        <w:top w:val="none" w:sz="0" w:space="0" w:color="auto"/>
        <w:left w:val="none" w:sz="0" w:space="0" w:color="auto"/>
        <w:bottom w:val="none" w:sz="0" w:space="0" w:color="auto"/>
        <w:right w:val="none" w:sz="0" w:space="0" w:color="auto"/>
      </w:divBdr>
    </w:div>
    <w:div w:id="655840592">
      <w:bodyDiv w:val="1"/>
      <w:marLeft w:val="0"/>
      <w:marRight w:val="0"/>
      <w:marTop w:val="0"/>
      <w:marBottom w:val="0"/>
      <w:divBdr>
        <w:top w:val="none" w:sz="0" w:space="0" w:color="auto"/>
        <w:left w:val="none" w:sz="0" w:space="0" w:color="auto"/>
        <w:bottom w:val="none" w:sz="0" w:space="0" w:color="auto"/>
        <w:right w:val="none" w:sz="0" w:space="0" w:color="auto"/>
      </w:divBdr>
    </w:div>
    <w:div w:id="656495197">
      <w:bodyDiv w:val="1"/>
      <w:marLeft w:val="0"/>
      <w:marRight w:val="0"/>
      <w:marTop w:val="0"/>
      <w:marBottom w:val="0"/>
      <w:divBdr>
        <w:top w:val="none" w:sz="0" w:space="0" w:color="auto"/>
        <w:left w:val="none" w:sz="0" w:space="0" w:color="auto"/>
        <w:bottom w:val="none" w:sz="0" w:space="0" w:color="auto"/>
        <w:right w:val="none" w:sz="0" w:space="0" w:color="auto"/>
      </w:divBdr>
    </w:div>
    <w:div w:id="698506479">
      <w:bodyDiv w:val="1"/>
      <w:marLeft w:val="0"/>
      <w:marRight w:val="0"/>
      <w:marTop w:val="0"/>
      <w:marBottom w:val="0"/>
      <w:divBdr>
        <w:top w:val="none" w:sz="0" w:space="0" w:color="auto"/>
        <w:left w:val="none" w:sz="0" w:space="0" w:color="auto"/>
        <w:bottom w:val="none" w:sz="0" w:space="0" w:color="auto"/>
        <w:right w:val="none" w:sz="0" w:space="0" w:color="auto"/>
      </w:divBdr>
    </w:div>
    <w:div w:id="703288928">
      <w:bodyDiv w:val="1"/>
      <w:marLeft w:val="0"/>
      <w:marRight w:val="0"/>
      <w:marTop w:val="0"/>
      <w:marBottom w:val="0"/>
      <w:divBdr>
        <w:top w:val="none" w:sz="0" w:space="0" w:color="auto"/>
        <w:left w:val="none" w:sz="0" w:space="0" w:color="auto"/>
        <w:bottom w:val="none" w:sz="0" w:space="0" w:color="auto"/>
        <w:right w:val="none" w:sz="0" w:space="0" w:color="auto"/>
      </w:divBdr>
    </w:div>
    <w:div w:id="707141267">
      <w:bodyDiv w:val="1"/>
      <w:marLeft w:val="0"/>
      <w:marRight w:val="0"/>
      <w:marTop w:val="0"/>
      <w:marBottom w:val="0"/>
      <w:divBdr>
        <w:top w:val="none" w:sz="0" w:space="0" w:color="auto"/>
        <w:left w:val="none" w:sz="0" w:space="0" w:color="auto"/>
        <w:bottom w:val="none" w:sz="0" w:space="0" w:color="auto"/>
        <w:right w:val="none" w:sz="0" w:space="0" w:color="auto"/>
      </w:divBdr>
    </w:div>
    <w:div w:id="713507107">
      <w:bodyDiv w:val="1"/>
      <w:marLeft w:val="0"/>
      <w:marRight w:val="0"/>
      <w:marTop w:val="0"/>
      <w:marBottom w:val="0"/>
      <w:divBdr>
        <w:top w:val="none" w:sz="0" w:space="0" w:color="auto"/>
        <w:left w:val="none" w:sz="0" w:space="0" w:color="auto"/>
        <w:bottom w:val="none" w:sz="0" w:space="0" w:color="auto"/>
        <w:right w:val="none" w:sz="0" w:space="0" w:color="auto"/>
      </w:divBdr>
    </w:div>
    <w:div w:id="715743675">
      <w:bodyDiv w:val="1"/>
      <w:marLeft w:val="0"/>
      <w:marRight w:val="0"/>
      <w:marTop w:val="0"/>
      <w:marBottom w:val="0"/>
      <w:divBdr>
        <w:top w:val="none" w:sz="0" w:space="0" w:color="auto"/>
        <w:left w:val="none" w:sz="0" w:space="0" w:color="auto"/>
        <w:bottom w:val="none" w:sz="0" w:space="0" w:color="auto"/>
        <w:right w:val="none" w:sz="0" w:space="0" w:color="auto"/>
      </w:divBdr>
    </w:div>
    <w:div w:id="756832711">
      <w:bodyDiv w:val="1"/>
      <w:marLeft w:val="0"/>
      <w:marRight w:val="0"/>
      <w:marTop w:val="0"/>
      <w:marBottom w:val="0"/>
      <w:divBdr>
        <w:top w:val="none" w:sz="0" w:space="0" w:color="auto"/>
        <w:left w:val="none" w:sz="0" w:space="0" w:color="auto"/>
        <w:bottom w:val="none" w:sz="0" w:space="0" w:color="auto"/>
        <w:right w:val="none" w:sz="0" w:space="0" w:color="auto"/>
      </w:divBdr>
    </w:div>
    <w:div w:id="762724308">
      <w:bodyDiv w:val="1"/>
      <w:marLeft w:val="0"/>
      <w:marRight w:val="0"/>
      <w:marTop w:val="0"/>
      <w:marBottom w:val="0"/>
      <w:divBdr>
        <w:top w:val="none" w:sz="0" w:space="0" w:color="auto"/>
        <w:left w:val="none" w:sz="0" w:space="0" w:color="auto"/>
        <w:bottom w:val="none" w:sz="0" w:space="0" w:color="auto"/>
        <w:right w:val="none" w:sz="0" w:space="0" w:color="auto"/>
      </w:divBdr>
    </w:div>
    <w:div w:id="766196897">
      <w:bodyDiv w:val="1"/>
      <w:marLeft w:val="0"/>
      <w:marRight w:val="0"/>
      <w:marTop w:val="0"/>
      <w:marBottom w:val="0"/>
      <w:divBdr>
        <w:top w:val="none" w:sz="0" w:space="0" w:color="auto"/>
        <w:left w:val="none" w:sz="0" w:space="0" w:color="auto"/>
        <w:bottom w:val="none" w:sz="0" w:space="0" w:color="auto"/>
        <w:right w:val="none" w:sz="0" w:space="0" w:color="auto"/>
      </w:divBdr>
    </w:div>
    <w:div w:id="777139759">
      <w:bodyDiv w:val="1"/>
      <w:marLeft w:val="0"/>
      <w:marRight w:val="0"/>
      <w:marTop w:val="0"/>
      <w:marBottom w:val="0"/>
      <w:divBdr>
        <w:top w:val="none" w:sz="0" w:space="0" w:color="auto"/>
        <w:left w:val="none" w:sz="0" w:space="0" w:color="auto"/>
        <w:bottom w:val="none" w:sz="0" w:space="0" w:color="auto"/>
        <w:right w:val="none" w:sz="0" w:space="0" w:color="auto"/>
      </w:divBdr>
    </w:div>
    <w:div w:id="798183349">
      <w:bodyDiv w:val="1"/>
      <w:marLeft w:val="0"/>
      <w:marRight w:val="0"/>
      <w:marTop w:val="0"/>
      <w:marBottom w:val="0"/>
      <w:divBdr>
        <w:top w:val="none" w:sz="0" w:space="0" w:color="auto"/>
        <w:left w:val="none" w:sz="0" w:space="0" w:color="auto"/>
        <w:bottom w:val="none" w:sz="0" w:space="0" w:color="auto"/>
        <w:right w:val="none" w:sz="0" w:space="0" w:color="auto"/>
      </w:divBdr>
    </w:div>
    <w:div w:id="816338614">
      <w:bodyDiv w:val="1"/>
      <w:marLeft w:val="0"/>
      <w:marRight w:val="0"/>
      <w:marTop w:val="0"/>
      <w:marBottom w:val="0"/>
      <w:divBdr>
        <w:top w:val="none" w:sz="0" w:space="0" w:color="auto"/>
        <w:left w:val="none" w:sz="0" w:space="0" w:color="auto"/>
        <w:bottom w:val="none" w:sz="0" w:space="0" w:color="auto"/>
        <w:right w:val="none" w:sz="0" w:space="0" w:color="auto"/>
      </w:divBdr>
    </w:div>
    <w:div w:id="817574170">
      <w:bodyDiv w:val="1"/>
      <w:marLeft w:val="0"/>
      <w:marRight w:val="0"/>
      <w:marTop w:val="0"/>
      <w:marBottom w:val="0"/>
      <w:divBdr>
        <w:top w:val="none" w:sz="0" w:space="0" w:color="auto"/>
        <w:left w:val="none" w:sz="0" w:space="0" w:color="auto"/>
        <w:bottom w:val="none" w:sz="0" w:space="0" w:color="auto"/>
        <w:right w:val="none" w:sz="0" w:space="0" w:color="auto"/>
      </w:divBdr>
    </w:div>
    <w:div w:id="834220604">
      <w:bodyDiv w:val="1"/>
      <w:marLeft w:val="0"/>
      <w:marRight w:val="0"/>
      <w:marTop w:val="0"/>
      <w:marBottom w:val="0"/>
      <w:divBdr>
        <w:top w:val="none" w:sz="0" w:space="0" w:color="auto"/>
        <w:left w:val="none" w:sz="0" w:space="0" w:color="auto"/>
        <w:bottom w:val="none" w:sz="0" w:space="0" w:color="auto"/>
        <w:right w:val="none" w:sz="0" w:space="0" w:color="auto"/>
      </w:divBdr>
    </w:div>
    <w:div w:id="837118076">
      <w:bodyDiv w:val="1"/>
      <w:marLeft w:val="0"/>
      <w:marRight w:val="0"/>
      <w:marTop w:val="0"/>
      <w:marBottom w:val="0"/>
      <w:divBdr>
        <w:top w:val="none" w:sz="0" w:space="0" w:color="auto"/>
        <w:left w:val="none" w:sz="0" w:space="0" w:color="auto"/>
        <w:bottom w:val="none" w:sz="0" w:space="0" w:color="auto"/>
        <w:right w:val="none" w:sz="0" w:space="0" w:color="auto"/>
      </w:divBdr>
    </w:div>
    <w:div w:id="838084680">
      <w:bodyDiv w:val="1"/>
      <w:marLeft w:val="0"/>
      <w:marRight w:val="0"/>
      <w:marTop w:val="0"/>
      <w:marBottom w:val="0"/>
      <w:divBdr>
        <w:top w:val="none" w:sz="0" w:space="0" w:color="auto"/>
        <w:left w:val="none" w:sz="0" w:space="0" w:color="auto"/>
        <w:bottom w:val="none" w:sz="0" w:space="0" w:color="auto"/>
        <w:right w:val="none" w:sz="0" w:space="0" w:color="auto"/>
      </w:divBdr>
    </w:div>
    <w:div w:id="844130230">
      <w:bodyDiv w:val="1"/>
      <w:marLeft w:val="0"/>
      <w:marRight w:val="0"/>
      <w:marTop w:val="0"/>
      <w:marBottom w:val="0"/>
      <w:divBdr>
        <w:top w:val="none" w:sz="0" w:space="0" w:color="auto"/>
        <w:left w:val="none" w:sz="0" w:space="0" w:color="auto"/>
        <w:bottom w:val="none" w:sz="0" w:space="0" w:color="auto"/>
        <w:right w:val="none" w:sz="0" w:space="0" w:color="auto"/>
      </w:divBdr>
    </w:div>
    <w:div w:id="860557560">
      <w:bodyDiv w:val="1"/>
      <w:marLeft w:val="0"/>
      <w:marRight w:val="0"/>
      <w:marTop w:val="0"/>
      <w:marBottom w:val="0"/>
      <w:divBdr>
        <w:top w:val="none" w:sz="0" w:space="0" w:color="auto"/>
        <w:left w:val="none" w:sz="0" w:space="0" w:color="auto"/>
        <w:bottom w:val="none" w:sz="0" w:space="0" w:color="auto"/>
        <w:right w:val="none" w:sz="0" w:space="0" w:color="auto"/>
      </w:divBdr>
    </w:div>
    <w:div w:id="860976985">
      <w:bodyDiv w:val="1"/>
      <w:marLeft w:val="0"/>
      <w:marRight w:val="0"/>
      <w:marTop w:val="0"/>
      <w:marBottom w:val="0"/>
      <w:divBdr>
        <w:top w:val="none" w:sz="0" w:space="0" w:color="auto"/>
        <w:left w:val="none" w:sz="0" w:space="0" w:color="auto"/>
        <w:bottom w:val="none" w:sz="0" w:space="0" w:color="auto"/>
        <w:right w:val="none" w:sz="0" w:space="0" w:color="auto"/>
      </w:divBdr>
    </w:div>
    <w:div w:id="869537542">
      <w:bodyDiv w:val="1"/>
      <w:marLeft w:val="0"/>
      <w:marRight w:val="0"/>
      <w:marTop w:val="0"/>
      <w:marBottom w:val="0"/>
      <w:divBdr>
        <w:top w:val="none" w:sz="0" w:space="0" w:color="auto"/>
        <w:left w:val="none" w:sz="0" w:space="0" w:color="auto"/>
        <w:bottom w:val="none" w:sz="0" w:space="0" w:color="auto"/>
        <w:right w:val="none" w:sz="0" w:space="0" w:color="auto"/>
      </w:divBdr>
    </w:div>
    <w:div w:id="888029251">
      <w:bodyDiv w:val="1"/>
      <w:marLeft w:val="0"/>
      <w:marRight w:val="0"/>
      <w:marTop w:val="0"/>
      <w:marBottom w:val="0"/>
      <w:divBdr>
        <w:top w:val="none" w:sz="0" w:space="0" w:color="auto"/>
        <w:left w:val="none" w:sz="0" w:space="0" w:color="auto"/>
        <w:bottom w:val="none" w:sz="0" w:space="0" w:color="auto"/>
        <w:right w:val="none" w:sz="0" w:space="0" w:color="auto"/>
      </w:divBdr>
    </w:div>
    <w:div w:id="891696734">
      <w:bodyDiv w:val="1"/>
      <w:marLeft w:val="0"/>
      <w:marRight w:val="0"/>
      <w:marTop w:val="0"/>
      <w:marBottom w:val="0"/>
      <w:divBdr>
        <w:top w:val="none" w:sz="0" w:space="0" w:color="auto"/>
        <w:left w:val="none" w:sz="0" w:space="0" w:color="auto"/>
        <w:bottom w:val="none" w:sz="0" w:space="0" w:color="auto"/>
        <w:right w:val="none" w:sz="0" w:space="0" w:color="auto"/>
      </w:divBdr>
    </w:div>
    <w:div w:id="891700080">
      <w:bodyDiv w:val="1"/>
      <w:marLeft w:val="0"/>
      <w:marRight w:val="0"/>
      <w:marTop w:val="0"/>
      <w:marBottom w:val="0"/>
      <w:divBdr>
        <w:top w:val="none" w:sz="0" w:space="0" w:color="auto"/>
        <w:left w:val="none" w:sz="0" w:space="0" w:color="auto"/>
        <w:bottom w:val="none" w:sz="0" w:space="0" w:color="auto"/>
        <w:right w:val="none" w:sz="0" w:space="0" w:color="auto"/>
      </w:divBdr>
    </w:div>
    <w:div w:id="900823909">
      <w:bodyDiv w:val="1"/>
      <w:marLeft w:val="0"/>
      <w:marRight w:val="0"/>
      <w:marTop w:val="0"/>
      <w:marBottom w:val="0"/>
      <w:divBdr>
        <w:top w:val="none" w:sz="0" w:space="0" w:color="auto"/>
        <w:left w:val="none" w:sz="0" w:space="0" w:color="auto"/>
        <w:bottom w:val="none" w:sz="0" w:space="0" w:color="auto"/>
        <w:right w:val="none" w:sz="0" w:space="0" w:color="auto"/>
      </w:divBdr>
    </w:div>
    <w:div w:id="913709975">
      <w:bodyDiv w:val="1"/>
      <w:marLeft w:val="0"/>
      <w:marRight w:val="0"/>
      <w:marTop w:val="0"/>
      <w:marBottom w:val="0"/>
      <w:divBdr>
        <w:top w:val="none" w:sz="0" w:space="0" w:color="auto"/>
        <w:left w:val="none" w:sz="0" w:space="0" w:color="auto"/>
        <w:bottom w:val="none" w:sz="0" w:space="0" w:color="auto"/>
        <w:right w:val="none" w:sz="0" w:space="0" w:color="auto"/>
      </w:divBdr>
    </w:div>
    <w:div w:id="934634924">
      <w:bodyDiv w:val="1"/>
      <w:marLeft w:val="0"/>
      <w:marRight w:val="0"/>
      <w:marTop w:val="0"/>
      <w:marBottom w:val="0"/>
      <w:divBdr>
        <w:top w:val="none" w:sz="0" w:space="0" w:color="auto"/>
        <w:left w:val="none" w:sz="0" w:space="0" w:color="auto"/>
        <w:bottom w:val="none" w:sz="0" w:space="0" w:color="auto"/>
        <w:right w:val="none" w:sz="0" w:space="0" w:color="auto"/>
      </w:divBdr>
    </w:div>
    <w:div w:id="964386137">
      <w:bodyDiv w:val="1"/>
      <w:marLeft w:val="0"/>
      <w:marRight w:val="0"/>
      <w:marTop w:val="0"/>
      <w:marBottom w:val="0"/>
      <w:divBdr>
        <w:top w:val="none" w:sz="0" w:space="0" w:color="auto"/>
        <w:left w:val="none" w:sz="0" w:space="0" w:color="auto"/>
        <w:bottom w:val="none" w:sz="0" w:space="0" w:color="auto"/>
        <w:right w:val="none" w:sz="0" w:space="0" w:color="auto"/>
      </w:divBdr>
    </w:div>
    <w:div w:id="969870148">
      <w:bodyDiv w:val="1"/>
      <w:marLeft w:val="0"/>
      <w:marRight w:val="0"/>
      <w:marTop w:val="0"/>
      <w:marBottom w:val="0"/>
      <w:divBdr>
        <w:top w:val="none" w:sz="0" w:space="0" w:color="auto"/>
        <w:left w:val="none" w:sz="0" w:space="0" w:color="auto"/>
        <w:bottom w:val="none" w:sz="0" w:space="0" w:color="auto"/>
        <w:right w:val="none" w:sz="0" w:space="0" w:color="auto"/>
      </w:divBdr>
    </w:div>
    <w:div w:id="998920135">
      <w:bodyDiv w:val="1"/>
      <w:marLeft w:val="0"/>
      <w:marRight w:val="0"/>
      <w:marTop w:val="0"/>
      <w:marBottom w:val="0"/>
      <w:divBdr>
        <w:top w:val="none" w:sz="0" w:space="0" w:color="auto"/>
        <w:left w:val="none" w:sz="0" w:space="0" w:color="auto"/>
        <w:bottom w:val="none" w:sz="0" w:space="0" w:color="auto"/>
        <w:right w:val="none" w:sz="0" w:space="0" w:color="auto"/>
      </w:divBdr>
    </w:div>
    <w:div w:id="1002703924">
      <w:bodyDiv w:val="1"/>
      <w:marLeft w:val="0"/>
      <w:marRight w:val="0"/>
      <w:marTop w:val="0"/>
      <w:marBottom w:val="0"/>
      <w:divBdr>
        <w:top w:val="none" w:sz="0" w:space="0" w:color="auto"/>
        <w:left w:val="none" w:sz="0" w:space="0" w:color="auto"/>
        <w:bottom w:val="none" w:sz="0" w:space="0" w:color="auto"/>
        <w:right w:val="none" w:sz="0" w:space="0" w:color="auto"/>
      </w:divBdr>
    </w:div>
    <w:div w:id="1008556983">
      <w:bodyDiv w:val="1"/>
      <w:marLeft w:val="0"/>
      <w:marRight w:val="0"/>
      <w:marTop w:val="0"/>
      <w:marBottom w:val="0"/>
      <w:divBdr>
        <w:top w:val="none" w:sz="0" w:space="0" w:color="auto"/>
        <w:left w:val="none" w:sz="0" w:space="0" w:color="auto"/>
        <w:bottom w:val="none" w:sz="0" w:space="0" w:color="auto"/>
        <w:right w:val="none" w:sz="0" w:space="0" w:color="auto"/>
      </w:divBdr>
    </w:div>
    <w:div w:id="1026247307">
      <w:bodyDiv w:val="1"/>
      <w:marLeft w:val="0"/>
      <w:marRight w:val="0"/>
      <w:marTop w:val="0"/>
      <w:marBottom w:val="0"/>
      <w:divBdr>
        <w:top w:val="none" w:sz="0" w:space="0" w:color="auto"/>
        <w:left w:val="none" w:sz="0" w:space="0" w:color="auto"/>
        <w:bottom w:val="none" w:sz="0" w:space="0" w:color="auto"/>
        <w:right w:val="none" w:sz="0" w:space="0" w:color="auto"/>
      </w:divBdr>
    </w:div>
    <w:div w:id="1031809340">
      <w:bodyDiv w:val="1"/>
      <w:marLeft w:val="0"/>
      <w:marRight w:val="0"/>
      <w:marTop w:val="0"/>
      <w:marBottom w:val="0"/>
      <w:divBdr>
        <w:top w:val="none" w:sz="0" w:space="0" w:color="auto"/>
        <w:left w:val="none" w:sz="0" w:space="0" w:color="auto"/>
        <w:bottom w:val="none" w:sz="0" w:space="0" w:color="auto"/>
        <w:right w:val="none" w:sz="0" w:space="0" w:color="auto"/>
      </w:divBdr>
    </w:div>
    <w:div w:id="1043751804">
      <w:bodyDiv w:val="1"/>
      <w:marLeft w:val="0"/>
      <w:marRight w:val="0"/>
      <w:marTop w:val="0"/>
      <w:marBottom w:val="0"/>
      <w:divBdr>
        <w:top w:val="none" w:sz="0" w:space="0" w:color="auto"/>
        <w:left w:val="none" w:sz="0" w:space="0" w:color="auto"/>
        <w:bottom w:val="none" w:sz="0" w:space="0" w:color="auto"/>
        <w:right w:val="none" w:sz="0" w:space="0" w:color="auto"/>
      </w:divBdr>
    </w:div>
    <w:div w:id="1058236992">
      <w:bodyDiv w:val="1"/>
      <w:marLeft w:val="0"/>
      <w:marRight w:val="0"/>
      <w:marTop w:val="0"/>
      <w:marBottom w:val="0"/>
      <w:divBdr>
        <w:top w:val="none" w:sz="0" w:space="0" w:color="auto"/>
        <w:left w:val="none" w:sz="0" w:space="0" w:color="auto"/>
        <w:bottom w:val="none" w:sz="0" w:space="0" w:color="auto"/>
        <w:right w:val="none" w:sz="0" w:space="0" w:color="auto"/>
      </w:divBdr>
    </w:div>
    <w:div w:id="1082021915">
      <w:bodyDiv w:val="1"/>
      <w:marLeft w:val="0"/>
      <w:marRight w:val="0"/>
      <w:marTop w:val="0"/>
      <w:marBottom w:val="0"/>
      <w:divBdr>
        <w:top w:val="none" w:sz="0" w:space="0" w:color="auto"/>
        <w:left w:val="none" w:sz="0" w:space="0" w:color="auto"/>
        <w:bottom w:val="none" w:sz="0" w:space="0" w:color="auto"/>
        <w:right w:val="none" w:sz="0" w:space="0" w:color="auto"/>
      </w:divBdr>
    </w:div>
    <w:div w:id="1086997676">
      <w:bodyDiv w:val="1"/>
      <w:marLeft w:val="0"/>
      <w:marRight w:val="0"/>
      <w:marTop w:val="0"/>
      <w:marBottom w:val="0"/>
      <w:divBdr>
        <w:top w:val="none" w:sz="0" w:space="0" w:color="auto"/>
        <w:left w:val="none" w:sz="0" w:space="0" w:color="auto"/>
        <w:bottom w:val="none" w:sz="0" w:space="0" w:color="auto"/>
        <w:right w:val="none" w:sz="0" w:space="0" w:color="auto"/>
      </w:divBdr>
    </w:div>
    <w:div w:id="1093353738">
      <w:bodyDiv w:val="1"/>
      <w:marLeft w:val="0"/>
      <w:marRight w:val="0"/>
      <w:marTop w:val="0"/>
      <w:marBottom w:val="0"/>
      <w:divBdr>
        <w:top w:val="none" w:sz="0" w:space="0" w:color="auto"/>
        <w:left w:val="none" w:sz="0" w:space="0" w:color="auto"/>
        <w:bottom w:val="none" w:sz="0" w:space="0" w:color="auto"/>
        <w:right w:val="none" w:sz="0" w:space="0" w:color="auto"/>
      </w:divBdr>
    </w:div>
    <w:div w:id="1097940108">
      <w:bodyDiv w:val="1"/>
      <w:marLeft w:val="0"/>
      <w:marRight w:val="0"/>
      <w:marTop w:val="0"/>
      <w:marBottom w:val="0"/>
      <w:divBdr>
        <w:top w:val="none" w:sz="0" w:space="0" w:color="auto"/>
        <w:left w:val="none" w:sz="0" w:space="0" w:color="auto"/>
        <w:bottom w:val="none" w:sz="0" w:space="0" w:color="auto"/>
        <w:right w:val="none" w:sz="0" w:space="0" w:color="auto"/>
      </w:divBdr>
    </w:div>
    <w:div w:id="1104349867">
      <w:bodyDiv w:val="1"/>
      <w:marLeft w:val="0"/>
      <w:marRight w:val="0"/>
      <w:marTop w:val="0"/>
      <w:marBottom w:val="0"/>
      <w:divBdr>
        <w:top w:val="none" w:sz="0" w:space="0" w:color="auto"/>
        <w:left w:val="none" w:sz="0" w:space="0" w:color="auto"/>
        <w:bottom w:val="none" w:sz="0" w:space="0" w:color="auto"/>
        <w:right w:val="none" w:sz="0" w:space="0" w:color="auto"/>
      </w:divBdr>
      <w:divsChild>
        <w:div w:id="15350982">
          <w:marLeft w:val="792"/>
          <w:marRight w:val="0"/>
          <w:marTop w:val="0"/>
          <w:marBottom w:val="0"/>
          <w:divBdr>
            <w:top w:val="none" w:sz="0" w:space="0" w:color="auto"/>
            <w:left w:val="none" w:sz="0" w:space="0" w:color="auto"/>
            <w:bottom w:val="none" w:sz="0" w:space="0" w:color="auto"/>
            <w:right w:val="none" w:sz="0" w:space="0" w:color="auto"/>
          </w:divBdr>
        </w:div>
        <w:div w:id="33778262">
          <w:marLeft w:val="1138"/>
          <w:marRight w:val="0"/>
          <w:marTop w:val="67"/>
          <w:marBottom w:val="0"/>
          <w:divBdr>
            <w:top w:val="none" w:sz="0" w:space="0" w:color="auto"/>
            <w:left w:val="none" w:sz="0" w:space="0" w:color="auto"/>
            <w:bottom w:val="none" w:sz="0" w:space="0" w:color="auto"/>
            <w:right w:val="none" w:sz="0" w:space="0" w:color="auto"/>
          </w:divBdr>
        </w:div>
        <w:div w:id="35548238">
          <w:marLeft w:val="1123"/>
          <w:marRight w:val="0"/>
          <w:marTop w:val="0"/>
          <w:marBottom w:val="0"/>
          <w:divBdr>
            <w:top w:val="none" w:sz="0" w:space="0" w:color="auto"/>
            <w:left w:val="none" w:sz="0" w:space="0" w:color="auto"/>
            <w:bottom w:val="none" w:sz="0" w:space="0" w:color="auto"/>
            <w:right w:val="none" w:sz="0" w:space="0" w:color="auto"/>
          </w:divBdr>
        </w:div>
        <w:div w:id="110905123">
          <w:marLeft w:val="792"/>
          <w:marRight w:val="0"/>
          <w:marTop w:val="0"/>
          <w:marBottom w:val="0"/>
          <w:divBdr>
            <w:top w:val="none" w:sz="0" w:space="0" w:color="auto"/>
            <w:left w:val="none" w:sz="0" w:space="0" w:color="auto"/>
            <w:bottom w:val="none" w:sz="0" w:space="0" w:color="auto"/>
            <w:right w:val="none" w:sz="0" w:space="0" w:color="auto"/>
          </w:divBdr>
        </w:div>
        <w:div w:id="520363087">
          <w:marLeft w:val="1123"/>
          <w:marRight w:val="0"/>
          <w:marTop w:val="0"/>
          <w:marBottom w:val="0"/>
          <w:divBdr>
            <w:top w:val="none" w:sz="0" w:space="0" w:color="auto"/>
            <w:left w:val="none" w:sz="0" w:space="0" w:color="auto"/>
            <w:bottom w:val="none" w:sz="0" w:space="0" w:color="auto"/>
            <w:right w:val="none" w:sz="0" w:space="0" w:color="auto"/>
          </w:divBdr>
        </w:div>
        <w:div w:id="775827399">
          <w:marLeft w:val="1138"/>
          <w:marRight w:val="0"/>
          <w:marTop w:val="67"/>
          <w:marBottom w:val="0"/>
          <w:divBdr>
            <w:top w:val="none" w:sz="0" w:space="0" w:color="auto"/>
            <w:left w:val="none" w:sz="0" w:space="0" w:color="auto"/>
            <w:bottom w:val="none" w:sz="0" w:space="0" w:color="auto"/>
            <w:right w:val="none" w:sz="0" w:space="0" w:color="auto"/>
          </w:divBdr>
        </w:div>
        <w:div w:id="1026711567">
          <w:marLeft w:val="1138"/>
          <w:marRight w:val="0"/>
          <w:marTop w:val="67"/>
          <w:marBottom w:val="0"/>
          <w:divBdr>
            <w:top w:val="none" w:sz="0" w:space="0" w:color="auto"/>
            <w:left w:val="none" w:sz="0" w:space="0" w:color="auto"/>
            <w:bottom w:val="none" w:sz="0" w:space="0" w:color="auto"/>
            <w:right w:val="none" w:sz="0" w:space="0" w:color="auto"/>
          </w:divBdr>
        </w:div>
        <w:div w:id="1310282799">
          <w:marLeft w:val="1123"/>
          <w:marRight w:val="0"/>
          <w:marTop w:val="0"/>
          <w:marBottom w:val="0"/>
          <w:divBdr>
            <w:top w:val="none" w:sz="0" w:space="0" w:color="auto"/>
            <w:left w:val="none" w:sz="0" w:space="0" w:color="auto"/>
            <w:bottom w:val="none" w:sz="0" w:space="0" w:color="auto"/>
            <w:right w:val="none" w:sz="0" w:space="0" w:color="auto"/>
          </w:divBdr>
        </w:div>
        <w:div w:id="1543443843">
          <w:marLeft w:val="1138"/>
          <w:marRight w:val="0"/>
          <w:marTop w:val="67"/>
          <w:marBottom w:val="0"/>
          <w:divBdr>
            <w:top w:val="none" w:sz="0" w:space="0" w:color="auto"/>
            <w:left w:val="none" w:sz="0" w:space="0" w:color="auto"/>
            <w:bottom w:val="none" w:sz="0" w:space="0" w:color="auto"/>
            <w:right w:val="none" w:sz="0" w:space="0" w:color="auto"/>
          </w:divBdr>
        </w:div>
      </w:divsChild>
    </w:div>
    <w:div w:id="1107893503">
      <w:bodyDiv w:val="1"/>
      <w:marLeft w:val="0"/>
      <w:marRight w:val="0"/>
      <w:marTop w:val="0"/>
      <w:marBottom w:val="0"/>
      <w:divBdr>
        <w:top w:val="none" w:sz="0" w:space="0" w:color="auto"/>
        <w:left w:val="none" w:sz="0" w:space="0" w:color="auto"/>
        <w:bottom w:val="none" w:sz="0" w:space="0" w:color="auto"/>
        <w:right w:val="none" w:sz="0" w:space="0" w:color="auto"/>
      </w:divBdr>
    </w:div>
    <w:div w:id="1108157530">
      <w:bodyDiv w:val="1"/>
      <w:marLeft w:val="0"/>
      <w:marRight w:val="0"/>
      <w:marTop w:val="0"/>
      <w:marBottom w:val="0"/>
      <w:divBdr>
        <w:top w:val="none" w:sz="0" w:space="0" w:color="auto"/>
        <w:left w:val="none" w:sz="0" w:space="0" w:color="auto"/>
        <w:bottom w:val="none" w:sz="0" w:space="0" w:color="auto"/>
        <w:right w:val="none" w:sz="0" w:space="0" w:color="auto"/>
      </w:divBdr>
    </w:div>
    <w:div w:id="1113327508">
      <w:bodyDiv w:val="1"/>
      <w:marLeft w:val="0"/>
      <w:marRight w:val="0"/>
      <w:marTop w:val="0"/>
      <w:marBottom w:val="0"/>
      <w:divBdr>
        <w:top w:val="none" w:sz="0" w:space="0" w:color="auto"/>
        <w:left w:val="none" w:sz="0" w:space="0" w:color="auto"/>
        <w:bottom w:val="none" w:sz="0" w:space="0" w:color="auto"/>
        <w:right w:val="none" w:sz="0" w:space="0" w:color="auto"/>
      </w:divBdr>
    </w:div>
    <w:div w:id="1116100827">
      <w:bodyDiv w:val="1"/>
      <w:marLeft w:val="0"/>
      <w:marRight w:val="0"/>
      <w:marTop w:val="0"/>
      <w:marBottom w:val="0"/>
      <w:divBdr>
        <w:top w:val="none" w:sz="0" w:space="0" w:color="auto"/>
        <w:left w:val="none" w:sz="0" w:space="0" w:color="auto"/>
        <w:bottom w:val="none" w:sz="0" w:space="0" w:color="auto"/>
        <w:right w:val="none" w:sz="0" w:space="0" w:color="auto"/>
      </w:divBdr>
    </w:div>
    <w:div w:id="1118142280">
      <w:bodyDiv w:val="1"/>
      <w:marLeft w:val="0"/>
      <w:marRight w:val="0"/>
      <w:marTop w:val="0"/>
      <w:marBottom w:val="0"/>
      <w:divBdr>
        <w:top w:val="none" w:sz="0" w:space="0" w:color="auto"/>
        <w:left w:val="none" w:sz="0" w:space="0" w:color="auto"/>
        <w:bottom w:val="none" w:sz="0" w:space="0" w:color="auto"/>
        <w:right w:val="none" w:sz="0" w:space="0" w:color="auto"/>
      </w:divBdr>
    </w:div>
    <w:div w:id="1122380274">
      <w:bodyDiv w:val="1"/>
      <w:marLeft w:val="0"/>
      <w:marRight w:val="0"/>
      <w:marTop w:val="0"/>
      <w:marBottom w:val="0"/>
      <w:divBdr>
        <w:top w:val="none" w:sz="0" w:space="0" w:color="auto"/>
        <w:left w:val="none" w:sz="0" w:space="0" w:color="auto"/>
        <w:bottom w:val="none" w:sz="0" w:space="0" w:color="auto"/>
        <w:right w:val="none" w:sz="0" w:space="0" w:color="auto"/>
      </w:divBdr>
    </w:div>
    <w:div w:id="1133987766">
      <w:bodyDiv w:val="1"/>
      <w:marLeft w:val="0"/>
      <w:marRight w:val="0"/>
      <w:marTop w:val="0"/>
      <w:marBottom w:val="0"/>
      <w:divBdr>
        <w:top w:val="none" w:sz="0" w:space="0" w:color="auto"/>
        <w:left w:val="none" w:sz="0" w:space="0" w:color="auto"/>
        <w:bottom w:val="none" w:sz="0" w:space="0" w:color="auto"/>
        <w:right w:val="none" w:sz="0" w:space="0" w:color="auto"/>
      </w:divBdr>
    </w:div>
    <w:div w:id="1138494525">
      <w:bodyDiv w:val="1"/>
      <w:marLeft w:val="0"/>
      <w:marRight w:val="0"/>
      <w:marTop w:val="0"/>
      <w:marBottom w:val="0"/>
      <w:divBdr>
        <w:top w:val="none" w:sz="0" w:space="0" w:color="auto"/>
        <w:left w:val="none" w:sz="0" w:space="0" w:color="auto"/>
        <w:bottom w:val="none" w:sz="0" w:space="0" w:color="auto"/>
        <w:right w:val="none" w:sz="0" w:space="0" w:color="auto"/>
      </w:divBdr>
    </w:div>
    <w:div w:id="1146359124">
      <w:bodyDiv w:val="1"/>
      <w:marLeft w:val="0"/>
      <w:marRight w:val="0"/>
      <w:marTop w:val="0"/>
      <w:marBottom w:val="0"/>
      <w:divBdr>
        <w:top w:val="none" w:sz="0" w:space="0" w:color="auto"/>
        <w:left w:val="none" w:sz="0" w:space="0" w:color="auto"/>
        <w:bottom w:val="none" w:sz="0" w:space="0" w:color="auto"/>
        <w:right w:val="none" w:sz="0" w:space="0" w:color="auto"/>
      </w:divBdr>
    </w:div>
    <w:div w:id="1151409942">
      <w:bodyDiv w:val="1"/>
      <w:marLeft w:val="0"/>
      <w:marRight w:val="0"/>
      <w:marTop w:val="0"/>
      <w:marBottom w:val="0"/>
      <w:divBdr>
        <w:top w:val="none" w:sz="0" w:space="0" w:color="auto"/>
        <w:left w:val="none" w:sz="0" w:space="0" w:color="auto"/>
        <w:bottom w:val="none" w:sz="0" w:space="0" w:color="auto"/>
        <w:right w:val="none" w:sz="0" w:space="0" w:color="auto"/>
      </w:divBdr>
    </w:div>
    <w:div w:id="1155758157">
      <w:bodyDiv w:val="1"/>
      <w:marLeft w:val="0"/>
      <w:marRight w:val="0"/>
      <w:marTop w:val="0"/>
      <w:marBottom w:val="0"/>
      <w:divBdr>
        <w:top w:val="none" w:sz="0" w:space="0" w:color="auto"/>
        <w:left w:val="none" w:sz="0" w:space="0" w:color="auto"/>
        <w:bottom w:val="none" w:sz="0" w:space="0" w:color="auto"/>
        <w:right w:val="none" w:sz="0" w:space="0" w:color="auto"/>
      </w:divBdr>
    </w:div>
    <w:div w:id="1160082047">
      <w:bodyDiv w:val="1"/>
      <w:marLeft w:val="0"/>
      <w:marRight w:val="0"/>
      <w:marTop w:val="0"/>
      <w:marBottom w:val="0"/>
      <w:divBdr>
        <w:top w:val="none" w:sz="0" w:space="0" w:color="auto"/>
        <w:left w:val="none" w:sz="0" w:space="0" w:color="auto"/>
        <w:bottom w:val="none" w:sz="0" w:space="0" w:color="auto"/>
        <w:right w:val="none" w:sz="0" w:space="0" w:color="auto"/>
      </w:divBdr>
    </w:div>
    <w:div w:id="1161853386">
      <w:bodyDiv w:val="1"/>
      <w:marLeft w:val="0"/>
      <w:marRight w:val="0"/>
      <w:marTop w:val="0"/>
      <w:marBottom w:val="0"/>
      <w:divBdr>
        <w:top w:val="none" w:sz="0" w:space="0" w:color="auto"/>
        <w:left w:val="none" w:sz="0" w:space="0" w:color="auto"/>
        <w:bottom w:val="none" w:sz="0" w:space="0" w:color="auto"/>
        <w:right w:val="none" w:sz="0" w:space="0" w:color="auto"/>
      </w:divBdr>
    </w:div>
    <w:div w:id="1165822276">
      <w:bodyDiv w:val="1"/>
      <w:marLeft w:val="0"/>
      <w:marRight w:val="0"/>
      <w:marTop w:val="0"/>
      <w:marBottom w:val="0"/>
      <w:divBdr>
        <w:top w:val="none" w:sz="0" w:space="0" w:color="auto"/>
        <w:left w:val="none" w:sz="0" w:space="0" w:color="auto"/>
        <w:bottom w:val="none" w:sz="0" w:space="0" w:color="auto"/>
        <w:right w:val="none" w:sz="0" w:space="0" w:color="auto"/>
      </w:divBdr>
    </w:div>
    <w:div w:id="1173567509">
      <w:bodyDiv w:val="1"/>
      <w:marLeft w:val="0"/>
      <w:marRight w:val="0"/>
      <w:marTop w:val="0"/>
      <w:marBottom w:val="0"/>
      <w:divBdr>
        <w:top w:val="none" w:sz="0" w:space="0" w:color="auto"/>
        <w:left w:val="none" w:sz="0" w:space="0" w:color="auto"/>
        <w:bottom w:val="none" w:sz="0" w:space="0" w:color="auto"/>
        <w:right w:val="none" w:sz="0" w:space="0" w:color="auto"/>
      </w:divBdr>
    </w:div>
    <w:div w:id="1177621033">
      <w:bodyDiv w:val="1"/>
      <w:marLeft w:val="0"/>
      <w:marRight w:val="0"/>
      <w:marTop w:val="0"/>
      <w:marBottom w:val="0"/>
      <w:divBdr>
        <w:top w:val="none" w:sz="0" w:space="0" w:color="auto"/>
        <w:left w:val="none" w:sz="0" w:space="0" w:color="auto"/>
        <w:bottom w:val="none" w:sz="0" w:space="0" w:color="auto"/>
        <w:right w:val="none" w:sz="0" w:space="0" w:color="auto"/>
      </w:divBdr>
    </w:div>
    <w:div w:id="1216821058">
      <w:bodyDiv w:val="1"/>
      <w:marLeft w:val="0"/>
      <w:marRight w:val="0"/>
      <w:marTop w:val="0"/>
      <w:marBottom w:val="0"/>
      <w:divBdr>
        <w:top w:val="none" w:sz="0" w:space="0" w:color="auto"/>
        <w:left w:val="none" w:sz="0" w:space="0" w:color="auto"/>
        <w:bottom w:val="none" w:sz="0" w:space="0" w:color="auto"/>
        <w:right w:val="none" w:sz="0" w:space="0" w:color="auto"/>
      </w:divBdr>
    </w:div>
    <w:div w:id="1217930427">
      <w:bodyDiv w:val="1"/>
      <w:marLeft w:val="0"/>
      <w:marRight w:val="0"/>
      <w:marTop w:val="0"/>
      <w:marBottom w:val="0"/>
      <w:divBdr>
        <w:top w:val="none" w:sz="0" w:space="0" w:color="auto"/>
        <w:left w:val="none" w:sz="0" w:space="0" w:color="auto"/>
        <w:bottom w:val="none" w:sz="0" w:space="0" w:color="auto"/>
        <w:right w:val="none" w:sz="0" w:space="0" w:color="auto"/>
      </w:divBdr>
    </w:div>
    <w:div w:id="1218473312">
      <w:bodyDiv w:val="1"/>
      <w:marLeft w:val="0"/>
      <w:marRight w:val="0"/>
      <w:marTop w:val="0"/>
      <w:marBottom w:val="0"/>
      <w:divBdr>
        <w:top w:val="none" w:sz="0" w:space="0" w:color="auto"/>
        <w:left w:val="none" w:sz="0" w:space="0" w:color="auto"/>
        <w:bottom w:val="none" w:sz="0" w:space="0" w:color="auto"/>
        <w:right w:val="none" w:sz="0" w:space="0" w:color="auto"/>
      </w:divBdr>
    </w:div>
    <w:div w:id="1233808264">
      <w:bodyDiv w:val="1"/>
      <w:marLeft w:val="0"/>
      <w:marRight w:val="0"/>
      <w:marTop w:val="0"/>
      <w:marBottom w:val="0"/>
      <w:divBdr>
        <w:top w:val="none" w:sz="0" w:space="0" w:color="auto"/>
        <w:left w:val="none" w:sz="0" w:space="0" w:color="auto"/>
        <w:bottom w:val="none" w:sz="0" w:space="0" w:color="auto"/>
        <w:right w:val="none" w:sz="0" w:space="0" w:color="auto"/>
      </w:divBdr>
    </w:div>
    <w:div w:id="1267807398">
      <w:bodyDiv w:val="1"/>
      <w:marLeft w:val="0"/>
      <w:marRight w:val="0"/>
      <w:marTop w:val="0"/>
      <w:marBottom w:val="0"/>
      <w:divBdr>
        <w:top w:val="none" w:sz="0" w:space="0" w:color="auto"/>
        <w:left w:val="none" w:sz="0" w:space="0" w:color="auto"/>
        <w:bottom w:val="none" w:sz="0" w:space="0" w:color="auto"/>
        <w:right w:val="none" w:sz="0" w:space="0" w:color="auto"/>
      </w:divBdr>
    </w:div>
    <w:div w:id="1291127680">
      <w:bodyDiv w:val="1"/>
      <w:marLeft w:val="0"/>
      <w:marRight w:val="0"/>
      <w:marTop w:val="0"/>
      <w:marBottom w:val="0"/>
      <w:divBdr>
        <w:top w:val="none" w:sz="0" w:space="0" w:color="auto"/>
        <w:left w:val="none" w:sz="0" w:space="0" w:color="auto"/>
        <w:bottom w:val="none" w:sz="0" w:space="0" w:color="auto"/>
        <w:right w:val="none" w:sz="0" w:space="0" w:color="auto"/>
      </w:divBdr>
    </w:div>
    <w:div w:id="1295023534">
      <w:bodyDiv w:val="1"/>
      <w:marLeft w:val="0"/>
      <w:marRight w:val="0"/>
      <w:marTop w:val="0"/>
      <w:marBottom w:val="0"/>
      <w:divBdr>
        <w:top w:val="none" w:sz="0" w:space="0" w:color="auto"/>
        <w:left w:val="none" w:sz="0" w:space="0" w:color="auto"/>
        <w:bottom w:val="none" w:sz="0" w:space="0" w:color="auto"/>
        <w:right w:val="none" w:sz="0" w:space="0" w:color="auto"/>
      </w:divBdr>
    </w:div>
    <w:div w:id="1312832846">
      <w:bodyDiv w:val="1"/>
      <w:marLeft w:val="0"/>
      <w:marRight w:val="0"/>
      <w:marTop w:val="0"/>
      <w:marBottom w:val="0"/>
      <w:divBdr>
        <w:top w:val="none" w:sz="0" w:space="0" w:color="auto"/>
        <w:left w:val="none" w:sz="0" w:space="0" w:color="auto"/>
        <w:bottom w:val="none" w:sz="0" w:space="0" w:color="auto"/>
        <w:right w:val="none" w:sz="0" w:space="0" w:color="auto"/>
      </w:divBdr>
    </w:div>
    <w:div w:id="1319110652">
      <w:bodyDiv w:val="1"/>
      <w:marLeft w:val="0"/>
      <w:marRight w:val="0"/>
      <w:marTop w:val="0"/>
      <w:marBottom w:val="0"/>
      <w:divBdr>
        <w:top w:val="none" w:sz="0" w:space="0" w:color="auto"/>
        <w:left w:val="none" w:sz="0" w:space="0" w:color="auto"/>
        <w:bottom w:val="none" w:sz="0" w:space="0" w:color="auto"/>
        <w:right w:val="none" w:sz="0" w:space="0" w:color="auto"/>
      </w:divBdr>
    </w:div>
    <w:div w:id="1319114543">
      <w:bodyDiv w:val="1"/>
      <w:marLeft w:val="0"/>
      <w:marRight w:val="0"/>
      <w:marTop w:val="0"/>
      <w:marBottom w:val="0"/>
      <w:divBdr>
        <w:top w:val="none" w:sz="0" w:space="0" w:color="auto"/>
        <w:left w:val="none" w:sz="0" w:space="0" w:color="auto"/>
        <w:bottom w:val="none" w:sz="0" w:space="0" w:color="auto"/>
        <w:right w:val="none" w:sz="0" w:space="0" w:color="auto"/>
      </w:divBdr>
    </w:div>
    <w:div w:id="1371228097">
      <w:bodyDiv w:val="1"/>
      <w:marLeft w:val="0"/>
      <w:marRight w:val="0"/>
      <w:marTop w:val="0"/>
      <w:marBottom w:val="0"/>
      <w:divBdr>
        <w:top w:val="none" w:sz="0" w:space="0" w:color="auto"/>
        <w:left w:val="none" w:sz="0" w:space="0" w:color="auto"/>
        <w:bottom w:val="none" w:sz="0" w:space="0" w:color="auto"/>
        <w:right w:val="none" w:sz="0" w:space="0" w:color="auto"/>
      </w:divBdr>
    </w:div>
    <w:div w:id="1381320917">
      <w:bodyDiv w:val="1"/>
      <w:marLeft w:val="0"/>
      <w:marRight w:val="0"/>
      <w:marTop w:val="0"/>
      <w:marBottom w:val="0"/>
      <w:divBdr>
        <w:top w:val="none" w:sz="0" w:space="0" w:color="auto"/>
        <w:left w:val="none" w:sz="0" w:space="0" w:color="auto"/>
        <w:bottom w:val="none" w:sz="0" w:space="0" w:color="auto"/>
        <w:right w:val="none" w:sz="0" w:space="0" w:color="auto"/>
      </w:divBdr>
    </w:div>
    <w:div w:id="1383024230">
      <w:bodyDiv w:val="1"/>
      <w:marLeft w:val="0"/>
      <w:marRight w:val="0"/>
      <w:marTop w:val="0"/>
      <w:marBottom w:val="0"/>
      <w:divBdr>
        <w:top w:val="none" w:sz="0" w:space="0" w:color="auto"/>
        <w:left w:val="none" w:sz="0" w:space="0" w:color="auto"/>
        <w:bottom w:val="none" w:sz="0" w:space="0" w:color="auto"/>
        <w:right w:val="none" w:sz="0" w:space="0" w:color="auto"/>
      </w:divBdr>
    </w:div>
    <w:div w:id="1411152724">
      <w:bodyDiv w:val="1"/>
      <w:marLeft w:val="0"/>
      <w:marRight w:val="0"/>
      <w:marTop w:val="0"/>
      <w:marBottom w:val="0"/>
      <w:divBdr>
        <w:top w:val="none" w:sz="0" w:space="0" w:color="auto"/>
        <w:left w:val="none" w:sz="0" w:space="0" w:color="auto"/>
        <w:bottom w:val="none" w:sz="0" w:space="0" w:color="auto"/>
        <w:right w:val="none" w:sz="0" w:space="0" w:color="auto"/>
      </w:divBdr>
    </w:div>
    <w:div w:id="1414737148">
      <w:bodyDiv w:val="1"/>
      <w:marLeft w:val="0"/>
      <w:marRight w:val="0"/>
      <w:marTop w:val="0"/>
      <w:marBottom w:val="0"/>
      <w:divBdr>
        <w:top w:val="none" w:sz="0" w:space="0" w:color="auto"/>
        <w:left w:val="none" w:sz="0" w:space="0" w:color="auto"/>
        <w:bottom w:val="none" w:sz="0" w:space="0" w:color="auto"/>
        <w:right w:val="none" w:sz="0" w:space="0" w:color="auto"/>
      </w:divBdr>
    </w:div>
    <w:div w:id="1426610647">
      <w:bodyDiv w:val="1"/>
      <w:marLeft w:val="0"/>
      <w:marRight w:val="0"/>
      <w:marTop w:val="0"/>
      <w:marBottom w:val="0"/>
      <w:divBdr>
        <w:top w:val="none" w:sz="0" w:space="0" w:color="auto"/>
        <w:left w:val="none" w:sz="0" w:space="0" w:color="auto"/>
        <w:bottom w:val="none" w:sz="0" w:space="0" w:color="auto"/>
        <w:right w:val="none" w:sz="0" w:space="0" w:color="auto"/>
      </w:divBdr>
    </w:div>
    <w:div w:id="1466699635">
      <w:bodyDiv w:val="1"/>
      <w:marLeft w:val="0"/>
      <w:marRight w:val="0"/>
      <w:marTop w:val="0"/>
      <w:marBottom w:val="0"/>
      <w:divBdr>
        <w:top w:val="none" w:sz="0" w:space="0" w:color="auto"/>
        <w:left w:val="none" w:sz="0" w:space="0" w:color="auto"/>
        <w:bottom w:val="none" w:sz="0" w:space="0" w:color="auto"/>
        <w:right w:val="none" w:sz="0" w:space="0" w:color="auto"/>
      </w:divBdr>
    </w:div>
    <w:div w:id="1497309297">
      <w:bodyDiv w:val="1"/>
      <w:marLeft w:val="0"/>
      <w:marRight w:val="0"/>
      <w:marTop w:val="0"/>
      <w:marBottom w:val="0"/>
      <w:divBdr>
        <w:top w:val="none" w:sz="0" w:space="0" w:color="auto"/>
        <w:left w:val="none" w:sz="0" w:space="0" w:color="auto"/>
        <w:bottom w:val="none" w:sz="0" w:space="0" w:color="auto"/>
        <w:right w:val="none" w:sz="0" w:space="0" w:color="auto"/>
      </w:divBdr>
    </w:div>
    <w:div w:id="1508212382">
      <w:bodyDiv w:val="1"/>
      <w:marLeft w:val="0"/>
      <w:marRight w:val="0"/>
      <w:marTop w:val="0"/>
      <w:marBottom w:val="0"/>
      <w:divBdr>
        <w:top w:val="none" w:sz="0" w:space="0" w:color="auto"/>
        <w:left w:val="none" w:sz="0" w:space="0" w:color="auto"/>
        <w:bottom w:val="none" w:sz="0" w:space="0" w:color="auto"/>
        <w:right w:val="none" w:sz="0" w:space="0" w:color="auto"/>
      </w:divBdr>
    </w:div>
    <w:div w:id="1510221694">
      <w:bodyDiv w:val="1"/>
      <w:marLeft w:val="0"/>
      <w:marRight w:val="0"/>
      <w:marTop w:val="0"/>
      <w:marBottom w:val="0"/>
      <w:divBdr>
        <w:top w:val="none" w:sz="0" w:space="0" w:color="auto"/>
        <w:left w:val="none" w:sz="0" w:space="0" w:color="auto"/>
        <w:bottom w:val="none" w:sz="0" w:space="0" w:color="auto"/>
        <w:right w:val="none" w:sz="0" w:space="0" w:color="auto"/>
      </w:divBdr>
    </w:div>
    <w:div w:id="1511677500">
      <w:bodyDiv w:val="1"/>
      <w:marLeft w:val="0"/>
      <w:marRight w:val="0"/>
      <w:marTop w:val="0"/>
      <w:marBottom w:val="0"/>
      <w:divBdr>
        <w:top w:val="none" w:sz="0" w:space="0" w:color="auto"/>
        <w:left w:val="none" w:sz="0" w:space="0" w:color="auto"/>
        <w:bottom w:val="none" w:sz="0" w:space="0" w:color="auto"/>
        <w:right w:val="none" w:sz="0" w:space="0" w:color="auto"/>
      </w:divBdr>
    </w:div>
    <w:div w:id="1517190731">
      <w:bodyDiv w:val="1"/>
      <w:marLeft w:val="0"/>
      <w:marRight w:val="0"/>
      <w:marTop w:val="0"/>
      <w:marBottom w:val="0"/>
      <w:divBdr>
        <w:top w:val="none" w:sz="0" w:space="0" w:color="auto"/>
        <w:left w:val="none" w:sz="0" w:space="0" w:color="auto"/>
        <w:bottom w:val="none" w:sz="0" w:space="0" w:color="auto"/>
        <w:right w:val="none" w:sz="0" w:space="0" w:color="auto"/>
      </w:divBdr>
    </w:div>
    <w:div w:id="1529445431">
      <w:bodyDiv w:val="1"/>
      <w:marLeft w:val="0"/>
      <w:marRight w:val="0"/>
      <w:marTop w:val="0"/>
      <w:marBottom w:val="0"/>
      <w:divBdr>
        <w:top w:val="none" w:sz="0" w:space="0" w:color="auto"/>
        <w:left w:val="none" w:sz="0" w:space="0" w:color="auto"/>
        <w:bottom w:val="none" w:sz="0" w:space="0" w:color="auto"/>
        <w:right w:val="none" w:sz="0" w:space="0" w:color="auto"/>
      </w:divBdr>
    </w:div>
    <w:div w:id="1529680588">
      <w:bodyDiv w:val="1"/>
      <w:marLeft w:val="0"/>
      <w:marRight w:val="0"/>
      <w:marTop w:val="0"/>
      <w:marBottom w:val="0"/>
      <w:divBdr>
        <w:top w:val="none" w:sz="0" w:space="0" w:color="auto"/>
        <w:left w:val="none" w:sz="0" w:space="0" w:color="auto"/>
        <w:bottom w:val="none" w:sz="0" w:space="0" w:color="auto"/>
        <w:right w:val="none" w:sz="0" w:space="0" w:color="auto"/>
      </w:divBdr>
    </w:div>
    <w:div w:id="1535267684">
      <w:bodyDiv w:val="1"/>
      <w:marLeft w:val="0"/>
      <w:marRight w:val="0"/>
      <w:marTop w:val="0"/>
      <w:marBottom w:val="0"/>
      <w:divBdr>
        <w:top w:val="none" w:sz="0" w:space="0" w:color="auto"/>
        <w:left w:val="none" w:sz="0" w:space="0" w:color="auto"/>
        <w:bottom w:val="none" w:sz="0" w:space="0" w:color="auto"/>
        <w:right w:val="none" w:sz="0" w:space="0" w:color="auto"/>
      </w:divBdr>
    </w:div>
    <w:div w:id="1547645733">
      <w:bodyDiv w:val="1"/>
      <w:marLeft w:val="0"/>
      <w:marRight w:val="0"/>
      <w:marTop w:val="0"/>
      <w:marBottom w:val="0"/>
      <w:divBdr>
        <w:top w:val="none" w:sz="0" w:space="0" w:color="auto"/>
        <w:left w:val="none" w:sz="0" w:space="0" w:color="auto"/>
        <w:bottom w:val="none" w:sz="0" w:space="0" w:color="auto"/>
        <w:right w:val="none" w:sz="0" w:space="0" w:color="auto"/>
      </w:divBdr>
    </w:div>
    <w:div w:id="1553076379">
      <w:bodyDiv w:val="1"/>
      <w:marLeft w:val="0"/>
      <w:marRight w:val="0"/>
      <w:marTop w:val="0"/>
      <w:marBottom w:val="0"/>
      <w:divBdr>
        <w:top w:val="none" w:sz="0" w:space="0" w:color="auto"/>
        <w:left w:val="none" w:sz="0" w:space="0" w:color="auto"/>
        <w:bottom w:val="none" w:sz="0" w:space="0" w:color="auto"/>
        <w:right w:val="none" w:sz="0" w:space="0" w:color="auto"/>
      </w:divBdr>
    </w:div>
    <w:div w:id="1572159588">
      <w:bodyDiv w:val="1"/>
      <w:marLeft w:val="0"/>
      <w:marRight w:val="0"/>
      <w:marTop w:val="0"/>
      <w:marBottom w:val="0"/>
      <w:divBdr>
        <w:top w:val="none" w:sz="0" w:space="0" w:color="auto"/>
        <w:left w:val="none" w:sz="0" w:space="0" w:color="auto"/>
        <w:bottom w:val="none" w:sz="0" w:space="0" w:color="auto"/>
        <w:right w:val="none" w:sz="0" w:space="0" w:color="auto"/>
      </w:divBdr>
    </w:div>
    <w:div w:id="1581478036">
      <w:bodyDiv w:val="1"/>
      <w:marLeft w:val="0"/>
      <w:marRight w:val="0"/>
      <w:marTop w:val="0"/>
      <w:marBottom w:val="0"/>
      <w:divBdr>
        <w:top w:val="none" w:sz="0" w:space="0" w:color="auto"/>
        <w:left w:val="none" w:sz="0" w:space="0" w:color="auto"/>
        <w:bottom w:val="none" w:sz="0" w:space="0" w:color="auto"/>
        <w:right w:val="none" w:sz="0" w:space="0" w:color="auto"/>
      </w:divBdr>
    </w:div>
    <w:div w:id="1641423458">
      <w:bodyDiv w:val="1"/>
      <w:marLeft w:val="0"/>
      <w:marRight w:val="0"/>
      <w:marTop w:val="0"/>
      <w:marBottom w:val="0"/>
      <w:divBdr>
        <w:top w:val="none" w:sz="0" w:space="0" w:color="auto"/>
        <w:left w:val="none" w:sz="0" w:space="0" w:color="auto"/>
        <w:bottom w:val="none" w:sz="0" w:space="0" w:color="auto"/>
        <w:right w:val="none" w:sz="0" w:space="0" w:color="auto"/>
      </w:divBdr>
    </w:div>
    <w:div w:id="1675107849">
      <w:bodyDiv w:val="1"/>
      <w:marLeft w:val="0"/>
      <w:marRight w:val="0"/>
      <w:marTop w:val="0"/>
      <w:marBottom w:val="0"/>
      <w:divBdr>
        <w:top w:val="none" w:sz="0" w:space="0" w:color="auto"/>
        <w:left w:val="none" w:sz="0" w:space="0" w:color="auto"/>
        <w:bottom w:val="none" w:sz="0" w:space="0" w:color="auto"/>
        <w:right w:val="none" w:sz="0" w:space="0" w:color="auto"/>
      </w:divBdr>
    </w:div>
    <w:div w:id="1737974526">
      <w:bodyDiv w:val="1"/>
      <w:marLeft w:val="0"/>
      <w:marRight w:val="0"/>
      <w:marTop w:val="0"/>
      <w:marBottom w:val="0"/>
      <w:divBdr>
        <w:top w:val="none" w:sz="0" w:space="0" w:color="auto"/>
        <w:left w:val="none" w:sz="0" w:space="0" w:color="auto"/>
        <w:bottom w:val="none" w:sz="0" w:space="0" w:color="auto"/>
        <w:right w:val="none" w:sz="0" w:space="0" w:color="auto"/>
      </w:divBdr>
    </w:div>
    <w:div w:id="1745763585">
      <w:bodyDiv w:val="1"/>
      <w:marLeft w:val="0"/>
      <w:marRight w:val="0"/>
      <w:marTop w:val="0"/>
      <w:marBottom w:val="0"/>
      <w:divBdr>
        <w:top w:val="none" w:sz="0" w:space="0" w:color="auto"/>
        <w:left w:val="none" w:sz="0" w:space="0" w:color="auto"/>
        <w:bottom w:val="none" w:sz="0" w:space="0" w:color="auto"/>
        <w:right w:val="none" w:sz="0" w:space="0" w:color="auto"/>
      </w:divBdr>
    </w:div>
    <w:div w:id="1752658561">
      <w:bodyDiv w:val="1"/>
      <w:marLeft w:val="0"/>
      <w:marRight w:val="0"/>
      <w:marTop w:val="0"/>
      <w:marBottom w:val="0"/>
      <w:divBdr>
        <w:top w:val="none" w:sz="0" w:space="0" w:color="auto"/>
        <w:left w:val="none" w:sz="0" w:space="0" w:color="auto"/>
        <w:bottom w:val="none" w:sz="0" w:space="0" w:color="auto"/>
        <w:right w:val="none" w:sz="0" w:space="0" w:color="auto"/>
      </w:divBdr>
    </w:div>
    <w:div w:id="1766801350">
      <w:bodyDiv w:val="1"/>
      <w:marLeft w:val="0"/>
      <w:marRight w:val="0"/>
      <w:marTop w:val="0"/>
      <w:marBottom w:val="0"/>
      <w:divBdr>
        <w:top w:val="none" w:sz="0" w:space="0" w:color="auto"/>
        <w:left w:val="none" w:sz="0" w:space="0" w:color="auto"/>
        <w:bottom w:val="none" w:sz="0" w:space="0" w:color="auto"/>
        <w:right w:val="none" w:sz="0" w:space="0" w:color="auto"/>
      </w:divBdr>
    </w:div>
    <w:div w:id="1788960735">
      <w:bodyDiv w:val="1"/>
      <w:marLeft w:val="0"/>
      <w:marRight w:val="0"/>
      <w:marTop w:val="0"/>
      <w:marBottom w:val="0"/>
      <w:divBdr>
        <w:top w:val="none" w:sz="0" w:space="0" w:color="auto"/>
        <w:left w:val="none" w:sz="0" w:space="0" w:color="auto"/>
        <w:bottom w:val="none" w:sz="0" w:space="0" w:color="auto"/>
        <w:right w:val="none" w:sz="0" w:space="0" w:color="auto"/>
      </w:divBdr>
    </w:div>
    <w:div w:id="1858154986">
      <w:bodyDiv w:val="1"/>
      <w:marLeft w:val="0"/>
      <w:marRight w:val="0"/>
      <w:marTop w:val="0"/>
      <w:marBottom w:val="0"/>
      <w:divBdr>
        <w:top w:val="none" w:sz="0" w:space="0" w:color="auto"/>
        <w:left w:val="none" w:sz="0" w:space="0" w:color="auto"/>
        <w:bottom w:val="none" w:sz="0" w:space="0" w:color="auto"/>
        <w:right w:val="none" w:sz="0" w:space="0" w:color="auto"/>
      </w:divBdr>
    </w:div>
    <w:div w:id="1859074600">
      <w:bodyDiv w:val="1"/>
      <w:marLeft w:val="0"/>
      <w:marRight w:val="0"/>
      <w:marTop w:val="0"/>
      <w:marBottom w:val="0"/>
      <w:divBdr>
        <w:top w:val="none" w:sz="0" w:space="0" w:color="auto"/>
        <w:left w:val="none" w:sz="0" w:space="0" w:color="auto"/>
        <w:bottom w:val="none" w:sz="0" w:space="0" w:color="auto"/>
        <w:right w:val="none" w:sz="0" w:space="0" w:color="auto"/>
      </w:divBdr>
    </w:div>
    <w:div w:id="1882787464">
      <w:bodyDiv w:val="1"/>
      <w:marLeft w:val="0"/>
      <w:marRight w:val="0"/>
      <w:marTop w:val="0"/>
      <w:marBottom w:val="0"/>
      <w:divBdr>
        <w:top w:val="none" w:sz="0" w:space="0" w:color="auto"/>
        <w:left w:val="none" w:sz="0" w:space="0" w:color="auto"/>
        <w:bottom w:val="none" w:sz="0" w:space="0" w:color="auto"/>
        <w:right w:val="none" w:sz="0" w:space="0" w:color="auto"/>
      </w:divBdr>
    </w:div>
    <w:div w:id="1910113016">
      <w:bodyDiv w:val="1"/>
      <w:marLeft w:val="0"/>
      <w:marRight w:val="0"/>
      <w:marTop w:val="0"/>
      <w:marBottom w:val="0"/>
      <w:divBdr>
        <w:top w:val="none" w:sz="0" w:space="0" w:color="auto"/>
        <w:left w:val="none" w:sz="0" w:space="0" w:color="auto"/>
        <w:bottom w:val="none" w:sz="0" w:space="0" w:color="auto"/>
        <w:right w:val="none" w:sz="0" w:space="0" w:color="auto"/>
      </w:divBdr>
    </w:div>
    <w:div w:id="1912814478">
      <w:bodyDiv w:val="1"/>
      <w:marLeft w:val="0"/>
      <w:marRight w:val="0"/>
      <w:marTop w:val="0"/>
      <w:marBottom w:val="0"/>
      <w:divBdr>
        <w:top w:val="none" w:sz="0" w:space="0" w:color="auto"/>
        <w:left w:val="none" w:sz="0" w:space="0" w:color="auto"/>
        <w:bottom w:val="none" w:sz="0" w:space="0" w:color="auto"/>
        <w:right w:val="none" w:sz="0" w:space="0" w:color="auto"/>
      </w:divBdr>
    </w:div>
    <w:div w:id="1918974023">
      <w:bodyDiv w:val="1"/>
      <w:marLeft w:val="0"/>
      <w:marRight w:val="0"/>
      <w:marTop w:val="0"/>
      <w:marBottom w:val="0"/>
      <w:divBdr>
        <w:top w:val="none" w:sz="0" w:space="0" w:color="auto"/>
        <w:left w:val="none" w:sz="0" w:space="0" w:color="auto"/>
        <w:bottom w:val="none" w:sz="0" w:space="0" w:color="auto"/>
        <w:right w:val="none" w:sz="0" w:space="0" w:color="auto"/>
      </w:divBdr>
    </w:div>
    <w:div w:id="1923753731">
      <w:bodyDiv w:val="1"/>
      <w:marLeft w:val="0"/>
      <w:marRight w:val="0"/>
      <w:marTop w:val="0"/>
      <w:marBottom w:val="0"/>
      <w:divBdr>
        <w:top w:val="none" w:sz="0" w:space="0" w:color="auto"/>
        <w:left w:val="none" w:sz="0" w:space="0" w:color="auto"/>
        <w:bottom w:val="none" w:sz="0" w:space="0" w:color="auto"/>
        <w:right w:val="none" w:sz="0" w:space="0" w:color="auto"/>
      </w:divBdr>
    </w:div>
    <w:div w:id="1929578610">
      <w:bodyDiv w:val="1"/>
      <w:marLeft w:val="0"/>
      <w:marRight w:val="0"/>
      <w:marTop w:val="0"/>
      <w:marBottom w:val="0"/>
      <w:divBdr>
        <w:top w:val="none" w:sz="0" w:space="0" w:color="auto"/>
        <w:left w:val="none" w:sz="0" w:space="0" w:color="auto"/>
        <w:bottom w:val="none" w:sz="0" w:space="0" w:color="auto"/>
        <w:right w:val="none" w:sz="0" w:space="0" w:color="auto"/>
      </w:divBdr>
    </w:div>
    <w:div w:id="1936280678">
      <w:bodyDiv w:val="1"/>
      <w:marLeft w:val="0"/>
      <w:marRight w:val="0"/>
      <w:marTop w:val="0"/>
      <w:marBottom w:val="0"/>
      <w:divBdr>
        <w:top w:val="none" w:sz="0" w:space="0" w:color="auto"/>
        <w:left w:val="none" w:sz="0" w:space="0" w:color="auto"/>
        <w:bottom w:val="none" w:sz="0" w:space="0" w:color="auto"/>
        <w:right w:val="none" w:sz="0" w:space="0" w:color="auto"/>
      </w:divBdr>
    </w:div>
    <w:div w:id="1937706367">
      <w:bodyDiv w:val="1"/>
      <w:marLeft w:val="0"/>
      <w:marRight w:val="0"/>
      <w:marTop w:val="0"/>
      <w:marBottom w:val="0"/>
      <w:divBdr>
        <w:top w:val="none" w:sz="0" w:space="0" w:color="auto"/>
        <w:left w:val="none" w:sz="0" w:space="0" w:color="auto"/>
        <w:bottom w:val="none" w:sz="0" w:space="0" w:color="auto"/>
        <w:right w:val="none" w:sz="0" w:space="0" w:color="auto"/>
      </w:divBdr>
    </w:div>
    <w:div w:id="1951930794">
      <w:bodyDiv w:val="1"/>
      <w:marLeft w:val="0"/>
      <w:marRight w:val="0"/>
      <w:marTop w:val="0"/>
      <w:marBottom w:val="0"/>
      <w:divBdr>
        <w:top w:val="none" w:sz="0" w:space="0" w:color="auto"/>
        <w:left w:val="none" w:sz="0" w:space="0" w:color="auto"/>
        <w:bottom w:val="none" w:sz="0" w:space="0" w:color="auto"/>
        <w:right w:val="none" w:sz="0" w:space="0" w:color="auto"/>
      </w:divBdr>
    </w:div>
    <w:div w:id="1952661233">
      <w:bodyDiv w:val="1"/>
      <w:marLeft w:val="0"/>
      <w:marRight w:val="0"/>
      <w:marTop w:val="0"/>
      <w:marBottom w:val="0"/>
      <w:divBdr>
        <w:top w:val="none" w:sz="0" w:space="0" w:color="auto"/>
        <w:left w:val="none" w:sz="0" w:space="0" w:color="auto"/>
        <w:bottom w:val="none" w:sz="0" w:space="0" w:color="auto"/>
        <w:right w:val="none" w:sz="0" w:space="0" w:color="auto"/>
      </w:divBdr>
    </w:div>
    <w:div w:id="1957518386">
      <w:bodyDiv w:val="1"/>
      <w:marLeft w:val="0"/>
      <w:marRight w:val="0"/>
      <w:marTop w:val="0"/>
      <w:marBottom w:val="0"/>
      <w:divBdr>
        <w:top w:val="none" w:sz="0" w:space="0" w:color="auto"/>
        <w:left w:val="none" w:sz="0" w:space="0" w:color="auto"/>
        <w:bottom w:val="none" w:sz="0" w:space="0" w:color="auto"/>
        <w:right w:val="none" w:sz="0" w:space="0" w:color="auto"/>
      </w:divBdr>
    </w:div>
    <w:div w:id="1966080364">
      <w:bodyDiv w:val="1"/>
      <w:marLeft w:val="0"/>
      <w:marRight w:val="0"/>
      <w:marTop w:val="0"/>
      <w:marBottom w:val="0"/>
      <w:divBdr>
        <w:top w:val="none" w:sz="0" w:space="0" w:color="auto"/>
        <w:left w:val="none" w:sz="0" w:space="0" w:color="auto"/>
        <w:bottom w:val="none" w:sz="0" w:space="0" w:color="auto"/>
        <w:right w:val="none" w:sz="0" w:space="0" w:color="auto"/>
      </w:divBdr>
    </w:div>
    <w:div w:id="1986929390">
      <w:bodyDiv w:val="1"/>
      <w:marLeft w:val="0"/>
      <w:marRight w:val="0"/>
      <w:marTop w:val="0"/>
      <w:marBottom w:val="0"/>
      <w:divBdr>
        <w:top w:val="none" w:sz="0" w:space="0" w:color="auto"/>
        <w:left w:val="none" w:sz="0" w:space="0" w:color="auto"/>
        <w:bottom w:val="none" w:sz="0" w:space="0" w:color="auto"/>
        <w:right w:val="none" w:sz="0" w:space="0" w:color="auto"/>
      </w:divBdr>
    </w:div>
    <w:div w:id="2012027826">
      <w:bodyDiv w:val="1"/>
      <w:marLeft w:val="0"/>
      <w:marRight w:val="0"/>
      <w:marTop w:val="0"/>
      <w:marBottom w:val="0"/>
      <w:divBdr>
        <w:top w:val="none" w:sz="0" w:space="0" w:color="auto"/>
        <w:left w:val="none" w:sz="0" w:space="0" w:color="auto"/>
        <w:bottom w:val="none" w:sz="0" w:space="0" w:color="auto"/>
        <w:right w:val="none" w:sz="0" w:space="0" w:color="auto"/>
      </w:divBdr>
    </w:div>
    <w:div w:id="2015302006">
      <w:bodyDiv w:val="1"/>
      <w:marLeft w:val="0"/>
      <w:marRight w:val="0"/>
      <w:marTop w:val="0"/>
      <w:marBottom w:val="0"/>
      <w:divBdr>
        <w:top w:val="none" w:sz="0" w:space="0" w:color="auto"/>
        <w:left w:val="none" w:sz="0" w:space="0" w:color="auto"/>
        <w:bottom w:val="none" w:sz="0" w:space="0" w:color="auto"/>
        <w:right w:val="none" w:sz="0" w:space="0" w:color="auto"/>
      </w:divBdr>
    </w:div>
    <w:div w:id="2018389207">
      <w:bodyDiv w:val="1"/>
      <w:marLeft w:val="0"/>
      <w:marRight w:val="0"/>
      <w:marTop w:val="0"/>
      <w:marBottom w:val="0"/>
      <w:divBdr>
        <w:top w:val="none" w:sz="0" w:space="0" w:color="auto"/>
        <w:left w:val="none" w:sz="0" w:space="0" w:color="auto"/>
        <w:bottom w:val="none" w:sz="0" w:space="0" w:color="auto"/>
        <w:right w:val="none" w:sz="0" w:space="0" w:color="auto"/>
      </w:divBdr>
    </w:div>
    <w:div w:id="2063598356">
      <w:bodyDiv w:val="1"/>
      <w:marLeft w:val="0"/>
      <w:marRight w:val="0"/>
      <w:marTop w:val="0"/>
      <w:marBottom w:val="0"/>
      <w:divBdr>
        <w:top w:val="none" w:sz="0" w:space="0" w:color="auto"/>
        <w:left w:val="none" w:sz="0" w:space="0" w:color="auto"/>
        <w:bottom w:val="none" w:sz="0" w:space="0" w:color="auto"/>
        <w:right w:val="none" w:sz="0" w:space="0" w:color="auto"/>
      </w:divBdr>
    </w:div>
    <w:div w:id="2113818690">
      <w:bodyDiv w:val="1"/>
      <w:marLeft w:val="0"/>
      <w:marRight w:val="0"/>
      <w:marTop w:val="0"/>
      <w:marBottom w:val="0"/>
      <w:divBdr>
        <w:top w:val="none" w:sz="0" w:space="0" w:color="auto"/>
        <w:left w:val="none" w:sz="0" w:space="0" w:color="auto"/>
        <w:bottom w:val="none" w:sz="0" w:space="0" w:color="auto"/>
        <w:right w:val="none" w:sz="0" w:space="0" w:color="auto"/>
      </w:divBdr>
    </w:div>
    <w:div w:id="2113938884">
      <w:bodyDiv w:val="1"/>
      <w:marLeft w:val="0"/>
      <w:marRight w:val="0"/>
      <w:marTop w:val="0"/>
      <w:marBottom w:val="0"/>
      <w:divBdr>
        <w:top w:val="none" w:sz="0" w:space="0" w:color="auto"/>
        <w:left w:val="none" w:sz="0" w:space="0" w:color="auto"/>
        <w:bottom w:val="none" w:sz="0" w:space="0" w:color="auto"/>
        <w:right w:val="none" w:sz="0" w:space="0" w:color="auto"/>
      </w:divBdr>
    </w:div>
    <w:div w:id="2121023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R11612481</b:Tag>
    <b:SourceType>JournalArticle</b:SourceType>
    <b:Guid>{B6703E4C-068C-47A1-8C14-E41C04A13B95}</b:Guid>
    <b:Author>
      <b:Author>
        <b:NameList>
          <b:Person>
            <b:Last>R1-1612481</b:Last>
          </b:Person>
        </b:NameList>
      </b:Author>
    </b:Author>
    <b:Title>Discussion on precoding granularity in NR </b:Title>
    <b:JournalName>Samsung, 3GPP TSG RAN WG1 #87 Reno, USA</b:JournalName>
    <b:Year>14-18 Nov 2016</b:Year>
    <b:RefOrder>3</b:RefOrder>
  </b:Source>
  <b:Source>
    <b:Tag>R11612045</b:Tag>
    <b:SourceType>JournalArticle</b:SourceType>
    <b:Guid>{351B0907-EB5D-4BD1-B955-BAAD06DE0B87}</b:Guid>
    <b:Author>
      <b:Author>
        <b:NameList>
          <b:Person>
            <b:Last>R1-1612045</b:Last>
          </b:Person>
        </b:NameList>
      </b:Author>
    </b:Author>
    <b:Title>Discussion on phase continuity and PRB bundling</b:Title>
    <b:JournalName>Qualcomm, 3GPP TSG RAN WG1 Meeting #87, Reno, USA</b:JournalName>
    <b:Year>14-18 Nov, 2016</b:Year>
    <b:RefOrder>4</b:RefOrder>
  </b:Source>
  <b:Source>
    <b:Tag>R11612482</b:Tag>
    <b:SourceType>JournalArticle</b:SourceType>
    <b:Guid>{EE3DD80F-9971-4A5B-A6BD-656076FF655F}</b:Guid>
    <b:Author>
      <b:Author>
        <b:NameList>
          <b:Person>
            <b:Last>R1-1612482</b:Last>
          </b:Person>
        </b:NameList>
      </b:Author>
    </b:Author>
    <b:Title>DMRS-based precoder cycling and simulation results </b:Title>
    <b:JournalName>Samsung, 3GPP TSG RAN WG1 Meeting #87, Reno, USA</b:JournalName>
    <b:Year>14-18 Nov, 2016</b:Year>
    <b:RefOrder>8</b:RefOrder>
  </b:Source>
  <b:Source>
    <b:Tag>R11613676</b:Tag>
    <b:SourceType>JournalArticle</b:SourceType>
    <b:Guid>{9D4227FE-F286-400D-8849-E43D4AA41C88}</b:Guid>
    <b:Author>
      <b:Author>
        <b:NameList>
          <b:Person>
            <b:Last>R1-1613676</b:Last>
          </b:Person>
        </b:NameList>
      </b:Author>
    </b:Author>
    <b:Title>Way Forward - WF on UL PRG size</b:Title>
    <b:JournalName>Qualcomm, Interdigital, 3GPP TSG RAN WG1 Meeting #87, Reno, USA</b:JournalName>
    <b:Year>14-18 Nov 2016</b:Year>
    <b:RefOrder>5</b:RefOrder>
  </b:Source>
  <b:Source>
    <b:Tag>R11612479</b:Tag>
    <b:SourceType>JournalArticle</b:SourceType>
    <b:Guid>{47A3C54E-A312-4597-9F78-376B11C28B7D}</b:Guid>
    <b:Author>
      <b:Author>
        <b:NameList>
          <b:Person>
            <b:Last>R1-1612479</b:Last>
          </b:Person>
        </b:NameList>
      </b:Author>
    </b:Author>
    <b:Title>DMRS-based spatial multiplexing for UL NR MIMO </b:Title>
    <b:JournalName>Samsung, 3GPP TSG RAN WG1 Meeting #87, Reno, USA</b:JournalName>
    <b:Year>14-18 Nov, 2016</b:Year>
    <b:RefOrder>7</b:RefOrder>
  </b:Source>
  <b:Source>
    <b:Tag>Chariman86</b:Tag>
    <b:SourceType>JournalArticle</b:SourceType>
    <b:Guid>{6905C139-6051-418F-88F4-AFA0A7559FAB}</b:Guid>
    <b:Title>3GPP, RAN1#86, Chairman’s Notes</b:Title>
    <b:RefOrder>1</b:RefOrder>
  </b:Source>
  <b:Source>
    <b:Tag>chairman87</b:Tag>
    <b:SourceType>JournalArticle</b:SourceType>
    <b:Guid>{0D5B7B6A-9AF2-4652-94ED-5EAAE720290D}</b:Guid>
    <b:Title>3GPP, RAN1#87, Chairman’s Notes</b:Title>
    <b:JournalName>3GPP TSG RAN WG1 Meeting #87, Reno, USA</b:JournalName>
    <b:Year>14-18 Nov, 2016</b:Year>
    <b:RefOrder>2</b:RefOrder>
  </b:Source>
  <b:Source>
    <b:Tag>R11612501</b:Tag>
    <b:SourceType>JournalArticle</b:SourceType>
    <b:Guid>{C3DEAA83-EB03-4137-8A7B-AABE0DB6A4D9}</b:Guid>
    <b:Title>CSI Acquisition for UL NR MIMO</b:Title>
    <b:Year>14-18 Nov, 2016</b:Year>
    <b:Author>
      <b:Author>
        <b:NameList>
          <b:Person>
            <b:Last>R1-1612501</b:Last>
          </b:Person>
        </b:NameList>
      </b:Author>
    </b:Author>
    <b:JournalName>Samsung, 3GPP TSG RAN WG1 Meeting #87, Reno, USA</b:JournalName>
    <b:RefOrder>6</b:RefOrder>
  </b:Source>
</b:Sources>
</file>

<file path=customXml/itemProps1.xml><?xml version="1.0" encoding="utf-8"?>
<ds:datastoreItem xmlns:ds="http://schemas.openxmlformats.org/officeDocument/2006/customXml" ds:itemID="{A746C5B9-F9E2-45E3-AF0A-099C0E5A1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1339</Words>
  <Characters>7637</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8959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2017-01-10T01:05:00Z</dcterms:created>
  <dcterms:modified xsi:type="dcterms:W3CDTF">2017-01-10T01:06:00Z</dcterms:modified>
</cp:coreProperties>
</file>