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ABF919" w14:textId="50568694" w:rsidR="008A014A" w:rsidRPr="000A64D8" w:rsidRDefault="008A014A" w:rsidP="008A014A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 xml:space="preserve">3GPP TSG-RAN WG1 </w:t>
      </w:r>
      <w:r w:rsidR="008F28A2">
        <w:rPr>
          <w:rFonts w:ascii="Arial" w:hAnsi="Arial" w:cs="Arial"/>
          <w:b/>
          <w:sz w:val="24"/>
          <w:szCs w:val="24"/>
        </w:rPr>
        <w:t>NR AdHoc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961A61">
        <w:rPr>
          <w:rFonts w:ascii="Arial" w:hAnsi="Arial" w:cs="Arial"/>
          <w:b/>
          <w:sz w:val="24"/>
          <w:szCs w:val="24"/>
        </w:rPr>
        <w:t>R1-1</w:t>
      </w:r>
      <w:r>
        <w:rPr>
          <w:rFonts w:ascii="Arial" w:hAnsi="Arial" w:cs="Arial"/>
          <w:b/>
          <w:sz w:val="24"/>
          <w:szCs w:val="24"/>
        </w:rPr>
        <w:t>7</w:t>
      </w:r>
      <w:r w:rsidR="00975C36">
        <w:rPr>
          <w:rFonts w:ascii="Arial" w:hAnsi="Arial" w:cs="Arial"/>
          <w:b/>
          <w:sz w:val="24"/>
          <w:szCs w:val="24"/>
        </w:rPr>
        <w:t>00816</w:t>
      </w:r>
    </w:p>
    <w:p w14:paraId="78369E09" w14:textId="77777777" w:rsidR="008F28A2" w:rsidRDefault="008F28A2" w:rsidP="008F28A2">
      <w:pPr>
        <w:pStyle w:val="Footer"/>
        <w:jc w:val="both"/>
        <w:rPr>
          <w:i w:val="0"/>
          <w:sz w:val="24"/>
          <w:szCs w:val="24"/>
          <w:lang w:val="en-GB" w:eastAsia="ja-JP"/>
        </w:rPr>
      </w:pPr>
      <w:r>
        <w:rPr>
          <w:i w:val="0"/>
          <w:iCs/>
          <w:sz w:val="24"/>
          <w:szCs w:val="24"/>
          <w:lang w:val="en-GB" w:eastAsia="ja-JP"/>
        </w:rPr>
        <w:t>January 16</w:t>
      </w:r>
      <w:r>
        <w:rPr>
          <w:i w:val="0"/>
          <w:iCs/>
          <w:sz w:val="24"/>
          <w:szCs w:val="24"/>
          <w:vertAlign w:val="superscript"/>
          <w:lang w:val="en-GB" w:eastAsia="ja-JP"/>
        </w:rPr>
        <w:t>th</w:t>
      </w:r>
      <w:r>
        <w:rPr>
          <w:i w:val="0"/>
          <w:iCs/>
          <w:sz w:val="24"/>
          <w:szCs w:val="24"/>
          <w:lang w:val="en-GB" w:eastAsia="ja-JP"/>
        </w:rPr>
        <w:t xml:space="preserve"> - 20</w:t>
      </w:r>
      <w:r>
        <w:rPr>
          <w:i w:val="0"/>
          <w:iCs/>
          <w:sz w:val="24"/>
          <w:szCs w:val="24"/>
          <w:vertAlign w:val="superscript"/>
          <w:lang w:val="en-GB" w:eastAsia="ja-JP"/>
        </w:rPr>
        <w:t>th</w:t>
      </w:r>
      <w:r>
        <w:rPr>
          <w:i w:val="0"/>
          <w:iCs/>
          <w:sz w:val="24"/>
          <w:szCs w:val="24"/>
          <w:lang w:val="en-GB" w:eastAsia="ja-JP"/>
        </w:rPr>
        <w:t>, 2017</w:t>
      </w:r>
    </w:p>
    <w:p w14:paraId="6259C6E3" w14:textId="77777777" w:rsidR="008F28A2" w:rsidRDefault="008F28A2" w:rsidP="008F28A2">
      <w:pPr>
        <w:pStyle w:val="Footer"/>
        <w:jc w:val="both"/>
        <w:rPr>
          <w:i w:val="0"/>
          <w:iCs/>
          <w:sz w:val="24"/>
          <w:szCs w:val="24"/>
          <w:lang w:val="en-GB" w:eastAsia="ja-JP"/>
        </w:rPr>
      </w:pPr>
      <w:r>
        <w:rPr>
          <w:i w:val="0"/>
          <w:iCs/>
          <w:sz w:val="24"/>
          <w:szCs w:val="24"/>
          <w:lang w:val="en-GB" w:eastAsia="zh-CN"/>
        </w:rPr>
        <w:t>Spokane, U.S.A</w:t>
      </w:r>
      <w:r>
        <w:rPr>
          <w:i w:val="0"/>
          <w:iCs/>
          <w:sz w:val="24"/>
          <w:szCs w:val="24"/>
          <w:lang w:val="en-GB" w:eastAsia="ja-JP"/>
        </w:rPr>
        <w:t>.</w:t>
      </w:r>
    </w:p>
    <w:p w14:paraId="43B7F87B" w14:textId="77777777" w:rsidR="0068226B" w:rsidRPr="000A64D8" w:rsidRDefault="0068226B" w:rsidP="00480B03">
      <w:pPr>
        <w:pStyle w:val="Footer"/>
        <w:jc w:val="both"/>
        <w:rPr>
          <w:noProof w:val="0"/>
        </w:rPr>
      </w:pPr>
    </w:p>
    <w:p w14:paraId="43B7F87C" w14:textId="3CBA334C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891FA4">
        <w:rPr>
          <w:rFonts w:ascii="Arial" w:hAnsi="Arial"/>
          <w:sz w:val="24"/>
        </w:rPr>
        <w:t>5</w:t>
      </w:r>
      <w:r w:rsidR="008A014A">
        <w:rPr>
          <w:rFonts w:ascii="Arial" w:hAnsi="Arial"/>
          <w:sz w:val="24"/>
        </w:rPr>
        <w:t>.1.3</w:t>
      </w:r>
      <w:r w:rsidR="00EC5B68">
        <w:rPr>
          <w:rFonts w:ascii="Arial" w:hAnsi="Arial"/>
          <w:sz w:val="24"/>
        </w:rPr>
        <w:t>.1</w:t>
      </w:r>
    </w:p>
    <w:p w14:paraId="43B7F87D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43B7F87E" w14:textId="282FD654" w:rsidR="00C10599" w:rsidRPr="00575E09" w:rsidRDefault="0068226B" w:rsidP="00EB05DC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483B8B">
        <w:rPr>
          <w:rFonts w:ascii="Arial" w:hAnsi="Arial"/>
          <w:sz w:val="24"/>
          <w:szCs w:val="24"/>
        </w:rPr>
        <w:t>Common control resource set and UE-specific control resource set</w:t>
      </w:r>
    </w:p>
    <w:p w14:paraId="43B7F87F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  <w:bookmarkStart w:id="2" w:name="_GoBack"/>
      <w:bookmarkEnd w:id="2"/>
    </w:p>
    <w:p w14:paraId="43B7F880" w14:textId="77777777" w:rsidR="004503F9" w:rsidRPr="00183CB7" w:rsidRDefault="004503F9" w:rsidP="004503F9">
      <w:pPr>
        <w:pStyle w:val="Heading1"/>
      </w:pPr>
      <w:r w:rsidRPr="00183CB7">
        <w:t>Introduction</w:t>
      </w:r>
    </w:p>
    <w:p w14:paraId="4E3E2118" w14:textId="5D9CBB30" w:rsidR="00483B8B" w:rsidRDefault="00483B8B" w:rsidP="00143118">
      <w:pPr>
        <w:jc w:val="both"/>
        <w:rPr>
          <w:szCs w:val="22"/>
        </w:rPr>
      </w:pPr>
      <w:r>
        <w:rPr>
          <w:szCs w:val="22"/>
        </w:rPr>
        <w:t>During RAN1#87, the definition of control resource set was agreed as shown below. Additional agreements were made for search spaces</w:t>
      </w:r>
      <w:r w:rsidR="0064413F">
        <w:rPr>
          <w:szCs w:val="22"/>
        </w:rPr>
        <w:t xml:space="preserve"> one from MIB/system information and the other from RRC configuration. This contribution provides </w:t>
      </w:r>
      <w:r w:rsidR="00FA1D66">
        <w:rPr>
          <w:szCs w:val="22"/>
        </w:rPr>
        <w:t>further views on control resource sets, search spaces and its RS.</w:t>
      </w:r>
    </w:p>
    <w:p w14:paraId="666A4802" w14:textId="77777777" w:rsidR="00483B8B" w:rsidRPr="00227F53" w:rsidRDefault="00483B8B" w:rsidP="00483B8B">
      <w:pPr>
        <w:rPr>
          <w:rFonts w:eastAsia="MS Mincho"/>
          <w:lang w:eastAsia="ja-JP"/>
        </w:rPr>
      </w:pPr>
      <w:r w:rsidRPr="00227F53">
        <w:rPr>
          <w:rFonts w:eastAsia="MS Mincho" w:hint="eastAsia"/>
          <w:highlight w:val="green"/>
          <w:lang w:eastAsia="ja-JP"/>
        </w:rPr>
        <w:t>Agreements:</w:t>
      </w:r>
    </w:p>
    <w:p w14:paraId="16595C21" w14:textId="77777777" w:rsidR="00483B8B" w:rsidRPr="00227F53" w:rsidRDefault="00483B8B" w:rsidP="00483B8B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MS Mincho"/>
          <w:sz w:val="20"/>
          <w:szCs w:val="20"/>
        </w:rPr>
      </w:pPr>
      <w:r w:rsidRPr="00227F53">
        <w:rPr>
          <w:rFonts w:eastAsia="MS Mincho"/>
          <w:sz w:val="20"/>
          <w:szCs w:val="20"/>
        </w:rPr>
        <w:t>At least for single-stage DCI design:</w:t>
      </w:r>
    </w:p>
    <w:p w14:paraId="7D302AF0" w14:textId="77777777" w:rsidR="00483B8B" w:rsidRPr="00227F53" w:rsidRDefault="00483B8B" w:rsidP="00483B8B">
      <w:pPr>
        <w:pStyle w:val="ListParagraph"/>
        <w:numPr>
          <w:ilvl w:val="1"/>
          <w:numId w:val="34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MS Mincho"/>
          <w:sz w:val="20"/>
          <w:szCs w:val="20"/>
        </w:rPr>
      </w:pPr>
      <w:r w:rsidRPr="00227F53">
        <w:rPr>
          <w:rFonts w:eastAsia="MS Mincho"/>
          <w:sz w:val="20"/>
          <w:szCs w:val="20"/>
        </w:rPr>
        <w:t>A control resource set (formerly called control subband) is, in the frequency domain, a set of PRBs within which the UE attempts to blindly decode downlink control information</w:t>
      </w:r>
    </w:p>
    <w:p w14:paraId="3BEC27EF" w14:textId="77777777" w:rsidR="00483B8B" w:rsidRPr="00227F53" w:rsidRDefault="00483B8B" w:rsidP="00483B8B">
      <w:pPr>
        <w:pStyle w:val="ListParagraph"/>
        <w:numPr>
          <w:ilvl w:val="2"/>
          <w:numId w:val="34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MS Mincho"/>
          <w:sz w:val="20"/>
          <w:szCs w:val="20"/>
        </w:rPr>
      </w:pPr>
      <w:r w:rsidRPr="00227F53">
        <w:rPr>
          <w:rFonts w:eastAsia="MS Mincho"/>
          <w:sz w:val="20"/>
          <w:szCs w:val="20"/>
        </w:rPr>
        <w:t>The PRBs may or may not be frequency contiguous</w:t>
      </w:r>
    </w:p>
    <w:p w14:paraId="6DC4C148" w14:textId="77777777" w:rsidR="00483B8B" w:rsidRPr="00227F53" w:rsidRDefault="00483B8B" w:rsidP="00483B8B">
      <w:pPr>
        <w:pStyle w:val="ListParagraph"/>
        <w:numPr>
          <w:ilvl w:val="2"/>
          <w:numId w:val="34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MS Mincho"/>
          <w:sz w:val="20"/>
          <w:szCs w:val="20"/>
        </w:rPr>
      </w:pPr>
      <w:r w:rsidRPr="00227F53">
        <w:rPr>
          <w:rFonts w:eastAsia="MS Mincho"/>
          <w:sz w:val="20"/>
          <w:szCs w:val="20"/>
        </w:rPr>
        <w:t>A UE may have one or more control resource sets</w:t>
      </w:r>
    </w:p>
    <w:p w14:paraId="3037CF9C" w14:textId="77777777" w:rsidR="00483B8B" w:rsidRPr="00227F53" w:rsidRDefault="00483B8B" w:rsidP="00483B8B">
      <w:pPr>
        <w:pStyle w:val="ListParagraph"/>
        <w:numPr>
          <w:ilvl w:val="2"/>
          <w:numId w:val="34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MS Mincho"/>
          <w:sz w:val="20"/>
          <w:szCs w:val="20"/>
        </w:rPr>
      </w:pPr>
      <w:r w:rsidRPr="00227F53">
        <w:rPr>
          <w:rFonts w:eastAsia="MS Mincho"/>
          <w:sz w:val="20"/>
          <w:szCs w:val="20"/>
        </w:rPr>
        <w:t>Working assumption: One DCI message is located within one control resource set</w:t>
      </w:r>
    </w:p>
    <w:p w14:paraId="68244F3D" w14:textId="77777777" w:rsidR="00483B8B" w:rsidRPr="00227F53" w:rsidRDefault="00483B8B" w:rsidP="00483B8B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MS Mincho"/>
          <w:sz w:val="20"/>
          <w:szCs w:val="20"/>
        </w:rPr>
      </w:pPr>
      <w:r w:rsidRPr="00227F53">
        <w:rPr>
          <w:rFonts w:eastAsia="MS Mincho"/>
          <w:sz w:val="20"/>
          <w:szCs w:val="20"/>
        </w:rPr>
        <w:t>In frequency-domain, a PRB is the resource unit size (may or may not including DM-RS) for control channel</w:t>
      </w:r>
    </w:p>
    <w:p w14:paraId="197D6141" w14:textId="77777777" w:rsidR="00483B8B" w:rsidRPr="00227F53" w:rsidRDefault="00483B8B" w:rsidP="00483B8B">
      <w:pPr>
        <w:pStyle w:val="BodyText"/>
        <w:spacing w:after="0"/>
        <w:rPr>
          <w:rFonts w:eastAsia="MS Mincho"/>
          <w:szCs w:val="20"/>
          <w:lang w:eastAsia="ja-JP"/>
        </w:rPr>
      </w:pPr>
      <w:r w:rsidRPr="00227F53">
        <w:rPr>
          <w:rFonts w:eastAsia="MS Mincho" w:hint="eastAsia"/>
          <w:szCs w:val="20"/>
          <w:highlight w:val="green"/>
          <w:lang w:eastAsia="ja-JP"/>
        </w:rPr>
        <w:t>Agreements:</w:t>
      </w:r>
    </w:p>
    <w:p w14:paraId="7A08CB28" w14:textId="77777777" w:rsidR="00483B8B" w:rsidRPr="00227F53" w:rsidRDefault="00483B8B" w:rsidP="00483B8B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sz w:val="20"/>
          <w:szCs w:val="20"/>
        </w:rPr>
      </w:pPr>
      <w:r w:rsidRPr="00227F53">
        <w:rPr>
          <w:sz w:val="20"/>
          <w:szCs w:val="20"/>
        </w:rPr>
        <w:t xml:space="preserve">The </w:t>
      </w:r>
      <w:r w:rsidRPr="00227F53">
        <w:rPr>
          <w:rFonts w:hint="eastAsia"/>
          <w:sz w:val="20"/>
          <w:szCs w:val="20"/>
        </w:rPr>
        <w:t>time/freq. resource</w:t>
      </w:r>
      <w:r w:rsidRPr="00227F53">
        <w:rPr>
          <w:sz w:val="20"/>
          <w:szCs w:val="20"/>
        </w:rPr>
        <w:t xml:space="preserve"> containing at least </w:t>
      </w:r>
      <w:r w:rsidRPr="00227F53">
        <w:rPr>
          <w:rFonts w:hint="eastAsia"/>
          <w:sz w:val="20"/>
          <w:szCs w:val="20"/>
        </w:rPr>
        <w:t>one</w:t>
      </w:r>
      <w:r w:rsidRPr="00227F53">
        <w:rPr>
          <w:sz w:val="20"/>
          <w:szCs w:val="20"/>
        </w:rPr>
        <w:t xml:space="preserve"> search space is obtained from </w:t>
      </w:r>
      <w:r w:rsidRPr="00227F53">
        <w:rPr>
          <w:rFonts w:hint="eastAsia"/>
          <w:sz w:val="20"/>
          <w:szCs w:val="20"/>
        </w:rPr>
        <w:t>MIB/</w:t>
      </w:r>
      <w:r w:rsidRPr="00227F53">
        <w:rPr>
          <w:sz w:val="20"/>
          <w:szCs w:val="20"/>
        </w:rPr>
        <w:t>system information</w:t>
      </w:r>
      <w:r w:rsidRPr="00227F53">
        <w:rPr>
          <w:rFonts w:hint="eastAsia"/>
          <w:sz w:val="20"/>
          <w:szCs w:val="20"/>
        </w:rPr>
        <w:t>/</w:t>
      </w:r>
      <w:r w:rsidRPr="00227F53">
        <w:rPr>
          <w:sz w:val="20"/>
          <w:szCs w:val="20"/>
        </w:rPr>
        <w:t>implicitly</w:t>
      </w:r>
      <w:r w:rsidRPr="00227F53">
        <w:rPr>
          <w:rFonts w:hint="eastAsia"/>
          <w:sz w:val="20"/>
          <w:szCs w:val="20"/>
        </w:rPr>
        <w:t xml:space="preserve"> derived from initial access information</w:t>
      </w:r>
    </w:p>
    <w:p w14:paraId="3E66C7D9" w14:textId="77777777" w:rsidR="00483B8B" w:rsidRPr="00227F53" w:rsidRDefault="00483B8B" w:rsidP="00483B8B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sz w:val="20"/>
          <w:szCs w:val="20"/>
        </w:rPr>
      </w:pPr>
      <w:r w:rsidRPr="00227F53">
        <w:rPr>
          <w:rFonts w:hint="eastAsia"/>
          <w:sz w:val="20"/>
          <w:szCs w:val="20"/>
        </w:rPr>
        <w:t>Time/freq. resource</w:t>
      </w:r>
      <w:r w:rsidRPr="00227F53">
        <w:rPr>
          <w:sz w:val="20"/>
          <w:szCs w:val="20"/>
        </w:rPr>
        <w:t xml:space="preserve"> containing </w:t>
      </w:r>
      <w:r w:rsidRPr="00227F53">
        <w:rPr>
          <w:rFonts w:hint="eastAsia"/>
          <w:sz w:val="20"/>
          <w:szCs w:val="20"/>
        </w:rPr>
        <w:t>additional</w:t>
      </w:r>
      <w:r w:rsidRPr="00227F53">
        <w:rPr>
          <w:sz w:val="20"/>
          <w:szCs w:val="20"/>
        </w:rPr>
        <w:t xml:space="preserve"> search spaces, can be configured using dedicated RRC signaling</w:t>
      </w:r>
    </w:p>
    <w:p w14:paraId="080DB5AA" w14:textId="77777777" w:rsidR="00483B8B" w:rsidRPr="00227F53" w:rsidRDefault="00483B8B" w:rsidP="00483B8B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sz w:val="20"/>
          <w:szCs w:val="20"/>
        </w:rPr>
      </w:pPr>
      <w:r w:rsidRPr="00227F53">
        <w:rPr>
          <w:rFonts w:hint="eastAsia"/>
          <w:sz w:val="20"/>
          <w:szCs w:val="20"/>
        </w:rPr>
        <w:t>Other solution is not precluded</w:t>
      </w:r>
    </w:p>
    <w:p w14:paraId="10FEE878" w14:textId="77777777" w:rsidR="00483B8B" w:rsidRPr="00227F53" w:rsidRDefault="00483B8B" w:rsidP="00483B8B">
      <w:pPr>
        <w:rPr>
          <w:rFonts w:eastAsia="MS Mincho"/>
          <w:lang w:eastAsia="ja-JP"/>
        </w:rPr>
      </w:pPr>
      <w:r w:rsidRPr="00227F53">
        <w:rPr>
          <w:rFonts w:eastAsia="MS Mincho" w:hint="eastAsia"/>
          <w:highlight w:val="green"/>
          <w:lang w:eastAsia="ja-JP"/>
        </w:rPr>
        <w:t>Agreements:</w:t>
      </w:r>
    </w:p>
    <w:p w14:paraId="1E28EF6E" w14:textId="77777777" w:rsidR="00483B8B" w:rsidRPr="00227F53" w:rsidRDefault="00483B8B" w:rsidP="00483B8B">
      <w:pPr>
        <w:pStyle w:val="BodyText"/>
        <w:numPr>
          <w:ilvl w:val="0"/>
          <w:numId w:val="32"/>
        </w:numPr>
        <w:overflowPunct/>
        <w:autoSpaceDE/>
        <w:autoSpaceDN/>
        <w:adjustRightInd/>
        <w:spacing w:after="0"/>
        <w:textAlignment w:val="auto"/>
        <w:rPr>
          <w:szCs w:val="20"/>
        </w:rPr>
      </w:pPr>
      <w:r w:rsidRPr="00227F53">
        <w:rPr>
          <w:szCs w:val="20"/>
        </w:rPr>
        <w:t xml:space="preserve">The reference signals in </w:t>
      </w:r>
      <w:r w:rsidRPr="00227F53">
        <w:rPr>
          <w:rFonts w:eastAsia="MS Mincho" w:hint="eastAsia"/>
          <w:szCs w:val="20"/>
          <w:lang w:eastAsia="ja-JP"/>
        </w:rPr>
        <w:t>at least one</w:t>
      </w:r>
      <w:r w:rsidRPr="00227F53">
        <w:rPr>
          <w:szCs w:val="20"/>
        </w:rPr>
        <w:t xml:space="preserve"> search space do not depend on the RNTI or UE-identity</w:t>
      </w:r>
    </w:p>
    <w:p w14:paraId="23760C67" w14:textId="77777777" w:rsidR="00483B8B" w:rsidRPr="00227F53" w:rsidRDefault="00483B8B" w:rsidP="00483B8B">
      <w:pPr>
        <w:pStyle w:val="BodyText"/>
        <w:numPr>
          <w:ilvl w:val="1"/>
          <w:numId w:val="32"/>
        </w:numPr>
        <w:overflowPunct/>
        <w:autoSpaceDE/>
        <w:autoSpaceDN/>
        <w:adjustRightInd/>
        <w:spacing w:after="0"/>
        <w:textAlignment w:val="auto"/>
        <w:rPr>
          <w:szCs w:val="20"/>
        </w:rPr>
      </w:pPr>
      <w:r w:rsidRPr="00227F53">
        <w:rPr>
          <w:rFonts w:eastAsia="MS Mincho" w:hint="eastAsia"/>
          <w:szCs w:val="20"/>
          <w:lang w:eastAsia="ja-JP"/>
        </w:rPr>
        <w:t>FFS:</w:t>
      </w:r>
      <w:r w:rsidRPr="00227F53">
        <w:rPr>
          <w:szCs w:val="20"/>
        </w:rPr>
        <w:t xml:space="preserve"> The reference signals in </w:t>
      </w:r>
      <w:r w:rsidRPr="00227F53">
        <w:rPr>
          <w:rFonts w:eastAsia="MS Mincho" w:hint="eastAsia"/>
          <w:szCs w:val="20"/>
          <w:lang w:eastAsia="ja-JP"/>
        </w:rPr>
        <w:t>at least an additional</w:t>
      </w:r>
      <w:r w:rsidRPr="00227F53">
        <w:rPr>
          <w:szCs w:val="20"/>
        </w:rPr>
        <w:t xml:space="preserve"> search space do not depend on the RNTI or UE-identity</w:t>
      </w:r>
    </w:p>
    <w:p w14:paraId="02C6A32A" w14:textId="77777777" w:rsidR="00483B8B" w:rsidRPr="00227F53" w:rsidRDefault="00483B8B" w:rsidP="00483B8B">
      <w:pPr>
        <w:pStyle w:val="BodyText"/>
        <w:numPr>
          <w:ilvl w:val="0"/>
          <w:numId w:val="32"/>
        </w:numPr>
        <w:overflowPunct/>
        <w:autoSpaceDE/>
        <w:autoSpaceDN/>
        <w:adjustRightInd/>
        <w:spacing w:after="0"/>
        <w:textAlignment w:val="auto"/>
        <w:rPr>
          <w:szCs w:val="20"/>
        </w:rPr>
      </w:pPr>
      <w:r w:rsidRPr="00227F53">
        <w:rPr>
          <w:rFonts w:eastAsia="MS Mincho" w:hint="eastAsia"/>
          <w:szCs w:val="20"/>
          <w:lang w:eastAsia="ja-JP"/>
        </w:rPr>
        <w:t xml:space="preserve">FFS: </w:t>
      </w:r>
      <w:r w:rsidRPr="00227F53">
        <w:rPr>
          <w:szCs w:val="20"/>
        </w:rPr>
        <w:t xml:space="preserve">For one UE, </w:t>
      </w:r>
      <w:r w:rsidRPr="00227F53">
        <w:rPr>
          <w:rFonts w:eastAsia="MS Mincho" w:hint="eastAsia"/>
          <w:szCs w:val="20"/>
          <w:lang w:eastAsia="ja-JP"/>
        </w:rPr>
        <w:t xml:space="preserve">there is the case </w:t>
      </w:r>
      <w:r w:rsidRPr="00227F53">
        <w:rPr>
          <w:szCs w:val="20"/>
        </w:rPr>
        <w:t>the channel estimate obtained for one R</w:t>
      </w:r>
      <w:r w:rsidRPr="00227F53">
        <w:rPr>
          <w:rFonts w:eastAsia="MS Mincho" w:hint="eastAsia"/>
          <w:szCs w:val="20"/>
          <w:lang w:eastAsia="ja-JP"/>
        </w:rPr>
        <w:t>E</w:t>
      </w:r>
      <w:r w:rsidRPr="00227F53">
        <w:rPr>
          <w:szCs w:val="20"/>
        </w:rPr>
        <w:t xml:space="preserve"> </w:t>
      </w:r>
      <w:r w:rsidRPr="00227F53">
        <w:rPr>
          <w:rFonts w:eastAsia="MS Mincho" w:hint="eastAsia"/>
          <w:szCs w:val="20"/>
          <w:lang w:eastAsia="ja-JP"/>
        </w:rPr>
        <w:t>is</w:t>
      </w:r>
      <w:r w:rsidRPr="00227F53">
        <w:rPr>
          <w:szCs w:val="20"/>
        </w:rPr>
        <w:t xml:space="preserve"> reusable across multiple blind decodings involving that R</w:t>
      </w:r>
      <w:r w:rsidRPr="00227F53">
        <w:rPr>
          <w:rFonts w:eastAsia="MS Mincho" w:hint="eastAsia"/>
          <w:szCs w:val="20"/>
          <w:lang w:eastAsia="ja-JP"/>
        </w:rPr>
        <w:t>E</w:t>
      </w:r>
    </w:p>
    <w:p w14:paraId="196E2A46" w14:textId="77777777" w:rsidR="00483B8B" w:rsidRPr="00227F53" w:rsidRDefault="00483B8B" w:rsidP="00483B8B">
      <w:pPr>
        <w:pStyle w:val="BodyText"/>
        <w:numPr>
          <w:ilvl w:val="0"/>
          <w:numId w:val="32"/>
        </w:numPr>
        <w:overflowPunct/>
        <w:autoSpaceDE/>
        <w:autoSpaceDN/>
        <w:adjustRightInd/>
        <w:spacing w:after="0"/>
        <w:textAlignment w:val="auto"/>
        <w:rPr>
          <w:szCs w:val="20"/>
        </w:rPr>
      </w:pPr>
      <w:r w:rsidRPr="00227F53">
        <w:rPr>
          <w:szCs w:val="20"/>
        </w:rPr>
        <w:t xml:space="preserve">In </w:t>
      </w:r>
      <w:r w:rsidRPr="00227F53">
        <w:rPr>
          <w:rFonts w:eastAsia="MS Mincho" w:hint="eastAsia"/>
          <w:szCs w:val="20"/>
          <w:lang w:eastAsia="ja-JP"/>
        </w:rPr>
        <w:t>an additional</w:t>
      </w:r>
      <w:r w:rsidRPr="00227F53">
        <w:rPr>
          <w:szCs w:val="20"/>
        </w:rPr>
        <w:t xml:space="preserve"> search space, reference signals can be </w:t>
      </w:r>
      <w:r w:rsidRPr="00227F53">
        <w:rPr>
          <w:rFonts w:eastAsia="MS Mincho" w:hint="eastAsia"/>
          <w:szCs w:val="20"/>
          <w:lang w:eastAsia="ja-JP"/>
        </w:rPr>
        <w:t>configured, FFS: explicitly or implicitly</w:t>
      </w:r>
    </w:p>
    <w:p w14:paraId="5EA4EDE1" w14:textId="77777777" w:rsidR="00D33E43" w:rsidRDefault="00D33E43" w:rsidP="00143118">
      <w:pPr>
        <w:jc w:val="both"/>
        <w:rPr>
          <w:szCs w:val="22"/>
        </w:rPr>
      </w:pPr>
    </w:p>
    <w:p w14:paraId="0B3BE98D" w14:textId="44A56819" w:rsidR="0044173B" w:rsidRDefault="0058515A" w:rsidP="0044173B">
      <w:pPr>
        <w:pStyle w:val="Heading1"/>
      </w:pPr>
      <w:r>
        <w:t>Control Resource Set/Search Space</w:t>
      </w:r>
    </w:p>
    <w:p w14:paraId="58716D58" w14:textId="77777777" w:rsidR="00FC6F9E" w:rsidRDefault="00FC6F9E" w:rsidP="00FC6F9E">
      <w:pPr>
        <w:pStyle w:val="Heading2"/>
      </w:pPr>
      <w:r>
        <w:t>Broadcast/Unicast PDCCH</w:t>
      </w:r>
    </w:p>
    <w:p w14:paraId="127CA489" w14:textId="36967F2E" w:rsidR="00FC6F9E" w:rsidRDefault="00FC6F9E" w:rsidP="00FC6F9E">
      <w:pPr>
        <w:jc w:val="both"/>
        <w:rPr>
          <w:szCs w:val="22"/>
        </w:rPr>
      </w:pPr>
      <w:r>
        <w:rPr>
          <w:szCs w:val="22"/>
        </w:rPr>
        <w:t>RAN2 agreed that minimum SIB (MSIB) needs to be broadcast [</w:t>
      </w:r>
      <w:r w:rsidR="001F16EB">
        <w:rPr>
          <w:szCs w:val="22"/>
        </w:rPr>
        <w:t>1</w:t>
      </w:r>
      <w:r>
        <w:rPr>
          <w:szCs w:val="22"/>
        </w:rPr>
        <w:t>]. It implies that NR need to support both broadcast/unicast PDCCH.</w:t>
      </w:r>
    </w:p>
    <w:p w14:paraId="52C0CDE5" w14:textId="2B97C1EC" w:rsidR="00FC6F9E" w:rsidRDefault="00FC6F9E" w:rsidP="00FC6F9E">
      <w:pPr>
        <w:jc w:val="both"/>
        <w:rPr>
          <w:szCs w:val="22"/>
        </w:rPr>
      </w:pPr>
      <w:r>
        <w:rPr>
          <w:szCs w:val="22"/>
        </w:rPr>
        <w:t xml:space="preserve">For broadcast PDCCH, it is expected that the coverage should </w:t>
      </w:r>
      <w:r w:rsidR="00CE5CFD">
        <w:rPr>
          <w:szCs w:val="22"/>
        </w:rPr>
        <w:t xml:space="preserve">be </w:t>
      </w:r>
      <w:r>
        <w:rPr>
          <w:szCs w:val="22"/>
        </w:rPr>
        <w:t xml:space="preserve">either omni or pseudo-omni. For unicast PDCCH, it can be omni/pseudo-omni or </w:t>
      </w:r>
      <w:r w:rsidR="008441B7">
        <w:rPr>
          <w:szCs w:val="22"/>
        </w:rPr>
        <w:t>beamformed for the targeted UE.</w:t>
      </w:r>
    </w:p>
    <w:p w14:paraId="49A7B7E3" w14:textId="77777777" w:rsidR="00FC6F9E" w:rsidRPr="0048221C" w:rsidRDefault="00FC6F9E" w:rsidP="00FC6F9E">
      <w:pPr>
        <w:pStyle w:val="ListParagraph"/>
        <w:numPr>
          <w:ilvl w:val="0"/>
          <w:numId w:val="30"/>
        </w:numPr>
        <w:jc w:val="both"/>
        <w:rPr>
          <w:rFonts w:ascii="Times New Roman" w:hAnsi="Times New Roman"/>
          <w:sz w:val="20"/>
          <w:szCs w:val="20"/>
        </w:rPr>
      </w:pPr>
      <w:r w:rsidRPr="0048221C">
        <w:rPr>
          <w:rFonts w:ascii="Times New Roman" w:hAnsi="Times New Roman"/>
          <w:sz w:val="20"/>
          <w:szCs w:val="20"/>
        </w:rPr>
        <w:t>Broadcast PDCCH</w:t>
      </w:r>
    </w:p>
    <w:p w14:paraId="4246564F" w14:textId="6FF454DD" w:rsidR="00FC6F9E" w:rsidRPr="0048221C" w:rsidRDefault="00FC6F9E" w:rsidP="00FC6F9E">
      <w:pPr>
        <w:pStyle w:val="ListParagraph"/>
        <w:numPr>
          <w:ilvl w:val="1"/>
          <w:numId w:val="30"/>
        </w:numPr>
        <w:jc w:val="both"/>
        <w:rPr>
          <w:rFonts w:ascii="Times New Roman" w:hAnsi="Times New Roman"/>
          <w:sz w:val="20"/>
          <w:szCs w:val="20"/>
        </w:rPr>
      </w:pPr>
      <w:r w:rsidRPr="0048221C">
        <w:rPr>
          <w:rFonts w:ascii="Times New Roman" w:hAnsi="Times New Roman"/>
          <w:sz w:val="20"/>
          <w:szCs w:val="20"/>
        </w:rPr>
        <w:t>Carries</w:t>
      </w:r>
      <w:r w:rsidR="00EC5B68">
        <w:rPr>
          <w:rFonts w:ascii="Times New Roman" w:hAnsi="Times New Roman"/>
          <w:sz w:val="20"/>
          <w:szCs w:val="20"/>
        </w:rPr>
        <w:t xml:space="preserve"> DL grant for</w:t>
      </w:r>
      <w:r w:rsidRPr="0048221C">
        <w:rPr>
          <w:rFonts w:ascii="Times New Roman" w:hAnsi="Times New Roman"/>
          <w:sz w:val="20"/>
          <w:szCs w:val="20"/>
        </w:rPr>
        <w:t xml:space="preserve"> MSIB</w:t>
      </w:r>
    </w:p>
    <w:p w14:paraId="1F69DC2F" w14:textId="77777777" w:rsidR="00FC6F9E" w:rsidRPr="0048221C" w:rsidRDefault="00FC6F9E" w:rsidP="00FC6F9E">
      <w:pPr>
        <w:pStyle w:val="ListParagraph"/>
        <w:numPr>
          <w:ilvl w:val="1"/>
          <w:numId w:val="30"/>
        </w:numPr>
        <w:jc w:val="both"/>
        <w:rPr>
          <w:rFonts w:ascii="Times New Roman" w:hAnsi="Times New Roman"/>
          <w:sz w:val="20"/>
          <w:szCs w:val="20"/>
        </w:rPr>
      </w:pPr>
      <w:r w:rsidRPr="0048221C">
        <w:rPr>
          <w:rFonts w:ascii="Times New Roman" w:hAnsi="Times New Roman"/>
          <w:sz w:val="20"/>
          <w:szCs w:val="20"/>
        </w:rPr>
        <w:lastRenderedPageBreak/>
        <w:t>Reference signals can be potentially shared over multiple broadcast PDCCHs.</w:t>
      </w:r>
    </w:p>
    <w:p w14:paraId="3B30B57D" w14:textId="77777777" w:rsidR="00FC6F9E" w:rsidRPr="0048221C" w:rsidRDefault="00FC6F9E" w:rsidP="00FC6F9E">
      <w:pPr>
        <w:pStyle w:val="ListParagraph"/>
        <w:numPr>
          <w:ilvl w:val="0"/>
          <w:numId w:val="30"/>
        </w:numPr>
        <w:jc w:val="both"/>
        <w:rPr>
          <w:rFonts w:ascii="Times New Roman" w:hAnsi="Times New Roman"/>
          <w:sz w:val="20"/>
          <w:szCs w:val="20"/>
        </w:rPr>
      </w:pPr>
      <w:r w:rsidRPr="0048221C">
        <w:rPr>
          <w:rFonts w:ascii="Times New Roman" w:hAnsi="Times New Roman"/>
          <w:sz w:val="20"/>
          <w:szCs w:val="20"/>
        </w:rPr>
        <w:t>Unicast PDCCH</w:t>
      </w:r>
    </w:p>
    <w:p w14:paraId="56AF6203" w14:textId="0B688BB6" w:rsidR="00FC6F9E" w:rsidRPr="0048221C" w:rsidRDefault="00FC6F9E" w:rsidP="00FC6F9E">
      <w:pPr>
        <w:pStyle w:val="ListParagraph"/>
        <w:numPr>
          <w:ilvl w:val="1"/>
          <w:numId w:val="30"/>
        </w:numPr>
        <w:jc w:val="both"/>
        <w:rPr>
          <w:rFonts w:ascii="Times New Roman" w:hAnsi="Times New Roman"/>
          <w:sz w:val="20"/>
          <w:szCs w:val="20"/>
        </w:rPr>
      </w:pPr>
      <w:r w:rsidRPr="0048221C">
        <w:rPr>
          <w:rFonts w:ascii="Times New Roman" w:hAnsi="Times New Roman"/>
          <w:sz w:val="20"/>
          <w:szCs w:val="20"/>
        </w:rPr>
        <w:t xml:space="preserve">Carries </w:t>
      </w:r>
      <w:r w:rsidR="00EC5B68">
        <w:rPr>
          <w:rFonts w:ascii="Times New Roman" w:hAnsi="Times New Roman"/>
          <w:sz w:val="20"/>
          <w:szCs w:val="20"/>
        </w:rPr>
        <w:t xml:space="preserve">DL grant for </w:t>
      </w:r>
      <w:r w:rsidRPr="0048221C">
        <w:rPr>
          <w:rFonts w:ascii="Times New Roman" w:hAnsi="Times New Roman"/>
          <w:sz w:val="20"/>
          <w:szCs w:val="20"/>
        </w:rPr>
        <w:t>OSIB, data control</w:t>
      </w:r>
    </w:p>
    <w:p w14:paraId="214FF29F" w14:textId="14E84F76" w:rsidR="00FC6F9E" w:rsidRPr="0048221C" w:rsidRDefault="00FC6F9E" w:rsidP="00FC6F9E">
      <w:pPr>
        <w:pStyle w:val="ListParagraph"/>
        <w:numPr>
          <w:ilvl w:val="1"/>
          <w:numId w:val="30"/>
        </w:numPr>
        <w:jc w:val="both"/>
        <w:rPr>
          <w:rFonts w:ascii="Times New Roman" w:hAnsi="Times New Roman"/>
          <w:sz w:val="20"/>
          <w:szCs w:val="20"/>
        </w:rPr>
      </w:pPr>
      <w:r w:rsidRPr="0048221C">
        <w:rPr>
          <w:rFonts w:ascii="Times New Roman" w:hAnsi="Times New Roman"/>
          <w:sz w:val="20"/>
          <w:szCs w:val="20"/>
        </w:rPr>
        <w:t>Reference signals may not be shared over multiple unicast PDCCHs targeting different UEs, given that they may be on different beams</w:t>
      </w:r>
      <w:r w:rsidR="000058EB">
        <w:rPr>
          <w:rFonts w:ascii="Times New Roman" w:hAnsi="Times New Roman"/>
          <w:sz w:val="20"/>
          <w:szCs w:val="20"/>
        </w:rPr>
        <w:t>, unless UE is informed of shared RS</w:t>
      </w:r>
      <w:r w:rsidRPr="0048221C">
        <w:rPr>
          <w:rFonts w:ascii="Times New Roman" w:hAnsi="Times New Roman"/>
          <w:sz w:val="20"/>
          <w:szCs w:val="20"/>
        </w:rPr>
        <w:t>.</w:t>
      </w:r>
    </w:p>
    <w:p w14:paraId="1F891AB0" w14:textId="77777777" w:rsidR="00FC6F9E" w:rsidRDefault="00FC6F9E" w:rsidP="00FC6F9E">
      <w:pPr>
        <w:jc w:val="both"/>
        <w:rPr>
          <w:szCs w:val="22"/>
        </w:rPr>
      </w:pPr>
    </w:p>
    <w:p w14:paraId="69D18DE1" w14:textId="5D665D98" w:rsidR="00FC6F9E" w:rsidRDefault="008441B7" w:rsidP="00FC6F9E">
      <w:pPr>
        <w:pStyle w:val="Heading2"/>
      </w:pPr>
      <w:r>
        <w:t>Control Resource Set</w:t>
      </w:r>
      <w:r w:rsidR="005E6F9C">
        <w:t xml:space="preserve"> and Search Space</w:t>
      </w:r>
    </w:p>
    <w:p w14:paraId="273CD691" w14:textId="2A39689F" w:rsidR="00FC6F9E" w:rsidRDefault="00FC6F9E" w:rsidP="00FC6F9E">
      <w:pPr>
        <w:jc w:val="both"/>
        <w:rPr>
          <w:szCs w:val="22"/>
        </w:rPr>
      </w:pPr>
      <w:r>
        <w:rPr>
          <w:szCs w:val="22"/>
        </w:rPr>
        <w:t xml:space="preserve">NR is expected to have a larger system bandwidth (BW) compared to LTE. In LTE, PDCCH spans across the entire system bandwidth. </w:t>
      </w:r>
      <w:r w:rsidRPr="001840D8">
        <w:rPr>
          <w:szCs w:val="22"/>
        </w:rPr>
        <w:t xml:space="preserve">DL control BW that a UE has to process has large implications on processing </w:t>
      </w:r>
      <w:r w:rsidR="00CE5CFD">
        <w:rPr>
          <w:szCs w:val="22"/>
        </w:rPr>
        <w:t xml:space="preserve">complexity </w:t>
      </w:r>
      <w:r w:rsidRPr="001840D8">
        <w:rPr>
          <w:szCs w:val="22"/>
        </w:rPr>
        <w:t>and power</w:t>
      </w:r>
      <w:r w:rsidR="00CE5CFD">
        <w:rPr>
          <w:szCs w:val="22"/>
        </w:rPr>
        <w:t xml:space="preserve"> consumption</w:t>
      </w:r>
      <w:r>
        <w:rPr>
          <w:szCs w:val="22"/>
        </w:rPr>
        <w:t>. NR should allow UE to operate with BW which is smaller than the system BW. In that sense, n</w:t>
      </w:r>
      <w:r w:rsidRPr="001840D8">
        <w:rPr>
          <w:szCs w:val="22"/>
        </w:rPr>
        <w:t xml:space="preserve">ot all UE categories </w:t>
      </w:r>
      <w:r>
        <w:rPr>
          <w:szCs w:val="22"/>
        </w:rPr>
        <w:t>may be</w:t>
      </w:r>
      <w:r w:rsidRPr="001840D8">
        <w:rPr>
          <w:szCs w:val="22"/>
        </w:rPr>
        <w:t xml:space="preserve"> capable of supporting the </w:t>
      </w:r>
      <w:r>
        <w:rPr>
          <w:szCs w:val="22"/>
        </w:rPr>
        <w:t>entire system</w:t>
      </w:r>
      <w:r w:rsidRPr="001840D8">
        <w:rPr>
          <w:szCs w:val="22"/>
        </w:rPr>
        <w:t xml:space="preserve"> BW</w:t>
      </w:r>
      <w:r>
        <w:rPr>
          <w:szCs w:val="22"/>
        </w:rPr>
        <w:t xml:space="preserve"> supported by gNB. Thus, it is proposed that the carrier BW (system BW) be divided into subbands with 5/10/20 MHz </w:t>
      </w:r>
      <w:r w:rsidR="000058EB">
        <w:rPr>
          <w:szCs w:val="22"/>
        </w:rPr>
        <w:t xml:space="preserve">or larger </w:t>
      </w:r>
      <w:r>
        <w:rPr>
          <w:szCs w:val="22"/>
        </w:rPr>
        <w:t xml:space="preserve">granularity. </w:t>
      </w:r>
      <w:r w:rsidR="000058EB">
        <w:rPr>
          <w:szCs w:val="22"/>
        </w:rPr>
        <w:t xml:space="preserve">Subband smaller than 5 MHz may not be needed and also is not desirable from frequency diversity perspective. </w:t>
      </w:r>
      <w:r w:rsidR="00104653">
        <w:rPr>
          <w:szCs w:val="22"/>
        </w:rPr>
        <w:t>It is desirable that a</w:t>
      </w:r>
      <w:r w:rsidR="008A556D">
        <w:rPr>
          <w:szCs w:val="22"/>
        </w:rPr>
        <w:t xml:space="preserve"> subband </w:t>
      </w:r>
      <w:r w:rsidR="00104653">
        <w:rPr>
          <w:szCs w:val="22"/>
        </w:rPr>
        <w:t>is</w:t>
      </w:r>
      <w:r w:rsidR="008A556D">
        <w:rPr>
          <w:szCs w:val="22"/>
        </w:rPr>
        <w:t xml:space="preserve"> localized in frequency domain for UE power saving purpose. </w:t>
      </w:r>
      <w:r w:rsidR="00104653">
        <w:rPr>
          <w:szCs w:val="22"/>
        </w:rPr>
        <w:t xml:space="preserve">On the other hand, control resource set was defined with the flexibility </w:t>
      </w:r>
      <w:r w:rsidR="003B7A08">
        <w:rPr>
          <w:szCs w:val="22"/>
        </w:rPr>
        <w:t>to allow localized/distributed allocation in frequency.</w:t>
      </w:r>
    </w:p>
    <w:p w14:paraId="776F7107" w14:textId="351BCCCE" w:rsidR="003B7A08" w:rsidRDefault="003B7A08" w:rsidP="00FC6F9E">
      <w:pPr>
        <w:jc w:val="both"/>
        <w:rPr>
          <w:szCs w:val="22"/>
        </w:rPr>
      </w:pPr>
      <w:r>
        <w:rPr>
          <w:szCs w:val="22"/>
        </w:rPr>
        <w:t>There can be two categories of control resource sets: Common control resource set and UE-specific control resource set. Note that this is different from common search space and UE-specific search space.</w:t>
      </w:r>
    </w:p>
    <w:p w14:paraId="068CDC3F" w14:textId="27975165" w:rsidR="003B7A08" w:rsidRPr="00891FA4" w:rsidRDefault="003B7A08" w:rsidP="003B7A08">
      <w:pPr>
        <w:pStyle w:val="ListParagraph"/>
        <w:numPr>
          <w:ilvl w:val="0"/>
          <w:numId w:val="35"/>
        </w:numPr>
        <w:jc w:val="both"/>
        <w:rPr>
          <w:rFonts w:ascii="Times New Roman" w:hAnsi="Times New Roman"/>
          <w:sz w:val="20"/>
        </w:rPr>
      </w:pPr>
      <w:r w:rsidRPr="00891FA4">
        <w:rPr>
          <w:rFonts w:ascii="Times New Roman" w:hAnsi="Times New Roman"/>
          <w:sz w:val="20"/>
        </w:rPr>
        <w:t>Common control resource set</w:t>
      </w:r>
    </w:p>
    <w:p w14:paraId="7784AA4E" w14:textId="1C9BE65B" w:rsidR="003B7A08" w:rsidRPr="00891FA4" w:rsidRDefault="003B7A08" w:rsidP="003B7A08">
      <w:pPr>
        <w:pStyle w:val="ListParagraph"/>
        <w:numPr>
          <w:ilvl w:val="1"/>
          <w:numId w:val="35"/>
        </w:numPr>
        <w:jc w:val="both"/>
        <w:rPr>
          <w:rFonts w:ascii="Times New Roman" w:hAnsi="Times New Roman"/>
          <w:sz w:val="20"/>
        </w:rPr>
      </w:pPr>
      <w:r w:rsidRPr="00891FA4">
        <w:rPr>
          <w:rFonts w:ascii="Times New Roman" w:hAnsi="Times New Roman"/>
          <w:sz w:val="20"/>
        </w:rPr>
        <w:t>Common control resource set is the resource set the served UEs shall monitor.</w:t>
      </w:r>
    </w:p>
    <w:p w14:paraId="55BF3293" w14:textId="7E1E477E" w:rsidR="003B7A08" w:rsidRPr="00891FA4" w:rsidRDefault="009A31C6" w:rsidP="003B7A08">
      <w:pPr>
        <w:pStyle w:val="ListParagraph"/>
        <w:numPr>
          <w:ilvl w:val="1"/>
          <w:numId w:val="35"/>
        </w:numPr>
        <w:jc w:val="both"/>
        <w:rPr>
          <w:rFonts w:ascii="Times New Roman" w:hAnsi="Times New Roman"/>
          <w:sz w:val="20"/>
        </w:rPr>
      </w:pPr>
      <w:r w:rsidRPr="00891FA4">
        <w:rPr>
          <w:rFonts w:ascii="Times New Roman" w:hAnsi="Times New Roman"/>
          <w:sz w:val="20"/>
        </w:rPr>
        <w:t>Common control resource set can have common control search space and UE-specific control search space.</w:t>
      </w:r>
    </w:p>
    <w:p w14:paraId="23E1019C" w14:textId="5C109F04" w:rsidR="009A31C6" w:rsidRPr="00891FA4" w:rsidRDefault="009A31C6" w:rsidP="009A31C6">
      <w:pPr>
        <w:pStyle w:val="ListParagraph"/>
        <w:numPr>
          <w:ilvl w:val="2"/>
          <w:numId w:val="35"/>
        </w:numPr>
        <w:jc w:val="both"/>
        <w:rPr>
          <w:rFonts w:ascii="Times New Roman" w:hAnsi="Times New Roman"/>
          <w:sz w:val="20"/>
        </w:rPr>
      </w:pPr>
      <w:r w:rsidRPr="00891FA4">
        <w:rPr>
          <w:rFonts w:ascii="Times New Roman" w:hAnsi="Times New Roman"/>
          <w:sz w:val="20"/>
        </w:rPr>
        <w:t>Common control search space will be configured by MIB.</w:t>
      </w:r>
    </w:p>
    <w:p w14:paraId="2B2B49CF" w14:textId="497BA590" w:rsidR="009A31C6" w:rsidRPr="00891FA4" w:rsidRDefault="009A31C6" w:rsidP="009A31C6">
      <w:pPr>
        <w:pStyle w:val="ListParagraph"/>
        <w:numPr>
          <w:ilvl w:val="3"/>
          <w:numId w:val="35"/>
        </w:numPr>
        <w:jc w:val="both"/>
        <w:rPr>
          <w:rFonts w:ascii="Times New Roman" w:hAnsi="Times New Roman"/>
          <w:sz w:val="20"/>
        </w:rPr>
      </w:pPr>
      <w:r w:rsidRPr="00891FA4">
        <w:rPr>
          <w:rFonts w:ascii="Times New Roman" w:hAnsi="Times New Roman"/>
          <w:sz w:val="20"/>
        </w:rPr>
        <w:t>Broadcast PDCCH shall be transmitted in common search space.</w:t>
      </w:r>
    </w:p>
    <w:p w14:paraId="3B217AFE" w14:textId="63A60F56" w:rsidR="005E6F9C" w:rsidRPr="00891FA4" w:rsidRDefault="005E6F9C" w:rsidP="009A31C6">
      <w:pPr>
        <w:pStyle w:val="ListParagraph"/>
        <w:numPr>
          <w:ilvl w:val="3"/>
          <w:numId w:val="35"/>
        </w:numPr>
        <w:jc w:val="both"/>
        <w:rPr>
          <w:rFonts w:ascii="Times New Roman" w:hAnsi="Times New Roman"/>
          <w:sz w:val="20"/>
        </w:rPr>
      </w:pPr>
      <w:r w:rsidRPr="00891FA4">
        <w:rPr>
          <w:rFonts w:ascii="Times New Roman" w:hAnsi="Times New Roman"/>
          <w:sz w:val="20"/>
        </w:rPr>
        <w:t>How to signal the relationship between common control resource set (for the purpose of channel estimation) and common search space needs to be discussed.</w:t>
      </w:r>
    </w:p>
    <w:p w14:paraId="206BD3B8" w14:textId="258CEB95" w:rsidR="005E6F9C" w:rsidRPr="00891FA4" w:rsidRDefault="005E6F9C" w:rsidP="005E6F9C">
      <w:pPr>
        <w:pStyle w:val="ListParagraph"/>
        <w:numPr>
          <w:ilvl w:val="4"/>
          <w:numId w:val="35"/>
        </w:numPr>
        <w:jc w:val="both"/>
        <w:rPr>
          <w:rFonts w:ascii="Times New Roman" w:hAnsi="Times New Roman"/>
          <w:sz w:val="20"/>
        </w:rPr>
      </w:pPr>
      <w:r w:rsidRPr="00891FA4">
        <w:rPr>
          <w:rFonts w:ascii="Times New Roman" w:hAnsi="Times New Roman"/>
          <w:sz w:val="20"/>
        </w:rPr>
        <w:t>Option A: Indicate both in the MIB</w:t>
      </w:r>
    </w:p>
    <w:p w14:paraId="74A739BE" w14:textId="4AD501E6" w:rsidR="005E6F9C" w:rsidRPr="00891FA4" w:rsidRDefault="005E6F9C" w:rsidP="005E6F9C">
      <w:pPr>
        <w:pStyle w:val="ListParagraph"/>
        <w:numPr>
          <w:ilvl w:val="4"/>
          <w:numId w:val="35"/>
        </w:numPr>
        <w:jc w:val="both"/>
        <w:rPr>
          <w:rFonts w:ascii="Times New Roman" w:hAnsi="Times New Roman"/>
          <w:sz w:val="20"/>
        </w:rPr>
      </w:pPr>
      <w:r w:rsidRPr="00891FA4">
        <w:rPr>
          <w:rFonts w:ascii="Times New Roman" w:hAnsi="Times New Roman"/>
          <w:sz w:val="20"/>
        </w:rPr>
        <w:t>Option B: Indicate common control resource set in the MIB and derive common search space</w:t>
      </w:r>
      <w:r w:rsidR="00AF3AD2" w:rsidRPr="00891FA4">
        <w:rPr>
          <w:rFonts w:ascii="Times New Roman" w:hAnsi="Times New Roman"/>
          <w:sz w:val="20"/>
        </w:rPr>
        <w:t xml:space="preserve"> from common control resource set via a certain specified rule</w:t>
      </w:r>
    </w:p>
    <w:p w14:paraId="0A077B44" w14:textId="04B148F4" w:rsidR="009A31C6" w:rsidRPr="00891FA4" w:rsidRDefault="009A31C6" w:rsidP="009A31C6">
      <w:pPr>
        <w:pStyle w:val="ListParagraph"/>
        <w:numPr>
          <w:ilvl w:val="2"/>
          <w:numId w:val="35"/>
        </w:numPr>
        <w:jc w:val="both"/>
        <w:rPr>
          <w:rFonts w:ascii="Times New Roman" w:hAnsi="Times New Roman"/>
          <w:sz w:val="20"/>
        </w:rPr>
      </w:pPr>
      <w:r w:rsidRPr="00891FA4">
        <w:rPr>
          <w:rFonts w:ascii="Times New Roman" w:hAnsi="Times New Roman"/>
          <w:sz w:val="20"/>
        </w:rPr>
        <w:t>UE-specific search space will be configured by RRC.</w:t>
      </w:r>
    </w:p>
    <w:p w14:paraId="20B10A32" w14:textId="40313A43" w:rsidR="009A31C6" w:rsidRPr="00891FA4" w:rsidRDefault="009A31C6" w:rsidP="003B7A08">
      <w:pPr>
        <w:pStyle w:val="ListParagraph"/>
        <w:numPr>
          <w:ilvl w:val="1"/>
          <w:numId w:val="35"/>
        </w:numPr>
        <w:jc w:val="both"/>
        <w:rPr>
          <w:rFonts w:ascii="Times New Roman" w:hAnsi="Times New Roman"/>
          <w:sz w:val="20"/>
        </w:rPr>
      </w:pPr>
      <w:r w:rsidRPr="00891FA4">
        <w:rPr>
          <w:rFonts w:ascii="Times New Roman" w:hAnsi="Times New Roman"/>
          <w:sz w:val="20"/>
        </w:rPr>
        <w:t>Common control resource set assume</w:t>
      </w:r>
      <w:r w:rsidR="001F16EB" w:rsidRPr="00891FA4">
        <w:rPr>
          <w:rFonts w:ascii="Times New Roman" w:hAnsi="Times New Roman"/>
          <w:sz w:val="20"/>
        </w:rPr>
        <w:t>s no UE-specific beamforming.</w:t>
      </w:r>
    </w:p>
    <w:p w14:paraId="6CC0EC2C" w14:textId="4D8DBE91" w:rsidR="001F16EB" w:rsidRPr="00891FA4" w:rsidRDefault="001F16EB" w:rsidP="001F16EB">
      <w:pPr>
        <w:pStyle w:val="ListParagraph"/>
        <w:numPr>
          <w:ilvl w:val="2"/>
          <w:numId w:val="35"/>
        </w:numPr>
        <w:jc w:val="both"/>
        <w:rPr>
          <w:rFonts w:ascii="Times New Roman" w:hAnsi="Times New Roman"/>
          <w:sz w:val="20"/>
        </w:rPr>
      </w:pPr>
      <w:r w:rsidRPr="00891FA4">
        <w:rPr>
          <w:rFonts w:ascii="Times New Roman" w:hAnsi="Times New Roman"/>
          <w:sz w:val="20"/>
        </w:rPr>
        <w:t>Wideband channel estimation can be enabled over entire common control resource set.</w:t>
      </w:r>
    </w:p>
    <w:p w14:paraId="7055CE65" w14:textId="32A81BC3" w:rsidR="001F16EB" w:rsidRPr="00891FA4" w:rsidRDefault="001F16EB" w:rsidP="001F16EB">
      <w:pPr>
        <w:pStyle w:val="ListParagraph"/>
        <w:numPr>
          <w:ilvl w:val="2"/>
          <w:numId w:val="35"/>
        </w:numPr>
        <w:jc w:val="both"/>
        <w:rPr>
          <w:rFonts w:ascii="Times New Roman" w:hAnsi="Times New Roman"/>
          <w:sz w:val="20"/>
        </w:rPr>
      </w:pPr>
      <w:r w:rsidRPr="00891FA4">
        <w:rPr>
          <w:rFonts w:ascii="Times New Roman" w:hAnsi="Times New Roman"/>
          <w:sz w:val="20"/>
        </w:rPr>
        <w:t>Broadcast/Unicast PDCCH within common control resource set can use this wideband channel estimate.</w:t>
      </w:r>
    </w:p>
    <w:p w14:paraId="672C899C" w14:textId="50EB061D" w:rsidR="001F16EB" w:rsidRPr="00891FA4" w:rsidRDefault="001F16EB" w:rsidP="001F16EB">
      <w:pPr>
        <w:pStyle w:val="ListParagraph"/>
        <w:numPr>
          <w:ilvl w:val="2"/>
          <w:numId w:val="35"/>
        </w:numPr>
        <w:jc w:val="both"/>
        <w:rPr>
          <w:rFonts w:ascii="Times New Roman" w:hAnsi="Times New Roman"/>
          <w:sz w:val="20"/>
        </w:rPr>
      </w:pPr>
      <w:r w:rsidRPr="00891FA4">
        <w:rPr>
          <w:rFonts w:ascii="Times New Roman" w:hAnsi="Times New Roman"/>
          <w:sz w:val="20"/>
        </w:rPr>
        <w:t>Phase continuity is maintained in common control resource set</w:t>
      </w:r>
      <w:r w:rsidR="007E6041">
        <w:rPr>
          <w:rFonts w:ascii="Times New Roman" w:hAnsi="Times New Roman"/>
          <w:sz w:val="20"/>
        </w:rPr>
        <w:t xml:space="preserve"> at least for sub 6 deployment</w:t>
      </w:r>
      <w:r w:rsidRPr="00891FA4">
        <w:rPr>
          <w:rFonts w:ascii="Times New Roman" w:hAnsi="Times New Roman"/>
          <w:sz w:val="20"/>
        </w:rPr>
        <w:t>.</w:t>
      </w:r>
      <w:r w:rsidR="007E6041">
        <w:rPr>
          <w:rFonts w:ascii="Times New Roman" w:hAnsi="Times New Roman"/>
          <w:sz w:val="20"/>
        </w:rPr>
        <w:t xml:space="preserve"> For mmW, </w:t>
      </w:r>
      <w:r w:rsidR="00304B8E">
        <w:rPr>
          <w:rFonts w:ascii="Times New Roman" w:hAnsi="Times New Roman"/>
          <w:sz w:val="20"/>
        </w:rPr>
        <w:t>due to additional imperfections like phase noise</w:t>
      </w:r>
      <w:r w:rsidR="00915B8A">
        <w:rPr>
          <w:rFonts w:ascii="Times New Roman" w:hAnsi="Times New Roman"/>
          <w:sz w:val="20"/>
        </w:rPr>
        <w:t xml:space="preserve"> and additional constraints on gNB to beam form in the same direction in subsequent transmissions</w:t>
      </w:r>
      <w:r w:rsidR="00304B8E">
        <w:rPr>
          <w:rFonts w:ascii="Times New Roman" w:hAnsi="Times New Roman"/>
          <w:sz w:val="20"/>
        </w:rPr>
        <w:t>, phase continuity is not a strong requirement</w:t>
      </w:r>
      <w:r w:rsidR="007E6041">
        <w:rPr>
          <w:rFonts w:ascii="Times New Roman" w:hAnsi="Times New Roman"/>
          <w:sz w:val="20"/>
        </w:rPr>
        <w:t>.</w:t>
      </w:r>
    </w:p>
    <w:p w14:paraId="500C8780" w14:textId="040C90EE" w:rsidR="001F16EB" w:rsidRPr="00891FA4" w:rsidRDefault="00BA40A5" w:rsidP="001F16EB">
      <w:pPr>
        <w:pStyle w:val="ListParagraph"/>
        <w:numPr>
          <w:ilvl w:val="3"/>
          <w:numId w:val="35"/>
        </w:numPr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Phase continuity</w:t>
      </w:r>
      <w:r w:rsidRPr="00891FA4">
        <w:rPr>
          <w:rFonts w:ascii="Times New Roman" w:hAnsi="Times New Roman"/>
          <w:sz w:val="20"/>
        </w:rPr>
        <w:t xml:space="preserve"> </w:t>
      </w:r>
      <w:r w:rsidR="001F16EB" w:rsidRPr="00891FA4">
        <w:rPr>
          <w:rFonts w:ascii="Times New Roman" w:hAnsi="Times New Roman"/>
          <w:sz w:val="20"/>
        </w:rPr>
        <w:t xml:space="preserve">will enable the time domain filtering </w:t>
      </w:r>
      <w:r>
        <w:rPr>
          <w:rFonts w:ascii="Times New Roman" w:hAnsi="Times New Roman"/>
          <w:sz w:val="20"/>
        </w:rPr>
        <w:t>for better</w:t>
      </w:r>
      <w:r w:rsidRPr="00891FA4">
        <w:rPr>
          <w:rFonts w:ascii="Times New Roman" w:hAnsi="Times New Roman"/>
          <w:sz w:val="20"/>
        </w:rPr>
        <w:t xml:space="preserve"> </w:t>
      </w:r>
      <w:r w:rsidR="001F16EB" w:rsidRPr="00891FA4">
        <w:rPr>
          <w:rFonts w:ascii="Times New Roman" w:hAnsi="Times New Roman"/>
          <w:sz w:val="20"/>
        </w:rPr>
        <w:t>channel estimation.</w:t>
      </w:r>
    </w:p>
    <w:p w14:paraId="090C06AE" w14:textId="7120AD2F" w:rsidR="001F16EB" w:rsidRPr="00891FA4" w:rsidRDefault="00BA40A5" w:rsidP="001F16EB">
      <w:pPr>
        <w:pStyle w:val="ListParagraph"/>
        <w:numPr>
          <w:ilvl w:val="3"/>
          <w:numId w:val="35"/>
        </w:numPr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Phase continuity</w:t>
      </w:r>
      <w:r w:rsidRPr="00891FA4">
        <w:rPr>
          <w:rFonts w:ascii="Times New Roman" w:hAnsi="Times New Roman"/>
          <w:sz w:val="20"/>
        </w:rPr>
        <w:t xml:space="preserve"> </w:t>
      </w:r>
      <w:r w:rsidR="001F16EB" w:rsidRPr="00891FA4">
        <w:rPr>
          <w:rFonts w:ascii="Times New Roman" w:hAnsi="Times New Roman"/>
          <w:sz w:val="20"/>
        </w:rPr>
        <w:t>will also play an important role for tracking purpose (see [2] for details).</w:t>
      </w:r>
    </w:p>
    <w:p w14:paraId="04BB7C2C" w14:textId="51FCD561" w:rsidR="003B7A08" w:rsidRPr="00891FA4" w:rsidRDefault="003B7A08" w:rsidP="003B7A08">
      <w:pPr>
        <w:pStyle w:val="ListParagraph"/>
        <w:numPr>
          <w:ilvl w:val="0"/>
          <w:numId w:val="35"/>
        </w:numPr>
        <w:jc w:val="both"/>
        <w:rPr>
          <w:rFonts w:ascii="Times New Roman" w:hAnsi="Times New Roman"/>
          <w:sz w:val="20"/>
        </w:rPr>
      </w:pPr>
      <w:r w:rsidRPr="00891FA4">
        <w:rPr>
          <w:rFonts w:ascii="Times New Roman" w:hAnsi="Times New Roman"/>
          <w:sz w:val="20"/>
        </w:rPr>
        <w:t>UE-specific control resource set</w:t>
      </w:r>
    </w:p>
    <w:p w14:paraId="0C29BDCA" w14:textId="11B7DDA8" w:rsidR="003B7A08" w:rsidRPr="00891FA4" w:rsidRDefault="003B7A08" w:rsidP="003B7A08">
      <w:pPr>
        <w:pStyle w:val="ListParagraph"/>
        <w:numPr>
          <w:ilvl w:val="1"/>
          <w:numId w:val="35"/>
        </w:numPr>
        <w:jc w:val="both"/>
        <w:rPr>
          <w:rFonts w:ascii="Times New Roman" w:hAnsi="Times New Roman"/>
          <w:sz w:val="20"/>
        </w:rPr>
      </w:pPr>
      <w:r w:rsidRPr="00891FA4">
        <w:rPr>
          <w:rFonts w:ascii="Times New Roman" w:hAnsi="Times New Roman"/>
          <w:sz w:val="20"/>
        </w:rPr>
        <w:t>UE-specific control resource set is the resource set that the served UEs shall monitor once configured.</w:t>
      </w:r>
    </w:p>
    <w:p w14:paraId="6AA9960C" w14:textId="0DA0E328" w:rsidR="009A31C6" w:rsidRPr="00891FA4" w:rsidRDefault="009A31C6" w:rsidP="003B7A08">
      <w:pPr>
        <w:pStyle w:val="ListParagraph"/>
        <w:numPr>
          <w:ilvl w:val="1"/>
          <w:numId w:val="35"/>
        </w:numPr>
        <w:jc w:val="both"/>
        <w:rPr>
          <w:rFonts w:ascii="Times New Roman" w:hAnsi="Times New Roman"/>
          <w:sz w:val="20"/>
        </w:rPr>
      </w:pPr>
      <w:r w:rsidRPr="00891FA4">
        <w:rPr>
          <w:rFonts w:ascii="Times New Roman" w:hAnsi="Times New Roman"/>
          <w:sz w:val="20"/>
        </w:rPr>
        <w:t>UE-specific control resource set can have UE-specific search space</w:t>
      </w:r>
      <w:r w:rsidR="00B63A18">
        <w:rPr>
          <w:rFonts w:ascii="Times New Roman" w:hAnsi="Times New Roman"/>
          <w:sz w:val="20"/>
        </w:rPr>
        <w:t xml:space="preserve">. Whether to allow common search space is FFS </w:t>
      </w:r>
      <w:r w:rsidRPr="00891FA4">
        <w:rPr>
          <w:rFonts w:ascii="Times New Roman" w:hAnsi="Times New Roman"/>
          <w:sz w:val="20"/>
        </w:rPr>
        <w:t>.</w:t>
      </w:r>
    </w:p>
    <w:p w14:paraId="20486CB8" w14:textId="157F8B8A" w:rsidR="009A31C6" w:rsidRPr="00891FA4" w:rsidRDefault="009A31C6" w:rsidP="009A31C6">
      <w:pPr>
        <w:pStyle w:val="ListParagraph"/>
        <w:numPr>
          <w:ilvl w:val="2"/>
          <w:numId w:val="35"/>
        </w:numPr>
        <w:jc w:val="both"/>
        <w:rPr>
          <w:rFonts w:ascii="Times New Roman" w:hAnsi="Times New Roman"/>
          <w:sz w:val="20"/>
        </w:rPr>
      </w:pPr>
      <w:r w:rsidRPr="00891FA4">
        <w:rPr>
          <w:rFonts w:ascii="Times New Roman" w:hAnsi="Times New Roman"/>
          <w:sz w:val="20"/>
        </w:rPr>
        <w:t>UE-specific search space will be configured by RRC.</w:t>
      </w:r>
    </w:p>
    <w:p w14:paraId="278B6273" w14:textId="70372B67" w:rsidR="004D570D" w:rsidRPr="00891FA4" w:rsidRDefault="004D570D" w:rsidP="004D570D">
      <w:pPr>
        <w:pStyle w:val="ListParagraph"/>
        <w:numPr>
          <w:ilvl w:val="1"/>
          <w:numId w:val="35"/>
        </w:numPr>
        <w:jc w:val="both"/>
        <w:rPr>
          <w:rFonts w:ascii="Times New Roman" w:hAnsi="Times New Roman"/>
          <w:sz w:val="20"/>
        </w:rPr>
      </w:pPr>
      <w:r w:rsidRPr="00891FA4">
        <w:rPr>
          <w:rFonts w:ascii="Times New Roman" w:hAnsi="Times New Roman"/>
          <w:sz w:val="20"/>
        </w:rPr>
        <w:t xml:space="preserve">UE cannot assume </w:t>
      </w:r>
      <w:r w:rsidR="00B63A18">
        <w:rPr>
          <w:rFonts w:ascii="Times New Roman" w:hAnsi="Times New Roman"/>
          <w:sz w:val="20"/>
        </w:rPr>
        <w:t xml:space="preserve">continuous </w:t>
      </w:r>
      <w:r w:rsidRPr="00891FA4">
        <w:rPr>
          <w:rFonts w:ascii="Times New Roman" w:hAnsi="Times New Roman"/>
          <w:sz w:val="20"/>
        </w:rPr>
        <w:t>beamforming in UE-specific control resource set.</w:t>
      </w:r>
    </w:p>
    <w:p w14:paraId="6A9744E5" w14:textId="29EBFD6F" w:rsidR="004D570D" w:rsidRPr="00891FA4" w:rsidRDefault="004D570D" w:rsidP="004D570D">
      <w:pPr>
        <w:pStyle w:val="ListParagraph"/>
        <w:numPr>
          <w:ilvl w:val="2"/>
          <w:numId w:val="35"/>
        </w:numPr>
        <w:jc w:val="both"/>
        <w:rPr>
          <w:rFonts w:ascii="Times New Roman" w:hAnsi="Times New Roman"/>
          <w:sz w:val="20"/>
        </w:rPr>
      </w:pPr>
      <w:r w:rsidRPr="00891FA4">
        <w:rPr>
          <w:rFonts w:ascii="Times New Roman" w:hAnsi="Times New Roman"/>
          <w:sz w:val="20"/>
        </w:rPr>
        <w:t xml:space="preserve">Channel estimation should be based on a PRB or </w:t>
      </w:r>
      <w:r w:rsidR="005E6F9C" w:rsidRPr="00891FA4">
        <w:rPr>
          <w:rFonts w:ascii="Times New Roman" w:hAnsi="Times New Roman"/>
          <w:sz w:val="20"/>
        </w:rPr>
        <w:t>PRB group</w:t>
      </w:r>
      <w:r w:rsidRPr="00891FA4">
        <w:rPr>
          <w:rFonts w:ascii="Times New Roman" w:hAnsi="Times New Roman"/>
          <w:sz w:val="20"/>
        </w:rPr>
        <w:t xml:space="preserve"> w.r.t. the configuration.</w:t>
      </w:r>
    </w:p>
    <w:p w14:paraId="4FFC1C54" w14:textId="28531E27" w:rsidR="004D570D" w:rsidRPr="00891FA4" w:rsidRDefault="004D570D" w:rsidP="004D570D">
      <w:pPr>
        <w:pStyle w:val="ListParagraph"/>
        <w:numPr>
          <w:ilvl w:val="2"/>
          <w:numId w:val="35"/>
        </w:numPr>
        <w:jc w:val="both"/>
        <w:rPr>
          <w:rFonts w:ascii="Times New Roman" w:hAnsi="Times New Roman"/>
          <w:sz w:val="20"/>
        </w:rPr>
      </w:pPr>
      <w:r w:rsidRPr="00891FA4">
        <w:rPr>
          <w:rFonts w:ascii="Times New Roman" w:hAnsi="Times New Roman"/>
          <w:sz w:val="20"/>
        </w:rPr>
        <w:t>Phase continuity cannot be guaranteed. In other words, beams may change from TTI to TTI.</w:t>
      </w:r>
    </w:p>
    <w:p w14:paraId="79B6AB27" w14:textId="464CA7D5" w:rsidR="00FC6F9E" w:rsidRDefault="00FC6F9E" w:rsidP="00FC6F9E">
      <w:r>
        <w:rPr>
          <w:b/>
          <w:u w:val="single"/>
        </w:rPr>
        <w:t>Proposal</w:t>
      </w:r>
      <w:r w:rsidRPr="00392F4D">
        <w:rPr>
          <w:b/>
          <w:u w:val="single"/>
        </w:rPr>
        <w:t xml:space="preserve"> </w:t>
      </w:r>
      <w:r w:rsidR="00AF3AD2">
        <w:rPr>
          <w:b/>
          <w:u w:val="single"/>
        </w:rPr>
        <w:t>1</w:t>
      </w:r>
      <w:r w:rsidRPr="00392F4D">
        <w:rPr>
          <w:b/>
          <w:u w:val="single"/>
        </w:rPr>
        <w:t>:</w:t>
      </w:r>
      <w:r w:rsidRPr="00392F4D">
        <w:t xml:space="preserve"> </w:t>
      </w:r>
      <w:r>
        <w:t>NR shall allow a smaller BW UE to operate in the system</w:t>
      </w:r>
      <w:r w:rsidR="006150DE">
        <w:t xml:space="preserve"> than the system BW</w:t>
      </w:r>
      <w:r>
        <w:t xml:space="preserve">. Minimum UE BW can be </w:t>
      </w:r>
      <w:r w:rsidR="006150DE">
        <w:t>20</w:t>
      </w:r>
      <w:r>
        <w:t xml:space="preserve"> MHz</w:t>
      </w:r>
      <w:r w:rsidR="006150DE">
        <w:t xml:space="preserve"> for eMBB</w:t>
      </w:r>
      <w:r>
        <w:t>.</w:t>
      </w:r>
    </w:p>
    <w:p w14:paraId="6FD0F678" w14:textId="5C22BAD2" w:rsidR="00FC6F9E" w:rsidRDefault="00FC6F9E" w:rsidP="00FC6F9E">
      <w:r w:rsidRPr="00C17521">
        <w:rPr>
          <w:b/>
          <w:u w:val="single"/>
        </w:rPr>
        <w:t xml:space="preserve">Proposal </w:t>
      </w:r>
      <w:r w:rsidR="00AF3AD2">
        <w:rPr>
          <w:b/>
          <w:u w:val="single"/>
        </w:rPr>
        <w:t>2</w:t>
      </w:r>
      <w:r w:rsidRPr="00C17521">
        <w:rPr>
          <w:b/>
          <w:u w:val="single"/>
        </w:rPr>
        <w:t>:</w:t>
      </w:r>
      <w:r>
        <w:t xml:space="preserve"> Introduce the </w:t>
      </w:r>
      <w:r w:rsidR="00AF3AD2">
        <w:t>control resource set and search space</w:t>
      </w:r>
      <w:r>
        <w:t xml:space="preserve"> </w:t>
      </w:r>
      <w:r w:rsidR="00AF3AD2">
        <w:t>as described</w:t>
      </w:r>
      <w:r>
        <w:t xml:space="preserve"> above</w:t>
      </w:r>
      <w:r w:rsidR="00422B94">
        <w:t>.</w:t>
      </w:r>
    </w:p>
    <w:p w14:paraId="3E293906" w14:textId="7DDB5D4E" w:rsidR="0029660E" w:rsidRDefault="0029660E" w:rsidP="00BC4D50"/>
    <w:p w14:paraId="56D28D4B" w14:textId="26018A49" w:rsidR="00067CA8" w:rsidRPr="00226FE2" w:rsidRDefault="004503F9" w:rsidP="00067CA8">
      <w:pPr>
        <w:pStyle w:val="Heading1"/>
        <w:rPr>
          <w:lang w:eastAsia="zh-CN"/>
        </w:rPr>
      </w:pPr>
      <w:r>
        <w:rPr>
          <w:lang w:eastAsia="zh-CN"/>
        </w:rPr>
        <w:lastRenderedPageBreak/>
        <w:t>Conclusions</w:t>
      </w:r>
    </w:p>
    <w:p w14:paraId="4A35DF7F" w14:textId="6E736FAD" w:rsidR="00D33E43" w:rsidRDefault="00D33E43" w:rsidP="00D33E43">
      <w:pPr>
        <w:jc w:val="both"/>
        <w:rPr>
          <w:szCs w:val="22"/>
        </w:rPr>
      </w:pPr>
      <w:r>
        <w:rPr>
          <w:szCs w:val="22"/>
        </w:rPr>
        <w:t xml:space="preserve">This contribution has discussed </w:t>
      </w:r>
      <w:r w:rsidR="00AF3AD2">
        <w:rPr>
          <w:szCs w:val="22"/>
        </w:rPr>
        <w:t>views on control resource sets, search spaces and its RS.</w:t>
      </w:r>
      <w:r>
        <w:rPr>
          <w:szCs w:val="22"/>
        </w:rPr>
        <w:t xml:space="preserve"> The following proposals have been made:</w:t>
      </w:r>
    </w:p>
    <w:p w14:paraId="26B0889E" w14:textId="77777777" w:rsidR="00AF3AD2" w:rsidRDefault="00AF3AD2" w:rsidP="00AF3AD2">
      <w:r>
        <w:rPr>
          <w:b/>
          <w:u w:val="single"/>
        </w:rPr>
        <w:t>Proposal</w:t>
      </w:r>
      <w:r w:rsidRPr="00392F4D">
        <w:rPr>
          <w:b/>
          <w:u w:val="single"/>
        </w:rPr>
        <w:t xml:space="preserve"> </w:t>
      </w:r>
      <w:r>
        <w:rPr>
          <w:b/>
          <w:u w:val="single"/>
        </w:rPr>
        <w:t>1</w:t>
      </w:r>
      <w:r w:rsidRPr="00392F4D">
        <w:rPr>
          <w:b/>
          <w:u w:val="single"/>
        </w:rPr>
        <w:t>:</w:t>
      </w:r>
      <w:r w:rsidRPr="00392F4D">
        <w:t xml:space="preserve"> </w:t>
      </w:r>
      <w:r>
        <w:t>NR shall allow a smaller BW UE to operate in the system than the system BW. Minimum UE BW can be 20 MHz for eMBB.</w:t>
      </w:r>
    </w:p>
    <w:p w14:paraId="5D75CBB8" w14:textId="77777777" w:rsidR="00AF3AD2" w:rsidRDefault="00AF3AD2" w:rsidP="00AF3AD2">
      <w:r w:rsidRPr="00C17521">
        <w:rPr>
          <w:b/>
          <w:u w:val="single"/>
        </w:rPr>
        <w:t xml:space="preserve">Proposal </w:t>
      </w:r>
      <w:r>
        <w:rPr>
          <w:b/>
          <w:u w:val="single"/>
        </w:rPr>
        <w:t>2</w:t>
      </w:r>
      <w:r w:rsidRPr="00C17521">
        <w:rPr>
          <w:b/>
          <w:u w:val="single"/>
        </w:rPr>
        <w:t>:</w:t>
      </w:r>
      <w:r>
        <w:t xml:space="preserve"> Introduce the control resource set and search space as described above.</w:t>
      </w:r>
    </w:p>
    <w:p w14:paraId="0FCBF384" w14:textId="77777777" w:rsidR="00D33E43" w:rsidRPr="00D33E43" w:rsidRDefault="00D33E43" w:rsidP="00D33E43">
      <w:pPr>
        <w:jc w:val="both"/>
      </w:pPr>
    </w:p>
    <w:p w14:paraId="43B7F896" w14:textId="5D50D665" w:rsidR="00E523F3" w:rsidRPr="000A64D8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14:paraId="70F21215" w14:textId="0804AD22" w:rsidR="00804B56" w:rsidRDefault="000058EB" w:rsidP="00AA0DFB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r w:rsidRPr="00FB4D0E">
        <w:rPr>
          <w:szCs w:val="22"/>
        </w:rPr>
        <w:t>RAN2 chairman’s note, RAN2#95</w:t>
      </w:r>
    </w:p>
    <w:p w14:paraId="4699DDBB" w14:textId="6E724604" w:rsidR="001F16EB" w:rsidRPr="00FB4D0E" w:rsidRDefault="001F16EB" w:rsidP="00AA0DFB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r>
        <w:rPr>
          <w:szCs w:val="22"/>
        </w:rPr>
        <w:t>R1-17</w:t>
      </w:r>
      <w:r w:rsidR="00975C36">
        <w:rPr>
          <w:szCs w:val="22"/>
        </w:rPr>
        <w:t>00811</w:t>
      </w:r>
      <w:r>
        <w:rPr>
          <w:szCs w:val="22"/>
        </w:rPr>
        <w:t>, “Discussion on tracking RS and RLM”, Qualcomm Incorporated</w:t>
      </w:r>
    </w:p>
    <w:sectPr w:rsidR="001F16EB" w:rsidRPr="00FB4D0E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2E3116" w14:textId="77777777" w:rsidR="00826C8B" w:rsidRDefault="00826C8B">
      <w:r>
        <w:separator/>
      </w:r>
    </w:p>
  </w:endnote>
  <w:endnote w:type="continuationSeparator" w:id="0">
    <w:p w14:paraId="4B917DBE" w14:textId="77777777" w:rsidR="00826C8B" w:rsidRDefault="00826C8B">
      <w:r>
        <w:continuationSeparator/>
      </w:r>
    </w:p>
  </w:endnote>
  <w:endnote w:type="continuationNotice" w:id="1">
    <w:p w14:paraId="1BB5EC69" w14:textId="77777777" w:rsidR="00826C8B" w:rsidRDefault="00826C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1" w14:textId="77777777" w:rsidR="00223847" w:rsidRDefault="0022384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223847" w:rsidRDefault="0022384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3" w14:textId="77777777" w:rsidR="00223847" w:rsidRDefault="00223847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20B3D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20B3D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3D4C8B" w14:textId="77777777" w:rsidR="00826C8B" w:rsidRDefault="00826C8B">
      <w:r>
        <w:separator/>
      </w:r>
    </w:p>
  </w:footnote>
  <w:footnote w:type="continuationSeparator" w:id="0">
    <w:p w14:paraId="49FE6D88" w14:textId="77777777" w:rsidR="00826C8B" w:rsidRDefault="00826C8B">
      <w:r>
        <w:continuationSeparator/>
      </w:r>
    </w:p>
  </w:footnote>
  <w:footnote w:type="continuationNotice" w:id="1">
    <w:p w14:paraId="24F3DFE9" w14:textId="77777777" w:rsidR="00826C8B" w:rsidRDefault="00826C8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0" w14:textId="77777777" w:rsidR="00223847" w:rsidRDefault="002238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07" type="#_x0000_t75" style="width:15.75pt;height:15.75pt" o:bullet="t">
        <v:imagedata r:id="rId1" o:title="artA0B3"/>
      </v:shape>
    </w:pict>
  </w:numPicBullet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22D22"/>
    <w:multiLevelType w:val="hybridMultilevel"/>
    <w:tmpl w:val="65D28C76"/>
    <w:lvl w:ilvl="0" w:tplc="B196724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D547AE0"/>
    <w:multiLevelType w:val="hybridMultilevel"/>
    <w:tmpl w:val="168A235E"/>
    <w:lvl w:ilvl="0" w:tplc="C3AC401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9B2B0B"/>
    <w:multiLevelType w:val="hybridMultilevel"/>
    <w:tmpl w:val="E04A1B7C"/>
    <w:lvl w:ilvl="0" w:tplc="B13013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F29B4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FB4FD7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A85A4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343FE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9280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6089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B0AC5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CE32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17F3033A"/>
    <w:multiLevelType w:val="hybridMultilevel"/>
    <w:tmpl w:val="0A2CAC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1FBF0C7E"/>
    <w:multiLevelType w:val="hybridMultilevel"/>
    <w:tmpl w:val="EF98421E"/>
    <w:lvl w:ilvl="0" w:tplc="D4A44EA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A9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E02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60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A05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64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4660727"/>
    <w:multiLevelType w:val="hybridMultilevel"/>
    <w:tmpl w:val="32880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EB3FDA"/>
    <w:multiLevelType w:val="hybridMultilevel"/>
    <w:tmpl w:val="813413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9E4517B"/>
    <w:multiLevelType w:val="hybridMultilevel"/>
    <w:tmpl w:val="578C2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D996FEF"/>
    <w:multiLevelType w:val="hybridMultilevel"/>
    <w:tmpl w:val="00AAE3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C924E4"/>
    <w:multiLevelType w:val="hybridMultilevel"/>
    <w:tmpl w:val="EA52F806"/>
    <w:lvl w:ilvl="0" w:tplc="92904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FC1F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98454B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4200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BCAB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74053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900BF1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FEA22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F6425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F6F592C"/>
    <w:multiLevelType w:val="hybridMultilevel"/>
    <w:tmpl w:val="8084E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7D4D91"/>
    <w:multiLevelType w:val="hybridMultilevel"/>
    <w:tmpl w:val="0A0A956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16A504">
      <w:start w:val="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8EEB32">
      <w:start w:val="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E67756">
      <w:start w:val="4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88FEC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3899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58DA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845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A457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26E2B53"/>
    <w:multiLevelType w:val="hybridMultilevel"/>
    <w:tmpl w:val="ABA459CE"/>
    <w:lvl w:ilvl="0" w:tplc="85F2F74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794A81"/>
    <w:multiLevelType w:val="hybridMultilevel"/>
    <w:tmpl w:val="D3EA6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1211F7"/>
    <w:multiLevelType w:val="hybridMultilevel"/>
    <w:tmpl w:val="CE787A00"/>
    <w:lvl w:ilvl="0" w:tplc="F14EBCF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88807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862347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A82C1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3CEF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2A0C0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CB93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58B42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EA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5B800097"/>
    <w:multiLevelType w:val="hybridMultilevel"/>
    <w:tmpl w:val="7E8C46A4"/>
    <w:lvl w:ilvl="0" w:tplc="55F032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A47297"/>
    <w:multiLevelType w:val="hybridMultilevel"/>
    <w:tmpl w:val="CCDCB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6D7E4A"/>
    <w:multiLevelType w:val="hybridMultilevel"/>
    <w:tmpl w:val="75B62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E01F16"/>
    <w:multiLevelType w:val="hybridMultilevel"/>
    <w:tmpl w:val="9C4A6B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4E90346"/>
    <w:multiLevelType w:val="hybridMultilevel"/>
    <w:tmpl w:val="618CC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362F0F"/>
    <w:multiLevelType w:val="hybridMultilevel"/>
    <w:tmpl w:val="20FEF8B6"/>
    <w:lvl w:ilvl="0" w:tplc="B196724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8C7EDC"/>
    <w:multiLevelType w:val="hybridMultilevel"/>
    <w:tmpl w:val="221CD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F726A5"/>
    <w:multiLevelType w:val="hybridMultilevel"/>
    <w:tmpl w:val="7B922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AF295B"/>
    <w:multiLevelType w:val="multilevel"/>
    <w:tmpl w:val="6420A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F6647B9"/>
    <w:multiLevelType w:val="hybridMultilevel"/>
    <w:tmpl w:val="95AEB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3"/>
  </w:num>
  <w:num w:numId="4">
    <w:abstractNumId w:val="19"/>
  </w:num>
  <w:num w:numId="5">
    <w:abstractNumId w:val="4"/>
  </w:num>
  <w:num w:numId="6">
    <w:abstractNumId w:val="8"/>
  </w:num>
  <w:num w:numId="7">
    <w:abstractNumId w:val="10"/>
  </w:num>
  <w:num w:numId="8">
    <w:abstractNumId w:val="1"/>
  </w:num>
  <w:num w:numId="9">
    <w:abstractNumId w:val="33"/>
    <w:lvlOverride w:ilvl="0">
      <w:startOverride w:val="1"/>
    </w:lvlOverride>
  </w:num>
  <w:num w:numId="10">
    <w:abstractNumId w:val="22"/>
  </w:num>
  <w:num w:numId="11">
    <w:abstractNumId w:val="25"/>
  </w:num>
  <w:num w:numId="12">
    <w:abstractNumId w:val="27"/>
  </w:num>
  <w:num w:numId="13">
    <w:abstractNumId w:val="15"/>
  </w:num>
  <w:num w:numId="14">
    <w:abstractNumId w:val="24"/>
  </w:num>
  <w:num w:numId="15">
    <w:abstractNumId w:val="6"/>
  </w:num>
  <w:num w:numId="16">
    <w:abstractNumId w:val="18"/>
  </w:num>
  <w:num w:numId="17">
    <w:abstractNumId w:val="13"/>
  </w:num>
  <w:num w:numId="18">
    <w:abstractNumId w:val="31"/>
  </w:num>
  <w:num w:numId="19">
    <w:abstractNumId w:val="34"/>
  </w:num>
  <w:num w:numId="20">
    <w:abstractNumId w:val="11"/>
  </w:num>
  <w:num w:numId="21">
    <w:abstractNumId w:val="30"/>
  </w:num>
  <w:num w:numId="22">
    <w:abstractNumId w:val="2"/>
  </w:num>
  <w:num w:numId="23">
    <w:abstractNumId w:val="14"/>
  </w:num>
  <w:num w:numId="24">
    <w:abstractNumId w:val="9"/>
  </w:num>
  <w:num w:numId="25">
    <w:abstractNumId w:val="5"/>
  </w:num>
  <w:num w:numId="26">
    <w:abstractNumId w:val="23"/>
  </w:num>
  <w:num w:numId="27">
    <w:abstractNumId w:val="28"/>
  </w:num>
  <w:num w:numId="28">
    <w:abstractNumId w:val="20"/>
  </w:num>
  <w:num w:numId="29">
    <w:abstractNumId w:val="32"/>
  </w:num>
  <w:num w:numId="30">
    <w:abstractNumId w:val="12"/>
  </w:num>
  <w:num w:numId="31">
    <w:abstractNumId w:val="7"/>
  </w:num>
  <w:num w:numId="32">
    <w:abstractNumId w:val="26"/>
  </w:num>
  <w:num w:numId="33">
    <w:abstractNumId w:val="17"/>
  </w:num>
  <w:num w:numId="34">
    <w:abstractNumId w:val="21"/>
  </w:num>
  <w:num w:numId="35">
    <w:abstractNumId w:val="2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2AF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45A"/>
    <w:rsid w:val="0000553B"/>
    <w:rsid w:val="000058EB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7D1"/>
    <w:rsid w:val="00067087"/>
    <w:rsid w:val="0006721A"/>
    <w:rsid w:val="0006739D"/>
    <w:rsid w:val="0006777C"/>
    <w:rsid w:val="00067CA8"/>
    <w:rsid w:val="00067FE2"/>
    <w:rsid w:val="00070192"/>
    <w:rsid w:val="00070FC3"/>
    <w:rsid w:val="0007118F"/>
    <w:rsid w:val="0007162A"/>
    <w:rsid w:val="000716FB"/>
    <w:rsid w:val="00071740"/>
    <w:rsid w:val="00072A48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22AD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21E3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3BC"/>
    <w:rsid w:val="000B65BE"/>
    <w:rsid w:val="000B6BDF"/>
    <w:rsid w:val="000B71B6"/>
    <w:rsid w:val="000B7B2B"/>
    <w:rsid w:val="000B7D5E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4F98"/>
    <w:rsid w:val="000E502E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29F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228"/>
    <w:rsid w:val="00104653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423"/>
    <w:rsid w:val="0010795D"/>
    <w:rsid w:val="0011034F"/>
    <w:rsid w:val="00110851"/>
    <w:rsid w:val="001115C0"/>
    <w:rsid w:val="001115F4"/>
    <w:rsid w:val="001116D2"/>
    <w:rsid w:val="0011190B"/>
    <w:rsid w:val="00111AD9"/>
    <w:rsid w:val="0011211D"/>
    <w:rsid w:val="0011230B"/>
    <w:rsid w:val="001126ED"/>
    <w:rsid w:val="00112975"/>
    <w:rsid w:val="00112B8F"/>
    <w:rsid w:val="001130A7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B3D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18"/>
    <w:rsid w:val="00143153"/>
    <w:rsid w:val="0014371C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D53"/>
    <w:rsid w:val="0015622B"/>
    <w:rsid w:val="00156260"/>
    <w:rsid w:val="00156284"/>
    <w:rsid w:val="00156502"/>
    <w:rsid w:val="00157342"/>
    <w:rsid w:val="0016019C"/>
    <w:rsid w:val="001601C7"/>
    <w:rsid w:val="001602C2"/>
    <w:rsid w:val="001603B9"/>
    <w:rsid w:val="00160452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A42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876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337"/>
    <w:rsid w:val="001A2939"/>
    <w:rsid w:val="001A2F35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407"/>
    <w:rsid w:val="001B15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9F8"/>
    <w:rsid w:val="001D1CFF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AC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6EB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98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847"/>
    <w:rsid w:val="00223ACD"/>
    <w:rsid w:val="00224A38"/>
    <w:rsid w:val="00224A9B"/>
    <w:rsid w:val="0022657F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53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3FCB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3C4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D90"/>
    <w:rsid w:val="002B453B"/>
    <w:rsid w:val="002B4C39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D11"/>
    <w:rsid w:val="002C1B17"/>
    <w:rsid w:val="002C1D21"/>
    <w:rsid w:val="002C203A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624"/>
    <w:rsid w:val="002D7235"/>
    <w:rsid w:val="002D76E8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1EE"/>
    <w:rsid w:val="002F63ED"/>
    <w:rsid w:val="002F6AC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556"/>
    <w:rsid w:val="00304AC5"/>
    <w:rsid w:val="00304B8E"/>
    <w:rsid w:val="00304C9E"/>
    <w:rsid w:val="00305688"/>
    <w:rsid w:val="003065FB"/>
    <w:rsid w:val="00306ED2"/>
    <w:rsid w:val="00306F89"/>
    <w:rsid w:val="0030749E"/>
    <w:rsid w:val="00307B27"/>
    <w:rsid w:val="00307E05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310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6B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53BF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FC9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354"/>
    <w:rsid w:val="00391A92"/>
    <w:rsid w:val="00391C99"/>
    <w:rsid w:val="003926BE"/>
    <w:rsid w:val="003929BE"/>
    <w:rsid w:val="00392A1F"/>
    <w:rsid w:val="00392DB8"/>
    <w:rsid w:val="003933FD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B7A08"/>
    <w:rsid w:val="003C009A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077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48A"/>
    <w:rsid w:val="003F4933"/>
    <w:rsid w:val="003F4977"/>
    <w:rsid w:val="003F4A21"/>
    <w:rsid w:val="003F4E1C"/>
    <w:rsid w:val="003F536B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4FCC"/>
    <w:rsid w:val="00405898"/>
    <w:rsid w:val="00405A9F"/>
    <w:rsid w:val="00405D95"/>
    <w:rsid w:val="00405F90"/>
    <w:rsid w:val="00406108"/>
    <w:rsid w:val="00406412"/>
    <w:rsid w:val="00406D4A"/>
    <w:rsid w:val="00406D9D"/>
    <w:rsid w:val="00406F4B"/>
    <w:rsid w:val="00406FBD"/>
    <w:rsid w:val="004073B0"/>
    <w:rsid w:val="00407612"/>
    <w:rsid w:val="0041029D"/>
    <w:rsid w:val="004102A7"/>
    <w:rsid w:val="00411230"/>
    <w:rsid w:val="00411472"/>
    <w:rsid w:val="004116C3"/>
    <w:rsid w:val="004118C9"/>
    <w:rsid w:val="0041249C"/>
    <w:rsid w:val="00412697"/>
    <w:rsid w:val="0041336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1EC6"/>
    <w:rsid w:val="004222BF"/>
    <w:rsid w:val="00422A01"/>
    <w:rsid w:val="00422B94"/>
    <w:rsid w:val="00422D62"/>
    <w:rsid w:val="00422DB5"/>
    <w:rsid w:val="004232D4"/>
    <w:rsid w:val="00423326"/>
    <w:rsid w:val="0042408B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42F"/>
    <w:rsid w:val="0044173B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BB4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0A49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B8B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D0328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70D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EAC"/>
    <w:rsid w:val="004E6F18"/>
    <w:rsid w:val="004E76A5"/>
    <w:rsid w:val="004E7B7F"/>
    <w:rsid w:val="004E7C85"/>
    <w:rsid w:val="004F01B4"/>
    <w:rsid w:val="004F020A"/>
    <w:rsid w:val="004F02AB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D6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0E7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626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FA3"/>
    <w:rsid w:val="00544899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A5C"/>
    <w:rsid w:val="00555D6F"/>
    <w:rsid w:val="00556680"/>
    <w:rsid w:val="005567BF"/>
    <w:rsid w:val="005569D2"/>
    <w:rsid w:val="00556CA4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6BE7"/>
    <w:rsid w:val="00566C25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E09"/>
    <w:rsid w:val="005760C5"/>
    <w:rsid w:val="005766EA"/>
    <w:rsid w:val="00576903"/>
    <w:rsid w:val="00576A37"/>
    <w:rsid w:val="00577368"/>
    <w:rsid w:val="005773FF"/>
    <w:rsid w:val="00577540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15A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1C29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78F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97FA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424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022"/>
    <w:rsid w:val="005C376D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929"/>
    <w:rsid w:val="005D69D5"/>
    <w:rsid w:val="005D6B30"/>
    <w:rsid w:val="005D6E1C"/>
    <w:rsid w:val="005D6F6B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3F5F"/>
    <w:rsid w:val="005E48F7"/>
    <w:rsid w:val="005E4CCB"/>
    <w:rsid w:val="005E5563"/>
    <w:rsid w:val="005E59C5"/>
    <w:rsid w:val="005E5E74"/>
    <w:rsid w:val="005E66F1"/>
    <w:rsid w:val="005E6AFB"/>
    <w:rsid w:val="005E6F9C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0DE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4FF1"/>
    <w:rsid w:val="00625B24"/>
    <w:rsid w:val="0062657C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7DE"/>
    <w:rsid w:val="00642D10"/>
    <w:rsid w:val="00642E65"/>
    <w:rsid w:val="00643769"/>
    <w:rsid w:val="006437D5"/>
    <w:rsid w:val="00643891"/>
    <w:rsid w:val="00643DCD"/>
    <w:rsid w:val="0064413F"/>
    <w:rsid w:val="00644200"/>
    <w:rsid w:val="0064428B"/>
    <w:rsid w:val="00644511"/>
    <w:rsid w:val="0064486C"/>
    <w:rsid w:val="00644E60"/>
    <w:rsid w:val="00645190"/>
    <w:rsid w:val="00645ACC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F67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908"/>
    <w:rsid w:val="00663DAB"/>
    <w:rsid w:val="00663F72"/>
    <w:rsid w:val="00664678"/>
    <w:rsid w:val="006646F4"/>
    <w:rsid w:val="00665229"/>
    <w:rsid w:val="00665316"/>
    <w:rsid w:val="006654E8"/>
    <w:rsid w:val="0066568F"/>
    <w:rsid w:val="00665CCE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2E1F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3F23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4A5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CC3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B7"/>
    <w:rsid w:val="00721DB3"/>
    <w:rsid w:val="00721E1D"/>
    <w:rsid w:val="00722260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0F0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32A"/>
    <w:rsid w:val="00735E35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62D"/>
    <w:rsid w:val="0074475B"/>
    <w:rsid w:val="00744E4F"/>
    <w:rsid w:val="0074544C"/>
    <w:rsid w:val="0074576E"/>
    <w:rsid w:val="007458E7"/>
    <w:rsid w:val="00745EBB"/>
    <w:rsid w:val="00746167"/>
    <w:rsid w:val="00746199"/>
    <w:rsid w:val="00746D90"/>
    <w:rsid w:val="00747446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FE7"/>
    <w:rsid w:val="00753F01"/>
    <w:rsid w:val="0075412E"/>
    <w:rsid w:val="007545E6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9CC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041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960"/>
    <w:rsid w:val="007F3FB0"/>
    <w:rsid w:val="007F43A9"/>
    <w:rsid w:val="007F54CD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05"/>
    <w:rsid w:val="0080397E"/>
    <w:rsid w:val="00803E2E"/>
    <w:rsid w:val="00803FD6"/>
    <w:rsid w:val="008041E1"/>
    <w:rsid w:val="00804867"/>
    <w:rsid w:val="00804B2F"/>
    <w:rsid w:val="00804B56"/>
    <w:rsid w:val="008050E9"/>
    <w:rsid w:val="008053AD"/>
    <w:rsid w:val="00805D11"/>
    <w:rsid w:val="0080656E"/>
    <w:rsid w:val="008065D0"/>
    <w:rsid w:val="0080660A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C8B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33BB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87F"/>
    <w:rsid w:val="00843AFD"/>
    <w:rsid w:val="00843B2C"/>
    <w:rsid w:val="008441B7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640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1FA4"/>
    <w:rsid w:val="00892253"/>
    <w:rsid w:val="008922DF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5AA1"/>
    <w:rsid w:val="008961A5"/>
    <w:rsid w:val="008965CC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4A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56D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BC8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52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988"/>
    <w:rsid w:val="008D1E23"/>
    <w:rsid w:val="008D2209"/>
    <w:rsid w:val="008D2461"/>
    <w:rsid w:val="008D2CFC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8A2"/>
    <w:rsid w:val="008F2A8C"/>
    <w:rsid w:val="008F2AE7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C5"/>
    <w:rsid w:val="00915B8A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3F73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5C36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1C6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035"/>
    <w:rsid w:val="009C19BC"/>
    <w:rsid w:val="009C19D2"/>
    <w:rsid w:val="009C1BF9"/>
    <w:rsid w:val="009C1D4B"/>
    <w:rsid w:val="009C1E0C"/>
    <w:rsid w:val="009C206F"/>
    <w:rsid w:val="009C281C"/>
    <w:rsid w:val="009C2AB0"/>
    <w:rsid w:val="009C3D88"/>
    <w:rsid w:val="009C42A3"/>
    <w:rsid w:val="009C4B76"/>
    <w:rsid w:val="009C509F"/>
    <w:rsid w:val="009C520B"/>
    <w:rsid w:val="009C5782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012"/>
    <w:rsid w:val="009E1137"/>
    <w:rsid w:val="009E176B"/>
    <w:rsid w:val="009E1E2C"/>
    <w:rsid w:val="009E1F70"/>
    <w:rsid w:val="009E21A4"/>
    <w:rsid w:val="009E2BE6"/>
    <w:rsid w:val="009E2CB8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0C7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606"/>
    <w:rsid w:val="009F5CA4"/>
    <w:rsid w:val="009F6410"/>
    <w:rsid w:val="009F6457"/>
    <w:rsid w:val="009F7169"/>
    <w:rsid w:val="009F7883"/>
    <w:rsid w:val="009F79BE"/>
    <w:rsid w:val="00A0018E"/>
    <w:rsid w:val="00A004F2"/>
    <w:rsid w:val="00A00B60"/>
    <w:rsid w:val="00A01006"/>
    <w:rsid w:val="00A02B26"/>
    <w:rsid w:val="00A02BEC"/>
    <w:rsid w:val="00A02C96"/>
    <w:rsid w:val="00A02D52"/>
    <w:rsid w:val="00A02FBC"/>
    <w:rsid w:val="00A03A1D"/>
    <w:rsid w:val="00A041D6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A66"/>
    <w:rsid w:val="00A13B10"/>
    <w:rsid w:val="00A13CF1"/>
    <w:rsid w:val="00A145D0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6"/>
    <w:rsid w:val="00A52EDB"/>
    <w:rsid w:val="00A532E0"/>
    <w:rsid w:val="00A53533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A75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7AD"/>
    <w:rsid w:val="00AB583A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1554"/>
    <w:rsid w:val="00AC21BA"/>
    <w:rsid w:val="00AC22C7"/>
    <w:rsid w:val="00AC2B3D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5D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F0FFE"/>
    <w:rsid w:val="00AF1414"/>
    <w:rsid w:val="00AF15C3"/>
    <w:rsid w:val="00AF19CD"/>
    <w:rsid w:val="00AF25F3"/>
    <w:rsid w:val="00AF28B0"/>
    <w:rsid w:val="00AF2DED"/>
    <w:rsid w:val="00AF3560"/>
    <w:rsid w:val="00AF3AD2"/>
    <w:rsid w:val="00AF3C80"/>
    <w:rsid w:val="00AF3C8C"/>
    <w:rsid w:val="00AF4095"/>
    <w:rsid w:val="00AF41FC"/>
    <w:rsid w:val="00AF4447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57A"/>
    <w:rsid w:val="00B317EB"/>
    <w:rsid w:val="00B318CB"/>
    <w:rsid w:val="00B31C72"/>
    <w:rsid w:val="00B31E5F"/>
    <w:rsid w:val="00B322A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1B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3A18"/>
    <w:rsid w:val="00B640AB"/>
    <w:rsid w:val="00B64124"/>
    <w:rsid w:val="00B64398"/>
    <w:rsid w:val="00B64484"/>
    <w:rsid w:val="00B645F8"/>
    <w:rsid w:val="00B64A44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60C"/>
    <w:rsid w:val="00B74A0D"/>
    <w:rsid w:val="00B74EC0"/>
    <w:rsid w:val="00B75542"/>
    <w:rsid w:val="00B75667"/>
    <w:rsid w:val="00B75A5C"/>
    <w:rsid w:val="00B75D18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A5"/>
    <w:rsid w:val="00BA40BE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DFD"/>
    <w:rsid w:val="00C02192"/>
    <w:rsid w:val="00C0279C"/>
    <w:rsid w:val="00C02C95"/>
    <w:rsid w:val="00C02CDE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BAF"/>
    <w:rsid w:val="00C67F34"/>
    <w:rsid w:val="00C70366"/>
    <w:rsid w:val="00C7040D"/>
    <w:rsid w:val="00C70B8C"/>
    <w:rsid w:val="00C71327"/>
    <w:rsid w:val="00C71468"/>
    <w:rsid w:val="00C723AF"/>
    <w:rsid w:val="00C723CA"/>
    <w:rsid w:val="00C7271F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026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8E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B0072"/>
    <w:rsid w:val="00CB01BC"/>
    <w:rsid w:val="00CB03CF"/>
    <w:rsid w:val="00CB047F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3D41"/>
    <w:rsid w:val="00CE3FBA"/>
    <w:rsid w:val="00CE5386"/>
    <w:rsid w:val="00CE53A7"/>
    <w:rsid w:val="00CE5CFD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3313"/>
    <w:rsid w:val="00D333D7"/>
    <w:rsid w:val="00D33410"/>
    <w:rsid w:val="00D33418"/>
    <w:rsid w:val="00D33458"/>
    <w:rsid w:val="00D33AFC"/>
    <w:rsid w:val="00D33C0E"/>
    <w:rsid w:val="00D33E43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B68"/>
    <w:rsid w:val="00D466E5"/>
    <w:rsid w:val="00D467C7"/>
    <w:rsid w:val="00D4688E"/>
    <w:rsid w:val="00D46E3E"/>
    <w:rsid w:val="00D46F2D"/>
    <w:rsid w:val="00D47151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387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399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2D7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EB6"/>
    <w:rsid w:val="00DF1FD6"/>
    <w:rsid w:val="00DF21AF"/>
    <w:rsid w:val="00DF2412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EA"/>
    <w:rsid w:val="00E0401E"/>
    <w:rsid w:val="00E046C1"/>
    <w:rsid w:val="00E049EC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1EB8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B2"/>
    <w:rsid w:val="00E31506"/>
    <w:rsid w:val="00E31586"/>
    <w:rsid w:val="00E3200D"/>
    <w:rsid w:val="00E32E0E"/>
    <w:rsid w:val="00E3305B"/>
    <w:rsid w:val="00E33506"/>
    <w:rsid w:val="00E33802"/>
    <w:rsid w:val="00E33814"/>
    <w:rsid w:val="00E339C6"/>
    <w:rsid w:val="00E33B8C"/>
    <w:rsid w:val="00E33D92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02B"/>
    <w:rsid w:val="00E377BF"/>
    <w:rsid w:val="00E37C25"/>
    <w:rsid w:val="00E40362"/>
    <w:rsid w:val="00E41BAC"/>
    <w:rsid w:val="00E423CE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344"/>
    <w:rsid w:val="00E508D6"/>
    <w:rsid w:val="00E515A3"/>
    <w:rsid w:val="00E51B5A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898"/>
    <w:rsid w:val="00E56D97"/>
    <w:rsid w:val="00E56E3C"/>
    <w:rsid w:val="00E56F3C"/>
    <w:rsid w:val="00E5711F"/>
    <w:rsid w:val="00E57456"/>
    <w:rsid w:val="00E57623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43D0"/>
    <w:rsid w:val="00E64763"/>
    <w:rsid w:val="00E647DC"/>
    <w:rsid w:val="00E6484F"/>
    <w:rsid w:val="00E64B4F"/>
    <w:rsid w:val="00E65A35"/>
    <w:rsid w:val="00E65E6B"/>
    <w:rsid w:val="00E6640D"/>
    <w:rsid w:val="00E66446"/>
    <w:rsid w:val="00E666A1"/>
    <w:rsid w:val="00E6682F"/>
    <w:rsid w:val="00E6713B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579C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A44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31"/>
    <w:rsid w:val="00EC3E81"/>
    <w:rsid w:val="00EC3EC8"/>
    <w:rsid w:val="00EC44E7"/>
    <w:rsid w:val="00EC4D77"/>
    <w:rsid w:val="00EC4D7B"/>
    <w:rsid w:val="00EC4E2E"/>
    <w:rsid w:val="00EC555C"/>
    <w:rsid w:val="00EC5B68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165E"/>
    <w:rsid w:val="00F11CF5"/>
    <w:rsid w:val="00F12B3D"/>
    <w:rsid w:val="00F13242"/>
    <w:rsid w:val="00F1403E"/>
    <w:rsid w:val="00F140FE"/>
    <w:rsid w:val="00F1415B"/>
    <w:rsid w:val="00F1418D"/>
    <w:rsid w:val="00F14FB4"/>
    <w:rsid w:val="00F15CF3"/>
    <w:rsid w:val="00F165FF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088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37E70"/>
    <w:rsid w:val="00F41D1F"/>
    <w:rsid w:val="00F426B0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956"/>
    <w:rsid w:val="00F82A7D"/>
    <w:rsid w:val="00F82D8E"/>
    <w:rsid w:val="00F83301"/>
    <w:rsid w:val="00F837DD"/>
    <w:rsid w:val="00F845EC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57A"/>
    <w:rsid w:val="00F9360D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66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4D0E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6F9E"/>
    <w:rsid w:val="00FC791E"/>
    <w:rsid w:val="00FC7F93"/>
    <w:rsid w:val="00FD10D2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1EC0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0B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B7F878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8F28A2"/>
    <w:rPr>
      <w:rFonts w:ascii="Arial" w:hAnsi="Arial"/>
      <w:b/>
      <w:i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7096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8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295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4964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385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433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05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547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674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61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743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39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93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55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50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863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21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85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HR33RHYHUWRF-4-1528</_dlc_DocId>
    <_dlc_DocIdUrl xmlns="c06861ca-3f08-4d07-bff7-bb15bac121f4">
      <Url>https://projects.qualcomm.com/sites/pentari/_layouts/15/DocIdRedir.aspx?ID=HR33RHYHUWRF-4-1528</Url>
      <Description>HR33RHYHUWRF-4-1528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4B5106-79EF-4320-9F04-C2752275F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937</Words>
  <Characters>5342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Common control resource set and UE-specific control resource set</vt:lpstr>
    </vt:vector>
  </TitlesOfParts>
  <Company>Qualcomm Inc.</Company>
  <LinksUpToDate>false</LinksUpToDate>
  <CharactersWithSpaces>6267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Common control resource set and UE-specific control resource set</dc:title>
  <dc:subject/>
  <dc:creator>Qualcomm Inc.</dc:creator>
  <cp:keywords/>
  <cp:lastModifiedBy>Lee, Heechoon</cp:lastModifiedBy>
  <cp:revision>3</cp:revision>
  <cp:lastPrinted>2014-11-07T05:38:00Z</cp:lastPrinted>
  <dcterms:created xsi:type="dcterms:W3CDTF">2017-01-10T04:10:00Z</dcterms:created>
  <dcterms:modified xsi:type="dcterms:W3CDTF">2017-01-10T04:11:00Z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e14f7b6e-629d-40f3-8f70-14b8ac33d74e</vt:lpwstr>
  </property>
  <property fmtid="{D5CDD505-2E9C-101B-9397-08002B2CF9AE}" pid="4" name="_AdHocReviewCycleID">
    <vt:i4>-142651373</vt:i4>
  </property>
  <property fmtid="{D5CDD505-2E9C-101B-9397-08002B2CF9AE}" pid="5" name="_NewReviewCycle">
    <vt:lpwstr/>
  </property>
  <property fmtid="{D5CDD505-2E9C-101B-9397-08002B2CF9AE}" pid="6" name="_EmailSubject">
    <vt:lpwstr>Control channel contributions for RAN1#87</vt:lpwstr>
  </property>
  <property fmtid="{D5CDD505-2E9C-101B-9397-08002B2CF9AE}" pid="7" name="_AuthorEmail">
    <vt:lpwstr>jingsun@qti.qualcomm.com</vt:lpwstr>
  </property>
  <property fmtid="{D5CDD505-2E9C-101B-9397-08002B2CF9AE}" pid="8" name="_AuthorEmailDisplayName">
    <vt:lpwstr>Sun, Jing</vt:lpwstr>
  </property>
  <property fmtid="{D5CDD505-2E9C-101B-9397-08002B2CF9AE}" pid="9" name="_ReviewingToolsShownOnce">
    <vt:lpwstr/>
  </property>
</Properties>
</file>