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2533D0">
        <w:rPr>
          <w:rFonts w:ascii="Arial" w:hAnsi="Arial" w:cs="Arial"/>
          <w:b/>
          <w:bCs/>
          <w:sz w:val="22"/>
          <w:lang w:val="en-GB"/>
        </w:rPr>
        <w:t>AH_NR</w:t>
      </w:r>
      <w:r w:rsidR="00BC0245">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Pr>
          <w:rFonts w:ascii="Arial" w:hAnsi="Arial" w:cs="Arial"/>
          <w:b/>
          <w:bCs/>
          <w:sz w:val="22"/>
          <w:lang w:val="en-GB"/>
        </w:rPr>
        <w:t>700104</w:t>
      </w:r>
      <w:r w:rsidR="00A569A4" w:rsidRPr="00525CF4">
        <w:rPr>
          <w:rFonts w:ascii="Arial" w:hAnsi="Arial" w:cs="Arial" w:hint="eastAsia"/>
          <w:b/>
          <w:bCs/>
          <w:sz w:val="22"/>
          <w:lang w:val="en-GB"/>
        </w:rPr>
        <w:t xml:space="preserve"> </w:t>
      </w:r>
    </w:p>
    <w:p w:rsidR="00A569A4" w:rsidRPr="00525CF4" w:rsidRDefault="00630E30"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Spokane</w:t>
      </w:r>
      <w:r w:rsidR="00B87244">
        <w:rPr>
          <w:rFonts w:ascii="Arial" w:hAnsi="Arial" w:cs="Arial"/>
          <w:b/>
          <w:bCs/>
          <w:sz w:val="22"/>
          <w:lang w:val="en-GB"/>
        </w:rPr>
        <w:t xml:space="preserve">, </w:t>
      </w:r>
      <w:r w:rsidR="002441F4">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6</w:t>
      </w:r>
      <w:r w:rsidR="00DF219B">
        <w:rPr>
          <w:rFonts w:ascii="Arial" w:hAnsi="Arial" w:cs="Arial"/>
          <w:b/>
          <w:bCs/>
          <w:sz w:val="22"/>
          <w:lang w:val="en-GB"/>
        </w:rPr>
        <w:t>th</w:t>
      </w:r>
      <w:r w:rsidR="00A569A4" w:rsidRPr="00525CF4">
        <w:rPr>
          <w:rFonts w:ascii="Arial" w:hAnsi="Arial" w:cs="Arial"/>
          <w:b/>
          <w:bCs/>
          <w:sz w:val="22"/>
          <w:lang w:val="en-GB"/>
        </w:rPr>
        <w:t xml:space="preserve"> - </w:t>
      </w:r>
      <w:r>
        <w:rPr>
          <w:rFonts w:ascii="Arial" w:hAnsi="Arial" w:cs="Arial"/>
          <w:b/>
          <w:bCs/>
          <w:sz w:val="22"/>
          <w:lang w:val="en-GB"/>
        </w:rPr>
        <w:t>20</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January</w:t>
      </w:r>
      <w:r w:rsidR="00A569A4" w:rsidRPr="00525CF4">
        <w:rPr>
          <w:rFonts w:ascii="Arial" w:hAnsi="Arial" w:cs="Arial"/>
          <w:b/>
          <w:bCs/>
          <w:sz w:val="22"/>
          <w:lang w:val="en-GB"/>
        </w:rPr>
        <w:t xml:space="preserve"> 201</w:t>
      </w:r>
      <w:r>
        <w:rPr>
          <w:rFonts w:ascii="Arial" w:hAnsi="Arial" w:cs="Arial"/>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630E30">
        <w:rPr>
          <w:rFonts w:ascii="Arial" w:hAnsi="Arial" w:cs="Arial"/>
          <w:b/>
          <w:bCs/>
          <w:sz w:val="22"/>
          <w:lang w:val="en-GB"/>
        </w:rPr>
        <w:t>4-step Random Access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630E30">
        <w:rPr>
          <w:rFonts w:ascii="Arial" w:hAnsi="Arial" w:cs="Arial"/>
          <w:b/>
          <w:bCs/>
          <w:sz w:val="22"/>
          <w:lang w:val="en-GB"/>
        </w:rPr>
        <w:t>5.1.1.4.2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247C07" w:rsidRDefault="009E555F" w:rsidP="00120DE8">
      <w:pPr>
        <w:adjustRightInd/>
        <w:snapToGrid w:val="0"/>
        <w:spacing w:after="120"/>
        <w:jc w:val="both"/>
      </w:pPr>
      <w:r>
        <w:t>I</w:t>
      </w:r>
      <w:r>
        <w:rPr>
          <w:rFonts w:hint="eastAsia"/>
        </w:rPr>
        <w:t xml:space="preserve">n </w:t>
      </w:r>
      <w:r w:rsidR="00630E30">
        <w:t>this contribution we discuss further details of the 4-step random access</w:t>
      </w:r>
      <w:r w:rsidR="00E62044">
        <w:t xml:space="preserve"> </w:t>
      </w:r>
      <w:r w:rsidR="00630E30">
        <w:t>procedure in NR.</w:t>
      </w:r>
      <w:r w:rsidR="0025258B">
        <w:t xml:space="preserve"> Both IDLE and CONNECTED mode random access is considered</w:t>
      </w:r>
      <w:r w:rsidR="00B54159">
        <w:t xml:space="preserve"> </w:t>
      </w:r>
      <w:r w:rsidR="00DC0848">
        <w:fldChar w:fldCharType="begin"/>
      </w:r>
      <w:r w:rsidR="00B54159">
        <w:instrText xml:space="preserve"> REF _Ref470322357 \r \h </w:instrText>
      </w:r>
      <w:r w:rsidR="00DC0848">
        <w:fldChar w:fldCharType="separate"/>
      </w:r>
      <w:r w:rsidR="001A0A0F">
        <w:t>[1]</w:t>
      </w:r>
      <w:r w:rsidR="00DC0848">
        <w:fldChar w:fldCharType="end"/>
      </w:r>
      <w:r w:rsidR="0025258B">
        <w:t>.</w:t>
      </w:r>
    </w:p>
    <w:p w:rsidR="00247C07" w:rsidRDefault="00630E30" w:rsidP="009E555F">
      <w:pPr>
        <w:adjustRightInd/>
        <w:snapToGrid w:val="0"/>
        <w:spacing w:after="120"/>
        <w:jc w:val="both"/>
      </w:pPr>
      <w:r>
        <w:t xml:space="preserve">The four steps are based on the exchange of four messages </w:t>
      </w:r>
      <w:r w:rsidR="00EC6902">
        <w:t xml:space="preserve">(MSG) </w:t>
      </w:r>
      <w:r>
        <w:t>between the UE and the gNB:</w:t>
      </w:r>
    </w:p>
    <w:p w:rsidR="00630E30" w:rsidRDefault="00630E30" w:rsidP="00630E30">
      <w:pPr>
        <w:pStyle w:val="ListParagraph"/>
        <w:numPr>
          <w:ilvl w:val="0"/>
          <w:numId w:val="26"/>
        </w:numPr>
        <w:adjustRightInd/>
        <w:snapToGrid w:val="0"/>
        <w:spacing w:after="120"/>
        <w:ind w:firstLineChars="0"/>
        <w:jc w:val="both"/>
      </w:pPr>
      <w:r>
        <w:t>MSG1: One or more preambles transmitted by the UE according to the random access configuration and DL measurements.</w:t>
      </w:r>
    </w:p>
    <w:p w:rsidR="00630E30" w:rsidRDefault="00630E30" w:rsidP="00630E30">
      <w:pPr>
        <w:pStyle w:val="ListParagraph"/>
        <w:numPr>
          <w:ilvl w:val="0"/>
          <w:numId w:val="26"/>
        </w:numPr>
        <w:adjustRightInd/>
        <w:snapToGrid w:val="0"/>
        <w:spacing w:after="120"/>
        <w:ind w:firstLineChars="0"/>
        <w:jc w:val="both"/>
      </w:pPr>
      <w:r>
        <w:t>MSG2: One or more responses to the MSG1 pre</w:t>
      </w:r>
      <w:r w:rsidR="00D939A3">
        <w:t>amble(s) transmitted by the gNB, providing further information and scheduling of MSG3.</w:t>
      </w:r>
    </w:p>
    <w:p w:rsidR="00630E30" w:rsidRDefault="00630E30" w:rsidP="00630E30">
      <w:pPr>
        <w:pStyle w:val="ListParagraph"/>
        <w:numPr>
          <w:ilvl w:val="0"/>
          <w:numId w:val="26"/>
        </w:numPr>
        <w:adjustRightInd/>
        <w:snapToGrid w:val="0"/>
        <w:spacing w:after="120"/>
        <w:ind w:firstLineChars="0"/>
        <w:jc w:val="both"/>
      </w:pPr>
      <w:r>
        <w:t xml:space="preserve">MSG3: </w:t>
      </w:r>
      <w:r w:rsidR="00D939A3">
        <w:t>L2/L3 message</w:t>
      </w:r>
    </w:p>
    <w:p w:rsidR="00EC6902" w:rsidRDefault="00D939A3" w:rsidP="00630E30">
      <w:pPr>
        <w:pStyle w:val="ListParagraph"/>
        <w:numPr>
          <w:ilvl w:val="0"/>
          <w:numId w:val="26"/>
        </w:numPr>
        <w:adjustRightInd/>
        <w:snapToGrid w:val="0"/>
        <w:spacing w:after="120"/>
        <w:ind w:firstLineChars="0"/>
        <w:jc w:val="both"/>
      </w:pPr>
      <w:r>
        <w:t>MSG4: Contention resolution</w:t>
      </w:r>
    </w:p>
    <w:p w:rsidR="00630E30" w:rsidRPr="005B0B97" w:rsidRDefault="00630E30" w:rsidP="009E555F">
      <w:pPr>
        <w:adjustRightInd/>
        <w:snapToGrid w:val="0"/>
        <w:spacing w:after="120"/>
        <w:jc w:val="both"/>
      </w:pPr>
      <w:r>
        <w:t xml:space="preserve">The </w:t>
      </w:r>
      <w:r w:rsidR="003B6445">
        <w:t>NR 4-</w:t>
      </w:r>
      <w:r>
        <w:t xml:space="preserve">step procedure largely follows the principles of the LTE 4-step random access procedure. </w:t>
      </w:r>
      <w:r w:rsidR="0025258B">
        <w:t>Before the first step, the UE needs to obtain DL synchronization, obtain the random access configuration and perform measurements.</w:t>
      </w:r>
    </w:p>
    <w:p w:rsidR="003F6350" w:rsidRDefault="003F6350" w:rsidP="0022417E">
      <w:pPr>
        <w:pStyle w:val="Heading1"/>
      </w:pPr>
      <w:r>
        <w:t>Random Access Configuration</w:t>
      </w:r>
    </w:p>
    <w:p w:rsidR="003F6350" w:rsidRDefault="00E5500B" w:rsidP="003F6350">
      <w:pPr>
        <w:pStyle w:val="Heading2"/>
      </w:pPr>
      <w:r>
        <w:t>Overview</w:t>
      </w:r>
    </w:p>
    <w:p w:rsidR="00163996" w:rsidRDefault="00163996" w:rsidP="003F6350">
      <w:pPr>
        <w:rPr>
          <w:lang w:val="en-GB" w:eastAsia="en-US"/>
        </w:rPr>
      </w:pPr>
      <w:r>
        <w:rPr>
          <w:lang w:val="en-GB" w:eastAsia="en-US"/>
        </w:rPr>
        <w:t xml:space="preserve">In order to support the diverse NR usage scenarios and </w:t>
      </w:r>
      <w:r w:rsidR="004F5E3C">
        <w:rPr>
          <w:lang w:val="en-GB" w:eastAsia="en-US"/>
        </w:rPr>
        <w:t xml:space="preserve">ensure </w:t>
      </w:r>
      <w:r>
        <w:rPr>
          <w:lang w:val="en-GB" w:eastAsia="en-US"/>
        </w:rPr>
        <w:t xml:space="preserve">forward compatibility, </w:t>
      </w:r>
      <w:r w:rsidR="004F5E3C">
        <w:rPr>
          <w:lang w:val="en-GB" w:eastAsia="en-US"/>
        </w:rPr>
        <w:t xml:space="preserve">NR </w:t>
      </w:r>
      <w:r>
        <w:rPr>
          <w:lang w:val="en-GB" w:eastAsia="en-US"/>
        </w:rPr>
        <w:t>random access needs to be flexible and configurable. However, in order to avoid an overwhelming random access configuration, the aspects to be flexible and configurable need to be selected carefully.</w:t>
      </w:r>
      <w:r w:rsidR="00BF0060">
        <w:rPr>
          <w:lang w:val="en-GB" w:eastAsia="en-US"/>
        </w:rPr>
        <w:t xml:space="preserve"> </w:t>
      </w:r>
      <w:r>
        <w:rPr>
          <w:lang w:val="en-GB" w:eastAsia="en-US"/>
        </w:rPr>
        <w:t xml:space="preserve">The random access configuration LTE can be taken as a </w:t>
      </w:r>
      <w:r w:rsidR="009033C4">
        <w:rPr>
          <w:lang w:val="en-GB" w:eastAsia="en-US"/>
        </w:rPr>
        <w:t>baseline for the random access configuration in NR</w:t>
      </w:r>
      <w:r w:rsidR="00827764">
        <w:rPr>
          <w:lang w:val="en-GB" w:eastAsia="en-US"/>
        </w:rPr>
        <w:t>, with a few aspects modified as discussed below.</w:t>
      </w:r>
      <w:r w:rsidR="009033C4">
        <w:rPr>
          <w:lang w:val="en-GB" w:eastAsia="en-US"/>
        </w:rPr>
        <w:t xml:space="preserve"> </w:t>
      </w:r>
    </w:p>
    <w:p w:rsidR="00827764" w:rsidRDefault="00827764" w:rsidP="00827764">
      <w:pPr>
        <w:spacing w:before="240"/>
        <w:rPr>
          <w:lang w:val="en-GB" w:eastAsia="en-US"/>
        </w:rPr>
      </w:pPr>
      <w:r w:rsidRPr="00827764">
        <w:rPr>
          <w:lang w:val="en-GB" w:eastAsia="en-US"/>
        </w:rPr>
        <w:t xml:space="preserve">In LTE, the preamble format and the set of PRACH subframes is jointly indicated by the PRACH configuration index (0-63). In NR, the preamble format </w:t>
      </w:r>
      <w:r w:rsidR="00AF65EF">
        <w:rPr>
          <w:lang w:val="en-GB" w:eastAsia="en-US"/>
        </w:rPr>
        <w:t>will comprise several aspects</w:t>
      </w:r>
      <w:r w:rsidRPr="00827764">
        <w:rPr>
          <w:lang w:val="en-GB" w:eastAsia="en-US"/>
        </w:rPr>
        <w:t xml:space="preserve"> including the number of repetitions </w:t>
      </w:r>
      <w:r w:rsidR="000D7DC9">
        <w:rPr>
          <w:lang w:val="en-GB" w:eastAsia="en-US"/>
        </w:rPr>
        <w:t xml:space="preserve">(e.g. to support TRP Rx beam sweeping) </w:t>
      </w:r>
      <w:r w:rsidRPr="00827764">
        <w:rPr>
          <w:lang w:val="en-GB" w:eastAsia="en-US"/>
        </w:rPr>
        <w:t>and the preamble numerology (e.g. subcarrier spacing)</w:t>
      </w:r>
      <w:r w:rsidR="00AF65EF">
        <w:rPr>
          <w:lang w:val="en-GB" w:eastAsia="en-US"/>
        </w:rPr>
        <w:t xml:space="preserve"> </w:t>
      </w:r>
      <w:r w:rsidR="00DC0848">
        <w:rPr>
          <w:lang w:val="en-GB" w:eastAsia="en-US"/>
        </w:rPr>
        <w:fldChar w:fldCharType="begin"/>
      </w:r>
      <w:r w:rsidR="00AF65EF">
        <w:rPr>
          <w:lang w:val="en-GB" w:eastAsia="en-US"/>
        </w:rPr>
        <w:instrText xml:space="preserve"> REF _Ref470858292 \r \h </w:instrText>
      </w:r>
      <w:r w:rsidR="00DC0848">
        <w:rPr>
          <w:lang w:val="en-GB" w:eastAsia="en-US"/>
        </w:rPr>
      </w:r>
      <w:r w:rsidR="00DC0848">
        <w:rPr>
          <w:lang w:val="en-GB" w:eastAsia="en-US"/>
        </w:rPr>
        <w:fldChar w:fldCharType="separate"/>
      </w:r>
      <w:r w:rsidR="001A0A0F">
        <w:rPr>
          <w:lang w:val="en-GB" w:eastAsia="en-US"/>
        </w:rPr>
        <w:t>[2]</w:t>
      </w:r>
      <w:r w:rsidR="00DC0848">
        <w:rPr>
          <w:lang w:val="en-GB" w:eastAsia="en-US"/>
        </w:rPr>
        <w:fldChar w:fldCharType="end"/>
      </w:r>
      <w:r w:rsidRPr="00827764">
        <w:rPr>
          <w:lang w:val="en-GB" w:eastAsia="en-US"/>
        </w:rPr>
        <w:t>. Combined with a wide range of PRACH subframe sets, the amount of combinations may be excessive.</w:t>
      </w:r>
      <w:r>
        <w:rPr>
          <w:lang w:val="en-GB" w:eastAsia="en-US"/>
        </w:rPr>
        <w:t xml:space="preserve"> However, the typical preamble formats may heavily depend on the carrier frequency</w:t>
      </w:r>
      <w:r w:rsidR="00AA2253">
        <w:rPr>
          <w:lang w:val="en-GB" w:eastAsia="en-US"/>
        </w:rPr>
        <w:t>, with higher numbers of repetitions and higher subcarrier spacings being more prevalent at higher carrier frequencies</w:t>
      </w:r>
      <w:r>
        <w:rPr>
          <w:lang w:val="en-GB" w:eastAsia="en-US"/>
        </w:rPr>
        <w:t xml:space="preserve">. Therefore, the meaning of the </w:t>
      </w:r>
      <w:r w:rsidR="00AA2253">
        <w:rPr>
          <w:lang w:val="en-GB" w:eastAsia="en-US"/>
        </w:rPr>
        <w:t>PRACH</w:t>
      </w:r>
      <w:r>
        <w:rPr>
          <w:lang w:val="en-GB" w:eastAsia="en-US"/>
        </w:rPr>
        <w:t xml:space="preserve"> configuration index may </w:t>
      </w:r>
      <w:r w:rsidR="00AA2253">
        <w:rPr>
          <w:lang w:val="en-GB" w:eastAsia="en-US"/>
        </w:rPr>
        <w:t xml:space="preserve">be frequency dependent in NR. </w:t>
      </w:r>
    </w:p>
    <w:p w:rsidR="00AA2253" w:rsidRDefault="00AA2253" w:rsidP="00AA2253">
      <w:pPr>
        <w:pStyle w:val="Caption"/>
        <w:spacing w:before="0" w:after="0"/>
        <w:jc w:val="both"/>
        <w:rPr>
          <w:i/>
        </w:rPr>
      </w:pPr>
      <w:r w:rsidRPr="00303F19">
        <w:rPr>
          <w:i/>
        </w:rPr>
        <w:lastRenderedPageBreak/>
        <w:t>Proposal</w:t>
      </w:r>
      <w:r>
        <w:rPr>
          <w:i/>
          <w:lang w:eastAsia="zh-CN"/>
        </w:rPr>
        <w:t xml:space="preserve"> 1</w:t>
      </w:r>
      <w:r w:rsidR="004F5E3C">
        <w:rPr>
          <w:i/>
        </w:rPr>
        <w:t>:</w:t>
      </w:r>
      <w:r w:rsidR="00235FE8">
        <w:rPr>
          <w:i/>
        </w:rPr>
        <w:t xml:space="preserve"> </w:t>
      </w:r>
      <w:r w:rsidR="004F5E3C">
        <w:rPr>
          <w:i/>
        </w:rPr>
        <w:t xml:space="preserve">The </w:t>
      </w:r>
      <w:r w:rsidR="000D7DC9">
        <w:rPr>
          <w:i/>
        </w:rPr>
        <w:t xml:space="preserve">meaning of the </w:t>
      </w:r>
      <w:r w:rsidR="004F5E3C">
        <w:rPr>
          <w:i/>
        </w:rPr>
        <w:t>MSG1 preamble format and resource configuration (e.g. a PRACH configuration index) in the random access configuration</w:t>
      </w:r>
      <w:r>
        <w:rPr>
          <w:i/>
        </w:rPr>
        <w:t xml:space="preserve"> is frequency dependent.</w:t>
      </w:r>
    </w:p>
    <w:p w:rsidR="00577FB6" w:rsidRDefault="004F5E3C" w:rsidP="00827764">
      <w:pPr>
        <w:spacing w:before="240"/>
        <w:rPr>
          <w:lang w:val="en-GB" w:eastAsia="en-US"/>
        </w:rPr>
      </w:pPr>
      <w:r>
        <w:rPr>
          <w:lang w:val="en-GB" w:eastAsia="en-US"/>
        </w:rPr>
        <w:t xml:space="preserve">The </w:t>
      </w:r>
      <w:r w:rsidR="000D7DC9">
        <w:rPr>
          <w:lang w:val="en-GB" w:eastAsia="en-US"/>
        </w:rPr>
        <w:t xml:space="preserve">MSG1 preamble format and resource configuration (e.g. in </w:t>
      </w:r>
      <w:r w:rsidR="00EC4294">
        <w:rPr>
          <w:lang w:val="en-GB" w:eastAsia="en-US"/>
        </w:rPr>
        <w:t xml:space="preserve">the </w:t>
      </w:r>
      <w:r w:rsidR="000D7DC9">
        <w:rPr>
          <w:lang w:val="en-GB" w:eastAsia="en-US"/>
        </w:rPr>
        <w:t xml:space="preserve">form of a </w:t>
      </w:r>
      <w:r>
        <w:rPr>
          <w:lang w:val="en-GB" w:eastAsia="en-US"/>
        </w:rPr>
        <w:t>PRACH configuration index</w:t>
      </w:r>
      <w:r w:rsidR="000D7DC9">
        <w:rPr>
          <w:lang w:val="en-GB" w:eastAsia="en-US"/>
        </w:rPr>
        <w:t>)</w:t>
      </w:r>
      <w:r>
        <w:rPr>
          <w:lang w:val="en-GB" w:eastAsia="en-US"/>
        </w:rPr>
        <w:t xml:space="preserve"> defines all available resources for MSG1 transmission</w:t>
      </w:r>
      <w:r w:rsidR="000D3D08">
        <w:rPr>
          <w:lang w:val="en-GB" w:eastAsia="en-US"/>
        </w:rPr>
        <w:t>, at least for the configured UE</w:t>
      </w:r>
      <w:r>
        <w:rPr>
          <w:lang w:val="en-GB" w:eastAsia="en-US"/>
        </w:rPr>
        <w:t xml:space="preserve">. However, </w:t>
      </w:r>
      <w:r w:rsidR="000D3D08">
        <w:rPr>
          <w:lang w:val="en-GB" w:eastAsia="en-US"/>
        </w:rPr>
        <w:t>the</w:t>
      </w:r>
      <w:r w:rsidR="000D7DC9">
        <w:rPr>
          <w:lang w:val="en-GB" w:eastAsia="en-US"/>
        </w:rPr>
        <w:t xml:space="preserve"> UE may be configured to select a subset of those resources based on an association with DL broadcast channels/signals. </w:t>
      </w:r>
    </w:p>
    <w:p w:rsidR="00577FB6" w:rsidRPr="00577FB6" w:rsidRDefault="00577FB6" w:rsidP="00577FB6">
      <w:pPr>
        <w:pStyle w:val="Heading2"/>
      </w:pPr>
      <w:bookmarkStart w:id="2" w:name="_Ref471151007"/>
      <w:r>
        <w:t>Random Access Configuration Parameters</w:t>
      </w:r>
      <w:bookmarkEnd w:id="2"/>
    </w:p>
    <w:p w:rsidR="00AA2253" w:rsidRDefault="00EC4294" w:rsidP="00827764">
      <w:pPr>
        <w:spacing w:before="240"/>
        <w:rPr>
          <w:lang w:val="en-GB" w:eastAsia="en-US"/>
        </w:rPr>
      </w:pPr>
      <w:r>
        <w:rPr>
          <w:lang w:val="en-GB" w:eastAsia="en-US"/>
        </w:rPr>
        <w:t>I</w:t>
      </w:r>
      <w:r w:rsidR="000D7DC9">
        <w:rPr>
          <w:lang w:val="en-GB" w:eastAsia="en-US"/>
        </w:rPr>
        <w:t xml:space="preserve">n </w:t>
      </w:r>
      <w:r w:rsidR="00DC0848">
        <w:rPr>
          <w:lang w:val="en-GB" w:eastAsia="en-US"/>
        </w:rPr>
        <w:fldChar w:fldCharType="begin"/>
      </w:r>
      <w:r>
        <w:rPr>
          <w:lang w:val="en-GB" w:eastAsia="en-US"/>
        </w:rPr>
        <w:instrText xml:space="preserve"> REF _Ref466057152 \r \h </w:instrText>
      </w:r>
      <w:r w:rsidR="00DC0848">
        <w:rPr>
          <w:lang w:val="en-GB" w:eastAsia="en-US"/>
        </w:rPr>
      </w:r>
      <w:r w:rsidR="00DC0848">
        <w:rPr>
          <w:lang w:val="en-GB" w:eastAsia="en-US"/>
        </w:rPr>
        <w:fldChar w:fldCharType="separate"/>
      </w:r>
      <w:r w:rsidR="001A0A0F">
        <w:rPr>
          <w:lang w:val="en-GB" w:eastAsia="en-US"/>
        </w:rPr>
        <w:t>[3]</w:t>
      </w:r>
      <w:r w:rsidR="00DC0848">
        <w:rPr>
          <w:lang w:val="en-GB" w:eastAsia="en-US"/>
        </w:rPr>
        <w:fldChar w:fldCharType="end"/>
      </w:r>
      <w:r>
        <w:rPr>
          <w:lang w:val="en-GB" w:eastAsia="en-US"/>
        </w:rPr>
        <w:t xml:space="preserve">, we proposed </w:t>
      </w:r>
      <w:r w:rsidR="009D50FC">
        <w:rPr>
          <w:lang w:val="en-GB" w:eastAsia="en-US"/>
        </w:rPr>
        <w:t>that</w:t>
      </w:r>
      <w:r>
        <w:rPr>
          <w:lang w:val="en-GB" w:eastAsia="en-US"/>
        </w:rPr>
        <w:t xml:space="preserve"> measurement results (e.g. the best) </w:t>
      </w:r>
      <w:r w:rsidR="009D50FC">
        <w:rPr>
          <w:lang w:val="en-GB" w:eastAsia="en-US"/>
        </w:rPr>
        <w:t xml:space="preserve">are associated with </w:t>
      </w:r>
      <w:r w:rsidRPr="00A7476A">
        <w:rPr>
          <w:b/>
          <w:lang w:val="en-GB" w:eastAsia="en-US"/>
        </w:rPr>
        <w:t>RACH group</w:t>
      </w:r>
      <w:r w:rsidR="009D50FC">
        <w:rPr>
          <w:b/>
          <w:lang w:val="en-GB" w:eastAsia="en-US"/>
        </w:rPr>
        <w:t>s</w:t>
      </w:r>
      <w:r>
        <w:rPr>
          <w:lang w:val="en-GB" w:eastAsia="en-US"/>
        </w:rPr>
        <w:t xml:space="preserve">, where a </w:t>
      </w:r>
      <w:r w:rsidRPr="00A7476A">
        <w:rPr>
          <w:lang w:val="en-GB" w:eastAsia="en-US"/>
        </w:rPr>
        <w:t>RACH group</w:t>
      </w:r>
      <w:r>
        <w:rPr>
          <w:lang w:val="en-GB" w:eastAsia="en-US"/>
        </w:rPr>
        <w:t xml:space="preserve"> is defined below:</w:t>
      </w:r>
    </w:p>
    <w:p w:rsidR="00EC4294" w:rsidRDefault="00EC4294" w:rsidP="00EC4294">
      <w:pPr>
        <w:pStyle w:val="ListParagraph"/>
        <w:numPr>
          <w:ilvl w:val="0"/>
          <w:numId w:val="30"/>
        </w:numPr>
        <w:ind w:firstLineChars="0"/>
        <w:rPr>
          <w:lang w:val="en-GB" w:eastAsia="en-US"/>
        </w:rPr>
      </w:pPr>
      <w:r>
        <w:rPr>
          <w:lang w:val="en-GB" w:eastAsia="en-US"/>
        </w:rPr>
        <w:t>A RACH group is a combination of:</w:t>
      </w:r>
    </w:p>
    <w:p w:rsidR="00EC4294" w:rsidRDefault="00EC4294" w:rsidP="00EC4294">
      <w:pPr>
        <w:pStyle w:val="ListParagraph"/>
        <w:numPr>
          <w:ilvl w:val="1"/>
          <w:numId w:val="30"/>
        </w:numPr>
        <w:ind w:firstLineChars="0"/>
        <w:rPr>
          <w:lang w:val="en-GB" w:eastAsia="en-US"/>
        </w:rPr>
      </w:pPr>
      <w:r>
        <w:rPr>
          <w:lang w:val="en-GB" w:eastAsia="en-US"/>
        </w:rPr>
        <w:t>A subset of RACH resources</w:t>
      </w:r>
      <w:r w:rsidR="000D3D08">
        <w:rPr>
          <w:lang w:val="en-GB" w:eastAsia="en-US"/>
        </w:rPr>
        <w:t>,</w:t>
      </w:r>
    </w:p>
    <w:p w:rsidR="00EC4294" w:rsidRPr="00EC4294" w:rsidRDefault="00EC4294" w:rsidP="00EC4294">
      <w:pPr>
        <w:pStyle w:val="ListParagraph"/>
        <w:numPr>
          <w:ilvl w:val="1"/>
          <w:numId w:val="30"/>
        </w:numPr>
        <w:ind w:firstLineChars="0"/>
        <w:rPr>
          <w:lang w:val="en-GB" w:eastAsia="en-US"/>
        </w:rPr>
      </w:pPr>
      <w:r>
        <w:rPr>
          <w:lang w:val="en-GB" w:eastAsia="en-US"/>
        </w:rPr>
        <w:t>A subset of PRACH preambles</w:t>
      </w:r>
      <w:r w:rsidR="000D3D08">
        <w:rPr>
          <w:lang w:val="en-GB" w:eastAsia="en-US"/>
        </w:rPr>
        <w:t>.</w:t>
      </w:r>
    </w:p>
    <w:p w:rsidR="00EC4294" w:rsidRDefault="000D3D08" w:rsidP="003F6350">
      <w:pPr>
        <w:rPr>
          <w:lang w:val="en-GB" w:eastAsia="en-US"/>
        </w:rPr>
      </w:pPr>
      <w:r>
        <w:rPr>
          <w:lang w:val="en-GB" w:eastAsia="en-US"/>
        </w:rPr>
        <w:t>This goes beyond the agreements</w:t>
      </w:r>
      <w:r w:rsidR="006C37BA">
        <w:rPr>
          <w:lang w:val="en-GB" w:eastAsia="en-US"/>
        </w:rPr>
        <w:t xml:space="preserve"> in </w:t>
      </w:r>
      <w:r w:rsidR="00DC0848">
        <w:rPr>
          <w:lang w:val="en-GB" w:eastAsia="en-US"/>
        </w:rPr>
        <w:fldChar w:fldCharType="begin"/>
      </w:r>
      <w:r w:rsidR="006C37BA">
        <w:rPr>
          <w:lang w:val="en-GB" w:eastAsia="en-US"/>
        </w:rPr>
        <w:instrText xml:space="preserve"> REF _Ref470322357 \r \h </w:instrText>
      </w:r>
      <w:r w:rsidR="00DC0848">
        <w:rPr>
          <w:lang w:val="en-GB" w:eastAsia="en-US"/>
        </w:rPr>
      </w:r>
      <w:r w:rsidR="00DC0848">
        <w:rPr>
          <w:lang w:val="en-GB" w:eastAsia="en-US"/>
        </w:rPr>
        <w:fldChar w:fldCharType="separate"/>
      </w:r>
      <w:r w:rsidR="001A0A0F">
        <w:rPr>
          <w:lang w:val="en-GB" w:eastAsia="en-US"/>
        </w:rPr>
        <w:t>[1]</w:t>
      </w:r>
      <w:r w:rsidR="00DC0848">
        <w:rPr>
          <w:lang w:val="en-GB" w:eastAsia="en-US"/>
        </w:rPr>
        <w:fldChar w:fldCharType="end"/>
      </w:r>
      <w:r>
        <w:rPr>
          <w:lang w:val="en-GB" w:eastAsia="en-US"/>
        </w:rPr>
        <w:t xml:space="preserve"> by adding a subset of preambles to the association. </w:t>
      </w:r>
      <w:r w:rsidR="00EC4294">
        <w:rPr>
          <w:lang w:val="en-GB" w:eastAsia="en-US"/>
        </w:rPr>
        <w:t>RACH groups are disjoint if any combination of RACH resource and preamble is contained in at most one RACH group.</w:t>
      </w:r>
      <w:r w:rsidR="00351228">
        <w:rPr>
          <w:lang w:val="en-GB" w:eastAsia="en-US"/>
        </w:rPr>
        <w:t xml:space="preserve"> The association</w:t>
      </w:r>
      <w:r w:rsidR="006C37BA">
        <w:rPr>
          <w:lang w:val="en-GB" w:eastAsia="en-US"/>
        </w:rPr>
        <w:t>s</w:t>
      </w:r>
      <w:r w:rsidR="00351228">
        <w:rPr>
          <w:lang w:val="en-GB" w:eastAsia="en-US"/>
        </w:rPr>
        <w:t xml:space="preserve"> </w:t>
      </w:r>
      <w:r w:rsidR="005E5D4A">
        <w:rPr>
          <w:lang w:val="en-GB" w:eastAsia="en-US"/>
        </w:rPr>
        <w:t xml:space="preserve">between measurement results and RACH groups </w:t>
      </w:r>
      <w:r w:rsidR="006C37BA">
        <w:rPr>
          <w:lang w:val="en-GB" w:eastAsia="en-US"/>
        </w:rPr>
        <w:t>are</w:t>
      </w:r>
      <w:r w:rsidR="00351228">
        <w:rPr>
          <w:lang w:val="en-GB" w:eastAsia="en-US"/>
        </w:rPr>
        <w:t xml:space="preserve"> configured in the random access configuration</w:t>
      </w:r>
      <w:r w:rsidR="005E5D4A">
        <w:rPr>
          <w:lang w:val="en-GB" w:eastAsia="en-US"/>
        </w:rPr>
        <w:t>. The following bullets list an example of parameters to define RACH groups and the association</w:t>
      </w:r>
      <w:r w:rsidR="006C37BA">
        <w:rPr>
          <w:lang w:val="en-GB" w:eastAsia="en-US"/>
        </w:rPr>
        <w:t>s</w:t>
      </w:r>
      <w:r>
        <w:rPr>
          <w:lang w:val="en-GB" w:eastAsia="en-US"/>
        </w:rPr>
        <w:t xml:space="preserve"> between measurement results and RACH groups</w:t>
      </w:r>
      <w:r w:rsidR="00816B8D">
        <w:rPr>
          <w:lang w:val="en-GB" w:eastAsia="en-US"/>
        </w:rPr>
        <w:t>:</w:t>
      </w:r>
      <w:r w:rsidR="005E5D4A">
        <w:rPr>
          <w:lang w:val="en-GB" w:eastAsia="en-US"/>
        </w:rPr>
        <w:t xml:space="preserve"> </w:t>
      </w:r>
    </w:p>
    <w:p w:rsidR="006C37BA" w:rsidRDefault="005E5D4A" w:rsidP="00FF01C6">
      <w:pPr>
        <w:pStyle w:val="ListParagraph"/>
        <w:numPr>
          <w:ilvl w:val="0"/>
          <w:numId w:val="35"/>
        </w:numPr>
        <w:ind w:firstLineChars="0"/>
        <w:rPr>
          <w:lang w:val="en-GB" w:eastAsia="en-US"/>
        </w:rPr>
      </w:pPr>
      <w:r w:rsidRPr="005E5D4A">
        <w:rPr>
          <w:lang w:val="en-GB" w:eastAsia="en-US"/>
        </w:rPr>
        <w:t>The</w:t>
      </w:r>
      <w:r w:rsidR="001777C8">
        <w:rPr>
          <w:lang w:val="en-GB" w:eastAsia="en-US"/>
        </w:rPr>
        <w:t xml:space="preserve"> number of measurement results</w:t>
      </w:r>
    </w:p>
    <w:p w:rsidR="00FF01C6" w:rsidRDefault="006C37BA" w:rsidP="006C37BA">
      <w:pPr>
        <w:pStyle w:val="ListParagraph"/>
        <w:numPr>
          <w:ilvl w:val="1"/>
          <w:numId w:val="35"/>
        </w:numPr>
        <w:ind w:firstLineChars="0"/>
        <w:rPr>
          <w:lang w:val="en-GB" w:eastAsia="en-US"/>
        </w:rPr>
      </w:pPr>
      <w:r>
        <w:rPr>
          <w:lang w:val="en-GB" w:eastAsia="en-US"/>
        </w:rPr>
        <w:t>Typically “beam-level” RRM measurement results</w:t>
      </w:r>
      <w:r w:rsidR="00BF0060">
        <w:rPr>
          <w:lang w:val="en-GB" w:eastAsia="en-US"/>
        </w:rPr>
        <w:t>, e.g. one result per SS block</w:t>
      </w:r>
    </w:p>
    <w:p w:rsidR="00BF0060" w:rsidRPr="00FF01C6" w:rsidRDefault="00BF0060" w:rsidP="006C37BA">
      <w:pPr>
        <w:pStyle w:val="ListParagraph"/>
        <w:numPr>
          <w:ilvl w:val="1"/>
          <w:numId w:val="35"/>
        </w:numPr>
        <w:ind w:firstLineChars="0"/>
        <w:rPr>
          <w:lang w:val="en-GB" w:eastAsia="en-US"/>
        </w:rPr>
      </w:pPr>
      <w:r>
        <w:rPr>
          <w:lang w:val="en-GB" w:eastAsia="en-US"/>
        </w:rPr>
        <w:t>It may not be necessary to explicitly configure the number of measurement results, e.g. the number of SS blocks, but it is useful for the discussion below.</w:t>
      </w:r>
    </w:p>
    <w:p w:rsidR="005E5D4A" w:rsidRPr="005E5D4A" w:rsidRDefault="005E5D4A" w:rsidP="005E5D4A">
      <w:pPr>
        <w:pStyle w:val="ListParagraph"/>
        <w:numPr>
          <w:ilvl w:val="0"/>
          <w:numId w:val="35"/>
        </w:numPr>
        <w:ind w:firstLineChars="0"/>
        <w:rPr>
          <w:lang w:val="en-GB" w:eastAsia="en-US"/>
        </w:rPr>
      </w:pPr>
      <w:bookmarkStart w:id="3" w:name="_Ref470725100"/>
      <w:r w:rsidRPr="005E5D4A">
        <w:rPr>
          <w:lang w:val="en-GB" w:eastAsia="en-US"/>
        </w:rPr>
        <w:t xml:space="preserve">The </w:t>
      </w:r>
      <w:r>
        <w:rPr>
          <w:lang w:val="en-GB" w:eastAsia="en-US"/>
        </w:rPr>
        <w:t xml:space="preserve">MSG1 </w:t>
      </w:r>
      <w:r w:rsidRPr="005E5D4A">
        <w:rPr>
          <w:lang w:val="en-GB" w:eastAsia="en-US"/>
        </w:rPr>
        <w:t>preamble format</w:t>
      </w:r>
      <w:bookmarkEnd w:id="3"/>
    </w:p>
    <w:p w:rsidR="005E5D4A" w:rsidRPr="005E5D4A" w:rsidRDefault="005E5D4A" w:rsidP="005E5D4A">
      <w:pPr>
        <w:pStyle w:val="ListParagraph"/>
        <w:numPr>
          <w:ilvl w:val="1"/>
          <w:numId w:val="35"/>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MSG1 transmission</w:t>
      </w:r>
    </w:p>
    <w:p w:rsidR="005E5D4A" w:rsidRDefault="005E5D4A" w:rsidP="005E5D4A">
      <w:pPr>
        <w:pStyle w:val="ListParagraph"/>
        <w:numPr>
          <w:ilvl w:val="0"/>
          <w:numId w:val="35"/>
        </w:numPr>
        <w:ind w:firstLineChars="0"/>
        <w:rPr>
          <w:lang w:val="en-GB" w:eastAsia="en-US"/>
        </w:rPr>
      </w:pPr>
      <w:bookmarkStart w:id="4" w:name="_Ref470884534"/>
      <w:r>
        <w:rPr>
          <w:lang w:val="en-GB" w:eastAsia="en-US"/>
        </w:rPr>
        <w:t xml:space="preserve">The </w:t>
      </w:r>
      <w:r w:rsidR="001777C8">
        <w:rPr>
          <w:lang w:val="en-GB" w:eastAsia="en-US"/>
        </w:rPr>
        <w:t xml:space="preserve">time and frequency resources for </w:t>
      </w:r>
      <w:r>
        <w:rPr>
          <w:lang w:val="en-GB" w:eastAsia="en-US"/>
        </w:rPr>
        <w:t xml:space="preserve">MSG1 </w:t>
      </w:r>
      <w:r w:rsidR="001777C8">
        <w:rPr>
          <w:lang w:val="en-GB" w:eastAsia="en-US"/>
        </w:rPr>
        <w:t>transmission</w:t>
      </w:r>
      <w:bookmarkEnd w:id="4"/>
    </w:p>
    <w:p w:rsidR="00627531" w:rsidRDefault="001777C8" w:rsidP="00627531">
      <w:pPr>
        <w:pStyle w:val="ListParagraph"/>
        <w:numPr>
          <w:ilvl w:val="1"/>
          <w:numId w:val="35"/>
        </w:numPr>
        <w:ind w:firstLineChars="0"/>
        <w:rPr>
          <w:lang w:val="en-GB" w:eastAsia="en-US"/>
        </w:rPr>
      </w:pPr>
      <w:r>
        <w:rPr>
          <w:lang w:val="en-GB" w:eastAsia="en-US"/>
        </w:rPr>
        <w:t xml:space="preserve">Let </w:t>
      </w:r>
      <w:r w:rsidR="00627531" w:rsidRPr="001F5C97">
        <w:rPr>
          <w:b/>
          <w:lang w:val="en-GB" w:eastAsia="en-US"/>
        </w:rPr>
        <w:t>MSG1 occasion</w:t>
      </w:r>
      <w:r>
        <w:rPr>
          <w:lang w:val="en-GB" w:eastAsia="en-US"/>
        </w:rPr>
        <w:t xml:space="preserve"> denote the time instance</w:t>
      </w:r>
      <w:r w:rsidR="00627531">
        <w:rPr>
          <w:lang w:val="en-GB" w:eastAsia="en-US"/>
        </w:rPr>
        <w:t xml:space="preserve"> where a MSG1 transmission is allowed (if multiple/repeated preamble transmission is configured, this counts as one MSG1 occasion)</w:t>
      </w:r>
    </w:p>
    <w:p w:rsidR="00627531" w:rsidRDefault="005A3170" w:rsidP="005A3170">
      <w:pPr>
        <w:pStyle w:val="ListParagraph"/>
        <w:numPr>
          <w:ilvl w:val="0"/>
          <w:numId w:val="35"/>
        </w:numPr>
        <w:ind w:firstLineChars="0"/>
        <w:rPr>
          <w:lang w:val="en-GB" w:eastAsia="en-US"/>
        </w:rPr>
      </w:pPr>
      <w:bookmarkStart w:id="5" w:name="_Ref470725228"/>
      <w:r>
        <w:rPr>
          <w:lang w:val="en-GB" w:eastAsia="en-US"/>
        </w:rPr>
        <w:t>The RACH group period</w:t>
      </w:r>
      <w:bookmarkEnd w:id="5"/>
      <w:r w:rsidR="001777C8">
        <w:rPr>
          <w:lang w:val="en-GB" w:eastAsia="en-US"/>
        </w:rPr>
        <w:t>, i.e. after how many MSG1 occasions the same RACH groups are repeated.</w:t>
      </w:r>
    </w:p>
    <w:p w:rsidR="005A3170" w:rsidRDefault="005A3170" w:rsidP="005A3170">
      <w:pPr>
        <w:pStyle w:val="ListParagraph"/>
        <w:numPr>
          <w:ilvl w:val="1"/>
          <w:numId w:val="35"/>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816B8D">
        <w:rPr>
          <w:lang w:val="en-GB" w:eastAsia="en-US"/>
        </w:rPr>
        <w:t>MSG1 occasion</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MSG1 occasion.</w:t>
      </w:r>
    </w:p>
    <w:p w:rsidR="005A3170" w:rsidRDefault="005A3170" w:rsidP="005A3170">
      <w:pPr>
        <w:pStyle w:val="ListParagraph"/>
        <w:numPr>
          <w:ilvl w:val="1"/>
          <w:numId w:val="35"/>
        </w:numPr>
        <w:ind w:firstLineChars="0"/>
        <w:rPr>
          <w:lang w:val="en-GB" w:eastAsia="en-US"/>
        </w:rPr>
      </w:pPr>
      <w:r>
        <w:rPr>
          <w:lang w:val="en-GB" w:eastAsia="en-US"/>
        </w:rPr>
        <w:t>Other values corres</w:t>
      </w:r>
      <w:r w:rsidR="0042792A">
        <w:rPr>
          <w:lang w:val="en-GB" w:eastAsia="en-US"/>
        </w:rPr>
        <w:t>pond to RACH groups occuring in a subset of the MSG1 occasions</w:t>
      </w:r>
      <w:r w:rsidR="00816B8D">
        <w:rPr>
          <w:lang w:val="en-GB" w:eastAsia="en-US"/>
        </w:rPr>
        <w:t>, e.g. every 16</w:t>
      </w:r>
      <w:r w:rsidR="00816B8D" w:rsidRPr="00816B8D">
        <w:rPr>
          <w:vertAlign w:val="superscript"/>
          <w:lang w:val="en-GB" w:eastAsia="en-US"/>
        </w:rPr>
        <w:t>th</w:t>
      </w:r>
      <w:r w:rsidR="00816B8D">
        <w:rPr>
          <w:lang w:val="en-GB" w:eastAsia="en-US"/>
        </w:rPr>
        <w:t xml:space="preserve"> MSG1 occasion</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MSG1 occasions.</w:t>
      </w:r>
    </w:p>
    <w:p w:rsidR="0042792A" w:rsidRDefault="0042792A" w:rsidP="0042792A">
      <w:pPr>
        <w:pStyle w:val="ListParagraph"/>
        <w:numPr>
          <w:ilvl w:val="0"/>
          <w:numId w:val="35"/>
        </w:numPr>
        <w:ind w:firstLineChars="0"/>
        <w:rPr>
          <w:lang w:val="en-GB" w:eastAsia="en-US"/>
        </w:rPr>
      </w:pPr>
      <w:bookmarkStart w:id="6" w:name="_Ref470725236"/>
      <w:r>
        <w:rPr>
          <w:lang w:val="en-GB" w:eastAsia="en-US"/>
        </w:rPr>
        <w:t>The number of RACH groups per MSG1 occasion</w:t>
      </w:r>
      <w:bookmarkEnd w:id="6"/>
    </w:p>
    <w:p w:rsidR="0042792A" w:rsidRDefault="0042792A" w:rsidP="0042792A">
      <w:pPr>
        <w:pStyle w:val="ListParagraph"/>
        <w:numPr>
          <w:ilvl w:val="0"/>
          <w:numId w:val="35"/>
        </w:numPr>
        <w:ind w:firstLineChars="0"/>
        <w:rPr>
          <w:lang w:val="en-GB" w:eastAsia="en-US"/>
        </w:rPr>
      </w:pPr>
      <w:r>
        <w:rPr>
          <w:lang w:val="en-GB" w:eastAsia="en-US"/>
        </w:rPr>
        <w:lastRenderedPageBreak/>
        <w:t>The number of preambles in a RACH group</w:t>
      </w:r>
    </w:p>
    <w:p w:rsidR="002270E7" w:rsidRDefault="00A9530B" w:rsidP="002270E7">
      <w:pPr>
        <w:spacing w:before="240"/>
        <w:rPr>
          <w:lang w:val="en-GB" w:eastAsia="en-US"/>
        </w:rPr>
      </w:pPr>
      <w:r>
        <w:rPr>
          <w:lang w:val="en-GB" w:eastAsia="en-US"/>
        </w:rPr>
        <w:t>Further subdivision of the set of preambles in the RACH groups can be considered</w:t>
      </w:r>
      <w:r w:rsidR="00FA104F">
        <w:rPr>
          <w:lang w:val="en-GB" w:eastAsia="en-US"/>
        </w:rPr>
        <w:t>, e.g.</w:t>
      </w:r>
      <w:r>
        <w:rPr>
          <w:lang w:val="en-GB" w:eastAsia="en-US"/>
        </w:rPr>
        <w:t xml:space="preserve"> for the purpose of </w:t>
      </w:r>
      <w:r w:rsidR="008E73F1">
        <w:rPr>
          <w:lang w:val="en-GB" w:eastAsia="en-US"/>
        </w:rPr>
        <w:t>MSG3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t xml:space="preserve">The parameters listed under </w:t>
      </w:r>
      <w:r w:rsidR="00DC0848">
        <w:rPr>
          <w:lang w:val="en-GB" w:eastAsia="en-US"/>
        </w:rPr>
        <w:fldChar w:fldCharType="begin"/>
      </w:r>
      <w:r w:rsidR="001A0A0F">
        <w:rPr>
          <w:lang w:val="en-GB" w:eastAsia="en-US"/>
        </w:rPr>
        <w:instrText xml:space="preserve"> REF _Ref470884534 \r \h </w:instrText>
      </w:r>
      <w:r w:rsidR="00DC0848">
        <w:rPr>
          <w:lang w:val="en-GB" w:eastAsia="en-US"/>
        </w:rPr>
      </w:r>
      <w:r w:rsidR="00DC0848">
        <w:rPr>
          <w:lang w:val="en-GB" w:eastAsia="en-US"/>
        </w:rPr>
        <w:fldChar w:fldCharType="separate"/>
      </w:r>
      <w:r w:rsidR="001A0A0F">
        <w:rPr>
          <w:lang w:val="en-GB" w:eastAsia="en-US"/>
        </w:rPr>
        <w:t>C</w:t>
      </w:r>
      <w:r w:rsidR="00DC0848">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 RACH resources. Note that other 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DC0848">
        <w:rPr>
          <w:lang w:val="en-GB" w:eastAsia="en-US"/>
        </w:rPr>
        <w:fldChar w:fldCharType="begin"/>
      </w:r>
      <w:r>
        <w:rPr>
          <w:lang w:val="en-GB" w:eastAsia="en-US"/>
        </w:rPr>
        <w:instrText xml:space="preserve"> REF _Ref470725228 \r \h </w:instrText>
      </w:r>
      <w:r w:rsidR="00DC0848">
        <w:rPr>
          <w:lang w:val="en-GB" w:eastAsia="en-US"/>
        </w:rPr>
      </w:r>
      <w:r w:rsidR="00DC0848">
        <w:rPr>
          <w:lang w:val="en-GB" w:eastAsia="en-US"/>
        </w:rPr>
        <w:fldChar w:fldCharType="separate"/>
      </w:r>
      <w:r w:rsidR="001A0A0F">
        <w:rPr>
          <w:lang w:val="en-GB" w:eastAsia="en-US"/>
        </w:rPr>
        <w:t>D</w:t>
      </w:r>
      <w:r w:rsidR="00DC0848">
        <w:rPr>
          <w:lang w:val="en-GB" w:eastAsia="en-US"/>
        </w:rPr>
        <w:fldChar w:fldCharType="end"/>
      </w:r>
      <w:r w:rsidR="001A0A0F">
        <w:rPr>
          <w:lang w:val="en-GB" w:eastAsia="en-US"/>
        </w:rPr>
        <w:t xml:space="preserve"> and </w:t>
      </w:r>
      <w:r w:rsidR="00DC0848">
        <w:rPr>
          <w:lang w:val="en-GB" w:eastAsia="en-US"/>
        </w:rPr>
        <w:fldChar w:fldCharType="begin"/>
      </w:r>
      <w:r>
        <w:rPr>
          <w:lang w:val="en-GB" w:eastAsia="en-US"/>
        </w:rPr>
        <w:instrText xml:space="preserve"> REF _Ref470725236 \r \h </w:instrText>
      </w:r>
      <w:r w:rsidR="00DC0848">
        <w:rPr>
          <w:lang w:val="en-GB" w:eastAsia="en-US"/>
        </w:rPr>
      </w:r>
      <w:r w:rsidR="00DC0848">
        <w:rPr>
          <w:lang w:val="en-GB" w:eastAsia="en-US"/>
        </w:rPr>
        <w:fldChar w:fldCharType="separate"/>
      </w:r>
      <w:r w:rsidR="001A0A0F">
        <w:rPr>
          <w:lang w:val="en-GB" w:eastAsia="en-US"/>
        </w:rPr>
        <w:t>E</w:t>
      </w:r>
      <w:r w:rsidR="00DC0848">
        <w:rPr>
          <w:lang w:val="en-GB" w:eastAsia="en-US"/>
        </w:rPr>
        <w:fldChar w:fldCharType="end"/>
      </w:r>
      <w:r>
        <w:rPr>
          <w:lang w:val="en-GB" w:eastAsia="en-US"/>
        </w:rPr>
        <w:t xml:space="preserve"> define the number of RACH groups</w:t>
      </w:r>
      <w:r w:rsidR="00677F16">
        <w:rPr>
          <w:lang w:val="en-GB" w:eastAsia="en-US"/>
        </w:rPr>
        <w:t xml:space="preserve"> (</w:t>
      </w:r>
      <w:r w:rsidR="001A0A0F">
        <w:rPr>
          <w:lang w:val="en-GB" w:eastAsia="en-US"/>
        </w:rPr>
        <w:t>N</w:t>
      </w:r>
      <w:r w:rsidR="00677F16">
        <w:rPr>
          <w:lang w:val="en-GB" w:eastAsia="en-US"/>
        </w:rPr>
        <w:t>)</w:t>
      </w:r>
      <w:r>
        <w:rPr>
          <w:lang w:val="en-GB" w:eastAsia="en-US"/>
        </w:rPr>
        <w:t>, which is equal to the number of RACH groups per MSG1 occasion</w:t>
      </w:r>
      <w:r w:rsidR="00F55EB7">
        <w:rPr>
          <w:lang w:val="en-GB" w:eastAsia="en-US"/>
        </w:rPr>
        <w:t xml:space="preserve"> </w:t>
      </w:r>
      <w:r>
        <w:rPr>
          <w:lang w:val="en-GB" w:eastAsia="en-US"/>
        </w:rPr>
        <w:t xml:space="preserve">times the </w:t>
      </w:r>
      <w:r w:rsidR="004B1C2D">
        <w:rPr>
          <w:lang w:val="en-GB" w:eastAsia="en-US"/>
        </w:rPr>
        <w:t>number of MSG1 occasions with different RACH groups</w:t>
      </w:r>
      <w:r w:rsidR="00F55EB7">
        <w:rPr>
          <w:lang w:val="en-GB" w:eastAsia="en-US"/>
        </w:rPr>
        <w:t xml:space="preserve">, i.e. </w:t>
      </w:r>
      <w:r w:rsidR="0073079D">
        <w:rPr>
          <w:lang w:val="en-GB" w:eastAsia="en-US"/>
        </w:rPr>
        <w:t>N</w:t>
      </w:r>
      <w:r w:rsidR="00677F16">
        <w:rPr>
          <w:lang w:val="en-GB" w:eastAsia="en-US"/>
        </w:rPr>
        <w:t>=</w:t>
      </w:r>
      <w:r w:rsidR="00DC0848">
        <w:rPr>
          <w:lang w:val="en-GB" w:eastAsia="en-US"/>
        </w:rPr>
        <w:fldChar w:fldCharType="begin"/>
      </w:r>
      <w:r w:rsidR="00F55EB7">
        <w:rPr>
          <w:lang w:val="en-GB" w:eastAsia="en-US"/>
        </w:rPr>
        <w:instrText xml:space="preserve"> REF _Ref470725236 \r \h </w:instrText>
      </w:r>
      <w:r w:rsidR="00DC0848">
        <w:rPr>
          <w:lang w:val="en-GB" w:eastAsia="en-US"/>
        </w:rPr>
      </w:r>
      <w:r w:rsidR="00DC0848">
        <w:rPr>
          <w:lang w:val="en-GB" w:eastAsia="en-US"/>
        </w:rPr>
        <w:fldChar w:fldCharType="separate"/>
      </w:r>
      <w:r w:rsidR="001A0A0F">
        <w:rPr>
          <w:lang w:val="en-GB" w:eastAsia="en-US"/>
        </w:rPr>
        <w:t>E</w:t>
      </w:r>
      <w:r w:rsidR="00DC0848">
        <w:rPr>
          <w:lang w:val="en-GB" w:eastAsia="en-US"/>
        </w:rPr>
        <w:fldChar w:fldCharType="end"/>
      </w:r>
      <w:r w:rsidR="00F55EB7">
        <w:rPr>
          <w:lang w:val="en-GB" w:eastAsia="en-US"/>
        </w:rPr>
        <w:t>*</w:t>
      </w:r>
      <w:r w:rsidR="00DC0848">
        <w:rPr>
          <w:lang w:val="en-GB" w:eastAsia="en-US"/>
        </w:rPr>
        <w:fldChar w:fldCharType="begin"/>
      </w:r>
      <w:r w:rsidR="004B1C2D">
        <w:rPr>
          <w:lang w:val="en-GB" w:eastAsia="en-US"/>
        </w:rPr>
        <w:instrText xml:space="preserve"> REF _Ref470725228 \r \h </w:instrText>
      </w:r>
      <w:r w:rsidR="00DC0848">
        <w:rPr>
          <w:lang w:val="en-GB" w:eastAsia="en-US"/>
        </w:rPr>
      </w:r>
      <w:r w:rsidR="00DC0848">
        <w:rPr>
          <w:lang w:val="en-GB" w:eastAsia="en-US"/>
        </w:rPr>
        <w:fldChar w:fldCharType="separate"/>
      </w:r>
      <w:r w:rsidR="001A0A0F">
        <w:rPr>
          <w:lang w:val="en-GB" w:eastAsia="en-US"/>
        </w:rPr>
        <w:t>D</w:t>
      </w:r>
      <w:r w:rsidR="00DC0848">
        <w:rPr>
          <w:lang w:val="en-GB" w:eastAsia="en-US"/>
        </w:rPr>
        <w:fldChar w:fldCharType="end"/>
      </w:r>
      <w:r w:rsidR="004B1C2D">
        <w:rPr>
          <w:lang w:val="en-GB" w:eastAsia="en-US"/>
        </w:rPr>
        <w:t>.</w:t>
      </w:r>
    </w:p>
    <w:p w:rsidR="00BE0726" w:rsidRDefault="00791CF5" w:rsidP="00A9530B">
      <w:pPr>
        <w:rPr>
          <w:lang w:val="en-GB" w:eastAsia="en-US"/>
        </w:rPr>
      </w:pPr>
      <w:r w:rsidRPr="00791CF5">
        <w:rPr>
          <w:noProof/>
          <w:lang w:eastAsia="en-US"/>
        </w:rPr>
        <w:drawing>
          <wp:inline distT="0" distB="0" distL="0" distR="0">
            <wp:extent cx="5731510" cy="4008279"/>
            <wp:effectExtent l="0" t="0" r="2540" b="0"/>
            <wp:docPr id="9"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60704" cy="5077599"/>
                      <a:chOff x="435496" y="152400"/>
                      <a:chExt cx="7260704" cy="5077599"/>
                    </a:xfrm>
                  </a:grpSpPr>
                  <a:sp>
                    <a:nvSpPr>
                      <a:cNvPr id="156" name="Rectangle 155"/>
                      <a:cNvSpPr/>
                    </a:nvSpPr>
                    <a:spPr>
                      <a:xfrm>
                        <a:off x="2362200" y="152400"/>
                        <a:ext cx="20574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2286000" y="228600"/>
                        <a:ext cx="2057400" cy="609600"/>
                      </a:xfrm>
                      <a:prstGeom prst="rect">
                        <a:avLst/>
                      </a:prstGeom>
                      <a:solidFill>
                        <a:srgbClr val="7030A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Rectangle 152"/>
                      <a:cNvSpPr/>
                    </a:nvSpPr>
                    <a:spPr>
                      <a:xfrm>
                        <a:off x="2209800" y="304800"/>
                        <a:ext cx="2057400" cy="609600"/>
                      </a:xfrm>
                      <a:prstGeom prst="rect">
                        <a:avLst/>
                      </a:prstGeom>
                      <a:solidFill>
                        <a:schemeClr val="bg1">
                          <a:lumMod val="7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Rectangle 151"/>
                      <a:cNvSpPr/>
                    </a:nvSpPr>
                    <a:spPr>
                      <a:xfrm>
                        <a:off x="2133600" y="360402"/>
                        <a:ext cx="20574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Rectangle 150"/>
                      <a:cNvSpPr/>
                    </a:nvSpPr>
                    <a:spPr>
                      <a:xfrm>
                        <a:off x="2057400" y="436602"/>
                        <a:ext cx="20574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Arrow Connector 78"/>
                      <a:cNvCxnSpPr/>
                    </a:nvCxnSpPr>
                    <a:spPr>
                      <a:xfrm>
                        <a:off x="435496" y="1427203"/>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664096" y="1438871"/>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87" name="Straight Arrow Connector 86"/>
                      <a:cNvCxnSpPr/>
                    </a:nvCxnSpPr>
                    <a:spPr>
                      <a:xfrm flipV="1">
                        <a:off x="435496" y="665203"/>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rot="18681590">
                        <a:off x="-13363" y="773102"/>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a:sp>
                    <a:nvSpPr>
                      <a:cNvPr id="155" name="TextBox 154"/>
                      <a:cNvSpPr txBox="1"/>
                    </a:nvSpPr>
                    <a:spPr>
                      <a:xfrm>
                        <a:off x="1728342" y="2004536"/>
                        <a:ext cx="5461175"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r>
                            <a:rPr lang="sv-SE" sz="1400" smtClean="0"/>
                            <a:t>B. Preamble format = multiple/repeated preambles</a:t>
                          </a:r>
                        </a:p>
                        <a:p>
                          <a:pPr marL="228600" indent="-228600">
                            <a:buAutoNum type="alphaUcPeriod" startAt="4"/>
                          </a:pPr>
                          <a:r>
                            <a:rPr lang="sv-SE" sz="1400" smtClean="0"/>
                            <a:t>RACH group period = 1 (RACH groups repeat in every MSG1 occasion)</a:t>
                          </a:r>
                        </a:p>
                        <a:p>
                          <a:pPr marL="228600" indent="-228600">
                            <a:buAutoNum type="alphaUcPeriod" startAt="4"/>
                          </a:pPr>
                          <a:r>
                            <a:rPr lang="sv-SE" sz="1400" smtClean="0"/>
                            <a:t>The number of RACH groups per MSG1 occasion = 8</a:t>
                          </a:r>
                          <a:endParaRPr lang="en-US" sz="1400"/>
                        </a:p>
                      </a:txBody>
                      <a:useSpRect/>
                    </a:txSp>
                  </a:sp>
                  <a:sp>
                    <a:nvSpPr>
                      <a:cNvPr id="57" name="Rectangle 56"/>
                      <a:cNvSpPr/>
                    </a:nvSpPr>
                    <a:spPr>
                      <a:xfrm>
                        <a:off x="1981200" y="512802"/>
                        <a:ext cx="20574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1905000" y="589002"/>
                        <a:ext cx="20574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1828800" y="665202"/>
                        <a:ext cx="20574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Left Brace 73"/>
                      <a:cNvSpPr/>
                    </a:nvSpPr>
                    <a:spPr>
                      <a:xfrm rot="16200000">
                        <a:off x="6066286" y="390117"/>
                        <a:ext cx="288032" cy="2209801"/>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5639821" y="1655802"/>
                        <a:ext cx="114197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MSG1 occasion</a:t>
                          </a:r>
                          <a:endParaRPr lang="en-US" sz="1200"/>
                        </a:p>
                      </a:txBody>
                      <a:useSpRect/>
                    </a:txSp>
                  </a:sp>
                  <a:sp>
                    <a:nvSpPr>
                      <a:cNvPr id="88" name="TextBox 87"/>
                      <a:cNvSpPr txBox="1"/>
                    </a:nvSpPr>
                    <a:spPr>
                      <a:xfrm>
                        <a:off x="1728342" y="4491335"/>
                        <a:ext cx="5959132"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r>
                            <a:rPr lang="sv-SE" sz="1400" smtClean="0"/>
                            <a:t>B. Preamble format = single preamble</a:t>
                          </a:r>
                        </a:p>
                        <a:p>
                          <a:pPr marL="228600" indent="-228600">
                            <a:buAutoNum type="alphaUcPeriod" startAt="4"/>
                          </a:pPr>
                          <a:r>
                            <a:rPr lang="sv-SE" sz="1400" smtClean="0"/>
                            <a:t>RACH group period = 4 (RACH groups repeat in every </a:t>
                          </a:r>
                          <a:r>
                            <a:rPr lang="sv-SE" sz="1400" u="sng" smtClean="0"/>
                            <a:t>fourth</a:t>
                          </a:r>
                          <a:r>
                            <a:rPr lang="sv-SE" sz="1400" smtClean="0"/>
                            <a:t> MSG1 occasion)</a:t>
                          </a:r>
                        </a:p>
                        <a:p>
                          <a:pPr marL="228600" indent="-228600">
                            <a:buAutoNum type="alphaUcPeriod" startAt="4"/>
                          </a:pPr>
                          <a:r>
                            <a:rPr lang="sv-SE" sz="1400" smtClean="0"/>
                            <a:t>The number of RACH groups per MSG1 occasion = 2</a:t>
                          </a:r>
                          <a:endParaRPr lang="en-US" sz="1400"/>
                        </a:p>
                      </a:txBody>
                      <a:useSpRect/>
                    </a:txSp>
                  </a:sp>
                  <a:sp>
                    <a:nvSpPr>
                      <a:cNvPr id="94" name="Rectangle 93"/>
                      <a:cNvSpPr/>
                    </a:nvSpPr>
                    <a:spPr>
                      <a:xfrm>
                        <a:off x="1905000" y="29718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1828800" y="30480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a:t>
                          </a:r>
                        </a:p>
                        <a:p>
                          <a:pPr algn="ctr"/>
                          <a:r>
                            <a:rPr lang="sv-SE" sz="1200" b="1" smtClean="0">
                              <a:solidFill>
                                <a:schemeClr val="tx1"/>
                              </a:solidFill>
                            </a:rPr>
                            <a:t>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103"/>
                      <a:cNvSpPr/>
                    </a:nvSpPr>
                    <a:spPr>
                      <a:xfrm>
                        <a:off x="3048000" y="2971800"/>
                        <a:ext cx="7620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Rectangle 109"/>
                      <a:cNvSpPr/>
                    </a:nvSpPr>
                    <a:spPr>
                      <a:xfrm>
                        <a:off x="2971800" y="3048000"/>
                        <a:ext cx="7620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1000" y="2971800"/>
                        <a:ext cx="762000" cy="609600"/>
                      </a:xfrm>
                      <a:prstGeom prst="rect">
                        <a:avLst/>
                      </a:prstGeom>
                      <a:solidFill>
                        <a:srgbClr val="00206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114800" y="3048000"/>
                        <a:ext cx="762000" cy="609600"/>
                      </a:xfrm>
                      <a:prstGeom prst="rect">
                        <a:avLst/>
                      </a:prstGeom>
                      <a:solidFill>
                        <a:schemeClr val="bg1">
                          <a:lumMod val="8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Rectangle 129"/>
                      <a:cNvSpPr/>
                    </a:nvSpPr>
                    <a:spPr>
                      <a:xfrm>
                        <a:off x="5334000" y="2971800"/>
                        <a:ext cx="762000" cy="609600"/>
                      </a:xfrm>
                      <a:prstGeom prst="rect">
                        <a:avLst/>
                      </a:prstGeom>
                      <a:solidFill>
                        <a:schemeClr val="bg1">
                          <a:lumMod val="9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5257800" y="3048000"/>
                        <a:ext cx="7620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a:t>
                          </a:r>
                        </a:p>
                        <a:p>
                          <a:pPr algn="ctr"/>
                          <a:r>
                            <a:rPr lang="sv-SE" sz="1200" b="1" smtClean="0">
                              <a:solidFill>
                                <a:schemeClr val="tx1"/>
                              </a:solidFill>
                            </a:rPr>
                            <a:t>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Left Brace 133"/>
                      <a:cNvSpPr/>
                    </a:nvSpPr>
                    <a:spPr>
                      <a:xfrm rot="16200000">
                        <a:off x="3284984" y="3420616"/>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35" name="TextBox 134"/>
                      <a:cNvSpPr txBox="1"/>
                    </a:nvSpPr>
                    <a:spPr>
                      <a:xfrm>
                        <a:off x="2895600" y="4038600"/>
                        <a:ext cx="114197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MSG1 occasion</a:t>
                          </a:r>
                          <a:endParaRPr lang="en-US" sz="1200"/>
                        </a:p>
                      </a:txBody>
                      <a:useSpRect/>
                    </a:txSp>
                  </a:sp>
                  <a:sp>
                    <a:nvSpPr>
                      <a:cNvPr id="138" name="Rectangle 137"/>
                      <a:cNvSpPr/>
                    </a:nvSpPr>
                    <a:spPr>
                      <a:xfrm>
                        <a:off x="6477000" y="29718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6400800" y="30480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5638800" y="152400"/>
                        <a:ext cx="20574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Rectangle 157"/>
                      <a:cNvSpPr/>
                    </a:nvSpPr>
                    <a:spPr>
                      <a:xfrm>
                        <a:off x="5562600" y="228600"/>
                        <a:ext cx="2057400" cy="609600"/>
                      </a:xfrm>
                      <a:prstGeom prst="rect">
                        <a:avLst/>
                      </a:prstGeom>
                      <a:solidFill>
                        <a:srgbClr val="7030A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Rectangle 158"/>
                      <a:cNvSpPr/>
                    </a:nvSpPr>
                    <a:spPr>
                      <a:xfrm>
                        <a:off x="5486400" y="304800"/>
                        <a:ext cx="2057400" cy="609600"/>
                      </a:xfrm>
                      <a:prstGeom prst="rect">
                        <a:avLst/>
                      </a:prstGeom>
                      <a:solidFill>
                        <a:schemeClr val="bg1">
                          <a:lumMod val="7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5410200" y="360402"/>
                        <a:ext cx="20574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5334000" y="436602"/>
                        <a:ext cx="20574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5257800" y="512802"/>
                        <a:ext cx="20574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Rectangle 162"/>
                      <a:cNvSpPr/>
                    </a:nvSpPr>
                    <a:spPr>
                      <a:xfrm>
                        <a:off x="5181600" y="589002"/>
                        <a:ext cx="20574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5105400" y="665202"/>
                        <a:ext cx="20574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BE0726" w:rsidRDefault="003C4508" w:rsidP="003C4508">
      <w:pPr>
        <w:pStyle w:val="Caption"/>
      </w:pPr>
      <w:r>
        <w:t xml:space="preserve">Figure </w:t>
      </w:r>
      <w:r w:rsidR="00DC0848">
        <w:fldChar w:fldCharType="begin"/>
      </w:r>
      <w:r w:rsidR="002270E7">
        <w:instrText xml:space="preserve"> SEQ Figure \* ARABIC </w:instrText>
      </w:r>
      <w:r w:rsidR="00DC0848">
        <w:fldChar w:fldCharType="separate"/>
      </w:r>
      <w:r w:rsidR="009D60C2">
        <w:rPr>
          <w:noProof/>
        </w:rPr>
        <w:t>1</w:t>
      </w:r>
      <w:r w:rsidR="00DC0848">
        <w:fldChar w:fldCharType="end"/>
      </w:r>
      <w:r>
        <w:t>: Illustration of RACH group configurations. Each color corresponds to a disjoint RACH group. In the upper figure, multiple/repeated preambles</w:t>
      </w:r>
      <w:r w:rsidR="00577FB6">
        <w:t xml:space="preserve"> (e.g. 4)</w:t>
      </w:r>
      <w:r>
        <w:t xml:space="preserve"> are tra</w:t>
      </w:r>
      <w:r w:rsidR="00577FB6">
        <w:t>nsmitted within a MSG1 occasion and t</w:t>
      </w:r>
      <w:r>
        <w:t>he same RACH group</w:t>
      </w:r>
      <w:r w:rsidR="00791CF5">
        <w:t>s</w:t>
      </w:r>
      <w:r>
        <w:t xml:space="preserve"> </w:t>
      </w:r>
      <w:r w:rsidR="00791CF5">
        <w:t>are</w:t>
      </w:r>
      <w:r w:rsidR="00577FB6">
        <w:t xml:space="preserve"> repeated in each MSG1 occasion.</w:t>
      </w:r>
      <w:r>
        <w:t xml:space="preserve"> </w:t>
      </w:r>
      <w:r w:rsidR="00577FB6">
        <w:t xml:space="preserve">The upper figure </w:t>
      </w:r>
      <w:r w:rsidR="000E2FAB">
        <w:t>c</w:t>
      </w:r>
      <w:r>
        <w:t xml:space="preserve">ould </w:t>
      </w:r>
      <w:r w:rsidR="000E2FAB">
        <w:t>be used in the</w:t>
      </w:r>
      <w:r>
        <w:t xml:space="preserve"> case </w:t>
      </w:r>
      <w:r w:rsidRPr="00577FB6">
        <w:rPr>
          <w:u w:val="single"/>
        </w:rPr>
        <w:t>without</w:t>
      </w:r>
      <w:r>
        <w:t xml:space="preserve"> TRP beam corresponde</w:t>
      </w:r>
      <w:r w:rsidR="00577FB6">
        <w:t>nce</w:t>
      </w:r>
      <w:r w:rsidR="000E2FAB">
        <w:t>, where the UE can (at least partly) indicate the best DL Tx beam by the selection of subset of preambles</w:t>
      </w:r>
      <w:r w:rsidR="00791CF5">
        <w:t xml:space="preserve"> and/or frequency</w:t>
      </w:r>
      <w:r w:rsidR="00577FB6">
        <w:t xml:space="preserve">. In the lower figure, </w:t>
      </w:r>
      <w:r w:rsidR="000E2FAB">
        <w:t xml:space="preserve">a </w:t>
      </w:r>
      <w:r w:rsidR="00577FB6">
        <w:t>single preamble is transmitted within a MSG1 occasion and the same RACH group</w:t>
      </w:r>
      <w:r w:rsidR="00791CF5">
        <w:t>s are</w:t>
      </w:r>
      <w:r w:rsidR="00577FB6">
        <w:t xml:space="preserve"> repeated in every 4</w:t>
      </w:r>
      <w:r w:rsidR="00577FB6" w:rsidRPr="00577FB6">
        <w:rPr>
          <w:vertAlign w:val="superscript"/>
        </w:rPr>
        <w:t>th</w:t>
      </w:r>
      <w:r w:rsidR="00577FB6">
        <w:t xml:space="preserve"> MSG1 occasion. The lower figure </w:t>
      </w:r>
      <w:r w:rsidR="000E2FAB">
        <w:t>cou</w:t>
      </w:r>
      <w:r w:rsidR="00577FB6">
        <w:t>ld</w:t>
      </w:r>
      <w:r w:rsidR="000E2FAB">
        <w:t xml:space="preserve"> be used in</w:t>
      </w:r>
      <w:r w:rsidR="00577FB6">
        <w:t xml:space="preserve"> the case </w:t>
      </w:r>
      <w:r w:rsidR="00577FB6" w:rsidRPr="00577FB6">
        <w:rPr>
          <w:u w:val="single"/>
        </w:rPr>
        <w:t>with</w:t>
      </w:r>
      <w:r w:rsidR="00577FB6">
        <w:t xml:space="preserve"> TRP beam correspondence</w:t>
      </w:r>
      <w:r w:rsidR="000E2FAB">
        <w:t>, where the UE can (at least partly) indicate the best DL Tx beam by the selection of the MSG1 occasion</w:t>
      </w:r>
      <w:r w:rsidR="00577FB6">
        <w:t>.</w:t>
      </w:r>
    </w:p>
    <w:p w:rsidR="002270E7" w:rsidRDefault="00896395" w:rsidP="002270E7">
      <w:pPr>
        <w:spacing w:after="240"/>
        <w:rPr>
          <w:lang w:val="en-GB" w:eastAsia="en-US"/>
        </w:rPr>
      </w:pPr>
      <w:r>
        <w:rPr>
          <w:lang w:val="en-GB" w:eastAsia="en-US"/>
        </w:rPr>
        <w:t>For the case with</w:t>
      </w:r>
      <w:r w:rsidR="00986D7E">
        <w:rPr>
          <w:lang w:val="en-GB" w:eastAsia="en-US"/>
        </w:rPr>
        <w:t xml:space="preserve"> beam correspondence and </w:t>
      </w:r>
      <w:r>
        <w:rPr>
          <w:lang w:val="en-GB" w:eastAsia="en-US"/>
        </w:rPr>
        <w:t>analog</w:t>
      </w:r>
      <w:r w:rsidR="00986D7E">
        <w:rPr>
          <w:lang w:val="en-GB" w:eastAsia="en-US"/>
        </w:rPr>
        <w:t>/hybrid</w:t>
      </w:r>
      <w:r>
        <w:rPr>
          <w:lang w:val="en-GB" w:eastAsia="en-US"/>
        </w:rPr>
        <w:t xml:space="preserve"> beamforming, it should be possible to associate DL RS</w:t>
      </w:r>
      <w:r w:rsidR="000E2FAB">
        <w:rPr>
          <w:lang w:val="en-GB" w:eastAsia="en-US"/>
        </w:rPr>
        <w:t>(s)</w:t>
      </w:r>
      <w:r>
        <w:rPr>
          <w:lang w:val="en-GB" w:eastAsia="en-US"/>
        </w:rPr>
        <w:t xml:space="preserve"> in a time ins</w:t>
      </w:r>
      <w:r w:rsidR="000E2FAB">
        <w:rPr>
          <w:lang w:val="en-GB" w:eastAsia="en-US"/>
        </w:rPr>
        <w:t xml:space="preserve">tance (e.g. </w:t>
      </w:r>
      <w:r w:rsidR="00BF0060">
        <w:rPr>
          <w:lang w:val="en-GB" w:eastAsia="en-US"/>
        </w:rPr>
        <w:t xml:space="preserve">in </w:t>
      </w:r>
      <w:r w:rsidR="000E2FAB">
        <w:rPr>
          <w:lang w:val="en-GB" w:eastAsia="en-US"/>
        </w:rPr>
        <w:t xml:space="preserve">an SS block) with the RACH groups in a MSG1 occasion. This would be useful in </w:t>
      </w:r>
      <w:r w:rsidR="000E2FAB">
        <w:rPr>
          <w:lang w:val="en-GB" w:eastAsia="en-US"/>
        </w:rPr>
        <w:lastRenderedPageBreak/>
        <w:t>cases with TRP beam correspondence, where the TRP could use the best DL/UL beam during the MSG1 occasion.</w:t>
      </w:r>
      <w:r w:rsidR="00595A23">
        <w:rPr>
          <w:lang w:val="en-GB" w:eastAsia="en-US"/>
        </w:rPr>
        <w:t xml:space="preserve"> Let M denote the number of separate time instances during which </w:t>
      </w:r>
      <w:r w:rsidR="001D4244">
        <w:rPr>
          <w:lang w:val="en-GB" w:eastAsia="en-US"/>
        </w:rPr>
        <w:t>the A</w:t>
      </w:r>
      <w:r w:rsidR="00595A23">
        <w:rPr>
          <w:lang w:val="en-GB" w:eastAsia="en-US"/>
        </w:rPr>
        <w:t xml:space="preserve"> different measurement results have been obtained, e.g. the number of SS blocks</w:t>
      </w:r>
      <w:r w:rsidR="001D4244">
        <w:rPr>
          <w:lang w:val="en-GB" w:eastAsia="en-US"/>
        </w:rPr>
        <w:t xml:space="preserve"> per SS burst set, and let Q denote the number of measurement results per such time instance. In other words, typically A=M*Q. </w:t>
      </w:r>
      <w:r w:rsidR="00EC7BA1">
        <w:rPr>
          <w:lang w:val="en-GB" w:eastAsia="en-US"/>
        </w:rPr>
        <w:t xml:space="preserve">By </w:t>
      </w:r>
      <w:r w:rsidR="00832B90">
        <w:rPr>
          <w:lang w:val="en-GB" w:eastAsia="en-US"/>
        </w:rPr>
        <w:t>labelling</w:t>
      </w:r>
      <w:r w:rsidR="00EC7BA1">
        <w:rPr>
          <w:lang w:val="en-GB" w:eastAsia="en-US"/>
        </w:rPr>
        <w:t>/numbering measurement results and RACH groups, a</w:t>
      </w:r>
      <w:r w:rsidR="00595A23">
        <w:rPr>
          <w:lang w:val="en-GB" w:eastAsia="en-US"/>
        </w:rPr>
        <w:t>n implicitly defined association</w:t>
      </w:r>
      <w:r w:rsidR="00B22798">
        <w:rPr>
          <w:lang w:val="en-GB" w:eastAsia="en-US"/>
        </w:rPr>
        <w:t xml:space="preserve"> rule</w:t>
      </w:r>
      <w:r w:rsidR="00595A23">
        <w:rPr>
          <w:lang w:val="en-GB" w:eastAsia="en-US"/>
        </w:rPr>
        <w:t xml:space="preserve"> between the A measurement results and N RACH groups </w:t>
      </w:r>
      <w:r w:rsidR="00EC7BA1">
        <w:rPr>
          <w:lang w:val="en-GB" w:eastAsia="en-US"/>
        </w:rPr>
        <w:t>can be defined. A few cases can be distinguished</w:t>
      </w:r>
      <w:r w:rsidR="00730C6C">
        <w:rPr>
          <w:lang w:val="en-GB" w:eastAsia="en-US"/>
        </w:rPr>
        <w:t>, as illustrated in the figures below.</w:t>
      </w:r>
    </w:p>
    <w:p w:rsidR="00730C6C" w:rsidRDefault="0073079D" w:rsidP="00730C6C">
      <w:pPr>
        <w:jc w:val="center"/>
        <w:rPr>
          <w:lang w:val="en-GB" w:eastAsia="en-US"/>
        </w:rPr>
      </w:pPr>
      <w:r w:rsidRPr="0073079D">
        <w:rPr>
          <w:noProof/>
          <w:lang w:eastAsia="en-US"/>
        </w:rPr>
        <w:drawing>
          <wp:inline distT="0" distB="0" distL="0" distR="0">
            <wp:extent cx="5731510" cy="1249769"/>
            <wp:effectExtent l="0" t="0" r="0" b="0"/>
            <wp:docPr id="12"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04139" cy="1526977"/>
                      <a:chOff x="1117104" y="304800"/>
                      <a:chExt cx="7004139" cy="1526977"/>
                    </a:xfrm>
                  </a:grpSpPr>
                  <a:sp>
                    <a:nvSpPr>
                      <a:cNvPr id="130" name="Rectangle 129"/>
                      <a:cNvSpPr/>
                    </a:nvSpPr>
                    <a:spPr>
                      <a:xfrm>
                        <a:off x="5512296" y="799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4826496" y="799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2" name="Straight Arrow Connector 131"/>
                      <a:cNvCxnSpPr/>
                    </a:nvCxnSpPr>
                    <a:spPr>
                      <a:xfrm>
                        <a:off x="1397496" y="76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133" name="Straight Arrow Connector 132"/>
                      <a:cNvCxnSpPr/>
                    </a:nvCxnSpPr>
                    <a:spPr>
                      <a:xfrm>
                        <a:off x="1778496" y="152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34" name="Straight Arrow Connector 133"/>
                      <a:cNvCxnSpPr/>
                    </a:nvCxnSpPr>
                    <a:spPr>
                      <a:xfrm>
                        <a:off x="2235696" y="228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35" name="Rectangle 134"/>
                      <a:cNvSpPr/>
                    </a:nvSpPr>
                    <a:spPr>
                      <a:xfrm>
                        <a:off x="4140696" y="799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6" name="Straight Arrow Connector 135"/>
                      <a:cNvCxnSpPr/>
                    </a:nvCxnSpPr>
                    <a:spPr>
                      <a:xfrm flipV="1">
                        <a:off x="2616696" y="304800"/>
                        <a:ext cx="43434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37" name="Straight Arrow Connector 136"/>
                      <a:cNvCxnSpPr/>
                    </a:nvCxnSpPr>
                    <a:spPr>
                      <a:xfrm>
                        <a:off x="2616696" y="304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141" name="Rectangle 140"/>
                      <a:cNvSpPr/>
                    </a:nvSpPr>
                    <a:spPr>
                      <a:xfrm>
                        <a:off x="3454896" y="799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Rectangle 142"/>
                      <a:cNvSpPr/>
                    </a:nvSpPr>
                    <a:spPr>
                      <a:xfrm>
                        <a:off x="1117104" y="799728"/>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47" name="Rectangle 146"/>
                      <a:cNvSpPr/>
                    </a:nvSpPr>
                    <a:spPr>
                      <a:xfrm>
                        <a:off x="1549152" y="799728"/>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Rectangle 147"/>
                      <a:cNvSpPr/>
                    </a:nvSpPr>
                    <a:spPr>
                      <a:xfrm>
                        <a:off x="1981200" y="7997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2413248" y="7997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0" name="Straight Arrow Connector 149"/>
                      <a:cNvCxnSpPr/>
                    </a:nvCxnSpPr>
                    <a:spPr>
                      <a:xfrm>
                        <a:off x="3607296" y="30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1" name="Straight Arrow Connector 150"/>
                      <a:cNvCxnSpPr/>
                    </a:nvCxnSpPr>
                    <a:spPr>
                      <a:xfrm>
                        <a:off x="2235696" y="228600"/>
                        <a:ext cx="47244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52" name="Straight Arrow Connector 151"/>
                      <a:cNvCxnSpPr/>
                    </a:nvCxnSpPr>
                    <a:spPr>
                      <a:xfrm>
                        <a:off x="4369296" y="228600"/>
                        <a:ext cx="0" cy="5334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3" name="Straight Arrow Connector 152"/>
                      <a:cNvCxnSpPr/>
                    </a:nvCxnSpPr>
                    <a:spPr>
                      <a:xfrm>
                        <a:off x="5055096" y="152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3" name="Straight Arrow Connector 172"/>
                      <a:cNvCxnSpPr/>
                    </a:nvCxnSpPr>
                    <a:spPr>
                      <a:xfrm>
                        <a:off x="5740896" y="76200"/>
                        <a:ext cx="0" cy="685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174" name="Straight Arrow Connector 173"/>
                      <a:cNvCxnSpPr/>
                    </a:nvCxnSpPr>
                    <a:spPr>
                      <a:xfrm>
                        <a:off x="1778496" y="152400"/>
                        <a:ext cx="51816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75" name="Straight Arrow Connector 174"/>
                      <a:cNvCxnSpPr/>
                    </a:nvCxnSpPr>
                    <a:spPr>
                      <a:xfrm>
                        <a:off x="1397496" y="76200"/>
                        <a:ext cx="55626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09" name="TextBox 208"/>
                      <a:cNvSpPr txBox="1"/>
                    </a:nvSpPr>
                    <a:spPr>
                      <a:xfrm>
                        <a:off x="1473696" y="3048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249" name="Rectangle 248"/>
                      <a:cNvSpPr/>
                    </a:nvSpPr>
                    <a:spPr>
                      <a:xfrm>
                        <a:off x="6198096" y="799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0" name="Straight Arrow Connector 249"/>
                      <a:cNvCxnSpPr/>
                    </a:nvCxnSpPr>
                    <a:spPr>
                      <a:xfrm>
                        <a:off x="6350496" y="30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288" name="TextBox 287"/>
                      <a:cNvSpPr txBox="1"/>
                    </a:nvSpPr>
                    <a:spPr>
                      <a:xfrm>
                        <a:off x="1321296" y="1524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289" name="TextBox 288"/>
                      <a:cNvSpPr txBox="1"/>
                    </a:nvSpPr>
                    <a:spPr>
                      <a:xfrm>
                        <a:off x="4369296" y="1524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D=4, E=1</a:t>
                          </a:r>
                          <a:endParaRPr lang="en-US" sz="1400"/>
                        </a:p>
                      </a:txBody>
                      <a:useSpRect/>
                    </a:txSp>
                  </a:sp>
                  <a:cxnSp>
                    <a:nvCxnSpPr>
                      <a:cNvPr id="109" name="Straight Arrow Connector 108"/>
                      <a:cNvCxnSpPr/>
                    </a:nvCxnSpPr>
                    <a:spPr>
                      <a:xfrm>
                        <a:off x="7185139" y="1503014"/>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413739" y="1514682"/>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lc:lockedCanvas>
              </a:graphicData>
            </a:graphic>
          </wp:inline>
        </w:drawing>
      </w:r>
    </w:p>
    <w:p w:rsidR="00730C6C" w:rsidRDefault="00730C6C" w:rsidP="00730C6C">
      <w:pPr>
        <w:pStyle w:val="Caption"/>
      </w:pPr>
      <w:r>
        <w:t xml:space="preserve">Figure </w:t>
      </w:r>
      <w:r w:rsidR="00DC0848">
        <w:fldChar w:fldCharType="begin"/>
      </w:r>
      <w:r w:rsidR="002270E7">
        <w:instrText xml:space="preserve"> SEQ Figure \* ARABIC </w:instrText>
      </w:r>
      <w:r w:rsidR="00DC0848">
        <w:fldChar w:fldCharType="separate"/>
      </w:r>
      <w:r w:rsidR="009D60C2">
        <w:rPr>
          <w:noProof/>
        </w:rPr>
        <w:t>2</w:t>
      </w:r>
      <w:r w:rsidR="00DC0848">
        <w:fldChar w:fldCharType="end"/>
      </w:r>
      <w:r>
        <w:t xml:space="preserve">: If D = M and E &gt;= Q, then all measurement results can be associated with disjoint RACH groups such that only the measurement results from the same time instances are </w:t>
      </w:r>
      <w:r w:rsidRPr="00B22798">
        <w:rPr>
          <w:u w:val="single"/>
        </w:rPr>
        <w:t>uniquely</w:t>
      </w:r>
      <w:r>
        <w:t xml:space="preserve"> associated to the RACH groups in the same MSG1 occasion. The best measurement result can be fully conveyed through the selection of RACH group. Analog beam correspondence can be fully exploited.</w:t>
      </w:r>
    </w:p>
    <w:p w:rsidR="00730C6C" w:rsidRDefault="0073079D" w:rsidP="00730C6C">
      <w:pPr>
        <w:jc w:val="center"/>
        <w:rPr>
          <w:lang w:val="en-GB" w:eastAsia="en-US"/>
        </w:rPr>
      </w:pPr>
      <w:r w:rsidRPr="0073079D">
        <w:rPr>
          <w:noProof/>
          <w:lang w:eastAsia="en-US"/>
        </w:rPr>
        <w:drawing>
          <wp:inline distT="0" distB="0" distL="0" distR="0">
            <wp:extent cx="5731510" cy="1296689"/>
            <wp:effectExtent l="0" t="0" r="0" b="0"/>
            <wp:docPr id="13"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49644" cy="1526977"/>
                      <a:chOff x="1066800" y="2209800"/>
                      <a:chExt cx="6749644" cy="1526977"/>
                    </a:xfrm>
                  </a:grpSpPr>
                  <a:cxnSp>
                    <a:nvCxnSpPr>
                      <a:cNvPr id="292" name="Straight Arrow Connector 291"/>
                      <a:cNvCxnSpPr/>
                    </a:nvCxnSpPr>
                    <a:spPr>
                      <a:xfrm>
                        <a:off x="1295400" y="1981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93" name="Straight Arrow Connector 292"/>
                      <a:cNvCxnSpPr/>
                    </a:nvCxnSpPr>
                    <a:spPr>
                      <a:xfrm>
                        <a:off x="1778496" y="2057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94" name="Straight Arrow Connector 293"/>
                      <a:cNvCxnSpPr/>
                    </a:nvCxnSpPr>
                    <a:spPr>
                      <a:xfrm>
                        <a:off x="1447800" y="2133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295" name="Rectangle 294"/>
                      <a:cNvSpPr/>
                    </a:nvSpPr>
                    <a:spPr>
                      <a:xfrm>
                        <a:off x="4140696"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6" name="Straight Arrow Connector 295"/>
                      <a:cNvCxnSpPr/>
                    </a:nvCxnSpPr>
                    <a:spPr>
                      <a:xfrm flipV="1">
                        <a:off x="1905000" y="2209800"/>
                        <a:ext cx="43434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97" name="Straight Arrow Connector 296"/>
                      <a:cNvCxnSpPr/>
                    </a:nvCxnSpPr>
                    <a:spPr>
                      <a:xfrm>
                        <a:off x="1905000" y="2209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298" name="Rectangle 297"/>
                      <a:cNvSpPr/>
                    </a:nvSpPr>
                    <a:spPr>
                      <a:xfrm>
                        <a:off x="345489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Rectangle 298"/>
                      <a:cNvSpPr/>
                    </a:nvSpPr>
                    <a:spPr>
                      <a:xfrm>
                        <a:off x="1143000" y="2698051"/>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TextBox 299"/>
                      <a:cNvSpPr txBox="1"/>
                    </a:nvSpPr>
                    <a:spPr>
                      <a:xfrm>
                        <a:off x="5585810" y="2819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301" name="Rectangle 300"/>
                      <a:cNvSpPr/>
                    </a:nvSpPr>
                    <a:spPr>
                      <a:xfrm>
                        <a:off x="1575048" y="2698051"/>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4" name="Straight Arrow Connector 303"/>
                      <a:cNvCxnSpPr/>
                    </a:nvCxnSpPr>
                    <a:spPr>
                      <a:xfrm>
                        <a:off x="3810000" y="2209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5" name="Straight Arrow Connector 304"/>
                      <a:cNvCxnSpPr/>
                    </a:nvCxnSpPr>
                    <a:spPr>
                      <a:xfrm>
                        <a:off x="1447800" y="2133600"/>
                        <a:ext cx="47244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06" name="Straight Arrow Connector 305"/>
                      <a:cNvCxnSpPr/>
                    </a:nvCxnSpPr>
                    <a:spPr>
                      <a:xfrm>
                        <a:off x="4495800" y="2133600"/>
                        <a:ext cx="0" cy="5334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7" name="Straight Arrow Connector 306"/>
                      <a:cNvCxnSpPr/>
                    </a:nvCxnSpPr>
                    <a:spPr>
                      <a:xfrm>
                        <a:off x="3631704" y="2057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8" name="Straight Arrow Connector 307"/>
                      <a:cNvCxnSpPr/>
                    </a:nvCxnSpPr>
                    <a:spPr>
                      <a:xfrm>
                        <a:off x="4267200" y="1981200"/>
                        <a:ext cx="0" cy="685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09" name="Straight Arrow Connector 308"/>
                      <a:cNvCxnSpPr/>
                    </a:nvCxnSpPr>
                    <a:spPr>
                      <a:xfrm>
                        <a:off x="1752600" y="2057400"/>
                        <a:ext cx="44958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10" name="Straight Arrow Connector 309"/>
                      <a:cNvCxnSpPr/>
                    </a:nvCxnSpPr>
                    <a:spPr>
                      <a:xfrm>
                        <a:off x="1295400" y="1981200"/>
                        <a:ext cx="48768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11" name="TextBox 310"/>
                      <a:cNvSpPr txBox="1"/>
                    </a:nvSpPr>
                    <a:spPr>
                      <a:xfrm>
                        <a:off x="1066800" y="22860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312" name="Rectangle 311"/>
                      <a:cNvSpPr/>
                    </a:nvSpPr>
                    <a:spPr>
                      <a:xfrm>
                        <a:off x="490001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3" name="Straight Arrow Connector 312"/>
                      <a:cNvCxnSpPr/>
                    </a:nvCxnSpPr>
                    <a:spPr>
                      <a:xfrm>
                        <a:off x="5257800" y="2209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314" name="TextBox 313"/>
                      <a:cNvSpPr txBox="1"/>
                    </a:nvSpPr>
                    <a:spPr>
                      <a:xfrm>
                        <a:off x="1176171" y="3429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M=2, Q=2</a:t>
                          </a:r>
                          <a:endParaRPr lang="en-US" sz="1400"/>
                        </a:p>
                      </a:txBody>
                      <a:useSpRect/>
                    </a:txSp>
                  </a:sp>
                  <a:sp>
                    <a:nvSpPr>
                      <a:cNvPr id="315" name="TextBox 314"/>
                      <a:cNvSpPr txBox="1"/>
                    </a:nvSpPr>
                    <a:spPr>
                      <a:xfrm>
                        <a:off x="3733800" y="3429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D=2, E=1</a:t>
                          </a:r>
                          <a:endParaRPr lang="en-US" sz="1400"/>
                        </a:p>
                      </a:txBody>
                      <a:useSpRect/>
                    </a:txSp>
                  </a:sp>
                  <a:cxnSp>
                    <a:nvCxnSpPr>
                      <a:cNvPr id="326" name="Straight Arrow Connector 325"/>
                      <a:cNvCxnSpPr/>
                    </a:nvCxnSpPr>
                    <a:spPr>
                      <a:xfrm>
                        <a:off x="5105400" y="2057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16" name="Straight Arrow Connector 115"/>
                      <a:cNvCxnSpPr/>
                    </a:nvCxnSpPr>
                    <a:spPr>
                      <a:xfrm>
                        <a:off x="6880340" y="315572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7" name="TextBox 116"/>
                      <a:cNvSpPr txBox="1"/>
                    </a:nvSpPr>
                    <a:spPr>
                      <a:xfrm>
                        <a:off x="7108940" y="31673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lc:lockedCanvas>
              </a:graphicData>
            </a:graphic>
          </wp:inline>
        </w:drawing>
      </w:r>
    </w:p>
    <w:p w:rsidR="00730C6C" w:rsidRDefault="00730C6C" w:rsidP="00730C6C">
      <w:pPr>
        <w:pStyle w:val="Caption"/>
      </w:pPr>
      <w:r>
        <w:t xml:space="preserve">Figure </w:t>
      </w:r>
      <w:r w:rsidR="00DC0848">
        <w:fldChar w:fldCharType="begin"/>
      </w:r>
      <w:r w:rsidR="002270E7">
        <w:instrText xml:space="preserve"> SEQ Figure \* ARABIC </w:instrText>
      </w:r>
      <w:r w:rsidR="00DC0848">
        <w:fldChar w:fldCharType="separate"/>
      </w:r>
      <w:r w:rsidR="009D60C2">
        <w:rPr>
          <w:noProof/>
        </w:rPr>
        <w:t>3</w:t>
      </w:r>
      <w:r w:rsidR="00DC0848">
        <w:fldChar w:fldCharType="end"/>
      </w:r>
      <w:r>
        <w:t xml:space="preserve">: If D = M and E &lt; Q, then all measurement results can be associated with disjoint RACH groups such that </w:t>
      </w:r>
      <w:r w:rsidRPr="007F3077">
        <w:t>only</w:t>
      </w:r>
      <w:r>
        <w:t xml:space="preserve"> the measurement results from the same time instance are associated to the RACH groups in the same MSG1 occasion. However, multiple measurement results from the same time instance have to be associated to the same RACH group. Analog beam correspondence can be fully exploited. The best measurement result can be only partly conveyed through the selection of RACH group if N&lt;A</w:t>
      </w:r>
      <w:r w:rsidR="009C07B5">
        <w:t xml:space="preserve"> (Here N=2&lt;A=4)</w:t>
      </w:r>
      <w:r>
        <w:t>.</w:t>
      </w:r>
      <w:r w:rsidR="00980646">
        <w:t xml:space="preserve"> Note that multiple measurement results per SS block could be possible for example if MRS with multiple antenna ports are transmitted during an SS block </w:t>
      </w:r>
      <w:r w:rsidR="00DC0848">
        <w:fldChar w:fldCharType="begin"/>
      </w:r>
      <w:r w:rsidR="00980646">
        <w:instrText xml:space="preserve"> REF _Ref470322368 \r \h </w:instrText>
      </w:r>
      <w:r w:rsidR="00DC0848">
        <w:fldChar w:fldCharType="separate"/>
      </w:r>
      <w:r w:rsidR="00980646">
        <w:t>[5]</w:t>
      </w:r>
      <w:r w:rsidR="00DC0848">
        <w:fldChar w:fldCharType="end"/>
      </w:r>
      <w:r w:rsidR="00980646">
        <w:t>.</w:t>
      </w:r>
    </w:p>
    <w:p w:rsidR="00730C6C" w:rsidRDefault="0073079D" w:rsidP="00730C6C">
      <w:pPr>
        <w:rPr>
          <w:lang w:val="en-GB" w:eastAsia="en-US"/>
        </w:rPr>
      </w:pPr>
      <w:r w:rsidRPr="0073079D">
        <w:rPr>
          <w:noProof/>
          <w:lang w:eastAsia="en-US"/>
        </w:rPr>
        <w:drawing>
          <wp:inline distT="0" distB="0" distL="0" distR="0">
            <wp:extent cx="5731510" cy="1723840"/>
            <wp:effectExtent l="0" t="0" r="0" b="0"/>
            <wp:docPr id="14"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3140" cy="1991912"/>
                      <a:chOff x="1193304" y="3649865"/>
                      <a:chExt cx="6623140" cy="1991912"/>
                    </a:xfrm>
                  </a:grpSpPr>
                  <a:sp>
                    <a:nvSpPr>
                      <a:cNvPr id="176" name="Rectangle 175"/>
                      <a:cNvSpPr/>
                    </a:nvSpPr>
                    <a:spPr>
                      <a:xfrm>
                        <a:off x="3733800" y="4281681"/>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Rectangle 181"/>
                      <a:cNvSpPr/>
                    </a:nvSpPr>
                    <a:spPr>
                      <a:xfrm>
                        <a:off x="3657600" y="43811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2" name="Straight Arrow Connector 221"/>
                      <a:cNvCxnSpPr/>
                    </a:nvCxnSpPr>
                    <a:spPr>
                      <a:xfrm>
                        <a:off x="1447800" y="3886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9" name="Straight Arrow Connector 218"/>
                      <a:cNvCxnSpPr/>
                    </a:nvCxnSpPr>
                    <a:spPr>
                      <a:xfrm>
                        <a:off x="1828800" y="3962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6" name="Straight Arrow Connector 165"/>
                      <a:cNvCxnSpPr/>
                    </a:nvCxnSpPr>
                    <a:spPr>
                      <a:xfrm>
                        <a:off x="2286000" y="4038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59" name="Rectangle 158"/>
                      <a:cNvSpPr/>
                    </a:nvSpPr>
                    <a:spPr>
                      <a:xfrm>
                        <a:off x="3581400" y="44958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Arrow Connector 33"/>
                      <a:cNvCxnSpPr/>
                    </a:nvCxnSpPr>
                    <a:spPr>
                      <a:xfrm flipV="1">
                        <a:off x="2667000" y="4114800"/>
                        <a:ext cx="35052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 name="Straight Arrow Connector 34"/>
                      <a:cNvCxnSpPr/>
                    </a:nvCxnSpPr>
                    <a:spPr>
                      <a:xfrm>
                        <a:off x="2667000" y="4114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86" name="Rectangle 85"/>
                      <a:cNvSpPr/>
                    </a:nvSpPr>
                    <a:spPr>
                      <a:xfrm>
                        <a:off x="3505200" y="45952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1193304" y="4609728"/>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5791200" y="4648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1" name="Rectangle 110"/>
                      <a:cNvSpPr/>
                    </a:nvSpPr>
                    <a:spPr>
                      <a:xfrm>
                        <a:off x="1625352" y="4609728"/>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Rectangle 144"/>
                      <a:cNvSpPr/>
                    </a:nvSpPr>
                    <a:spPr>
                      <a:xfrm>
                        <a:off x="2031504" y="46097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2463552" y="46097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8" name="Straight Arrow Connector 157"/>
                      <a:cNvCxnSpPr/>
                    </a:nvCxnSpPr>
                    <a:spPr>
                      <a:xfrm>
                        <a:off x="3657600" y="411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5" name="Straight Arrow Connector 164"/>
                      <a:cNvCxnSpPr/>
                    </a:nvCxnSpPr>
                    <a:spPr>
                      <a:xfrm>
                        <a:off x="2286000" y="4038600"/>
                        <a:ext cx="38862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72" name="Straight Arrow Connector 171"/>
                      <a:cNvCxnSpPr/>
                    </a:nvCxnSpPr>
                    <a:spPr>
                      <a:xfrm>
                        <a:off x="3886200" y="4038600"/>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2" name="Straight Arrow Connector 201"/>
                      <a:cNvCxnSpPr/>
                    </a:nvCxnSpPr>
                    <a:spPr>
                      <a:xfrm>
                        <a:off x="4038600" y="3962400"/>
                        <a:ext cx="0" cy="3810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8" name="Straight Arrow Connector 207"/>
                      <a:cNvCxnSpPr/>
                    </a:nvCxnSpPr>
                    <a:spPr>
                      <a:xfrm>
                        <a:off x="4191000" y="3886200"/>
                        <a:ext cx="0" cy="3810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7" name="Straight Arrow Connector 216"/>
                      <a:cNvCxnSpPr/>
                    </a:nvCxnSpPr>
                    <a:spPr>
                      <a:xfrm>
                        <a:off x="1828800" y="3962400"/>
                        <a:ext cx="43434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21" name="Straight Arrow Connector 220"/>
                      <a:cNvCxnSpPr/>
                    </a:nvCxnSpPr>
                    <a:spPr>
                      <a:xfrm>
                        <a:off x="1447800" y="3886200"/>
                        <a:ext cx="47244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31" name="TextBox 230"/>
                      <a:cNvSpPr txBox="1"/>
                    </a:nvSpPr>
                    <a:spPr>
                      <a:xfrm>
                        <a:off x="1600200" y="41148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280" name="Rectangle 279"/>
                      <a:cNvSpPr/>
                    </a:nvSpPr>
                    <a:spPr>
                      <a:xfrm>
                        <a:off x="5029200" y="4281681"/>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1" name="Rectangle 280"/>
                      <a:cNvSpPr/>
                    </a:nvSpPr>
                    <a:spPr>
                      <a:xfrm>
                        <a:off x="4953000" y="43811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2" name="Rectangle 281"/>
                      <a:cNvSpPr/>
                    </a:nvSpPr>
                    <a:spPr>
                      <a:xfrm>
                        <a:off x="4876800" y="44958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Rectangle 282"/>
                      <a:cNvSpPr/>
                    </a:nvSpPr>
                    <a:spPr>
                      <a:xfrm>
                        <a:off x="4800600" y="45952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4" name="Straight Arrow Connector 283"/>
                      <a:cNvCxnSpPr/>
                    </a:nvCxnSpPr>
                    <a:spPr>
                      <a:xfrm>
                        <a:off x="4953000" y="411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5" name="Straight Arrow Connector 284"/>
                      <a:cNvCxnSpPr/>
                    </a:nvCxnSpPr>
                    <a:spPr>
                      <a:xfrm>
                        <a:off x="5181600" y="4038600"/>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6" name="Straight Arrow Connector 285"/>
                      <a:cNvCxnSpPr/>
                    </a:nvCxnSpPr>
                    <a:spPr>
                      <a:xfrm>
                        <a:off x="5334000" y="3962400"/>
                        <a:ext cx="0" cy="3810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7" name="Straight Arrow Connector 286"/>
                      <a:cNvCxnSpPr/>
                    </a:nvCxnSpPr>
                    <a:spPr>
                      <a:xfrm>
                        <a:off x="5486400" y="3886200"/>
                        <a:ext cx="0" cy="3810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29" name="TextBox 328"/>
                      <a:cNvSpPr txBox="1"/>
                    </a:nvSpPr>
                    <a:spPr>
                      <a:xfrm>
                        <a:off x="1656066" y="5334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330" name="TextBox 329"/>
                      <a:cNvSpPr txBox="1"/>
                    </a:nvSpPr>
                    <a:spPr>
                      <a:xfrm>
                        <a:off x="3375495" y="5334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D=1, E=4</a:t>
                          </a:r>
                          <a:endParaRPr lang="en-US" sz="1400"/>
                        </a:p>
                      </a:txBody>
                      <a:useSpRect/>
                    </a:txSp>
                  </a:sp>
                  <a:cxnSp>
                    <a:nvCxnSpPr>
                      <a:cNvPr id="120" name="Straight Arrow Connector 119"/>
                      <a:cNvCxnSpPr/>
                    </a:nvCxnSpPr>
                    <a:spPr>
                      <a:xfrm>
                        <a:off x="6880340" y="4779613"/>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1" name="TextBox 120"/>
                      <a:cNvSpPr txBox="1"/>
                    </a:nvSpPr>
                    <a:spPr>
                      <a:xfrm>
                        <a:off x="7108940" y="4791281"/>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2" name="Straight Arrow Connector 121"/>
                      <a:cNvCxnSpPr/>
                    </a:nvCxnSpPr>
                    <a:spPr>
                      <a:xfrm flipV="1">
                        <a:off x="6880340" y="4017613"/>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3" name="TextBox 122"/>
                      <a:cNvSpPr txBox="1"/>
                    </a:nvSpPr>
                    <a:spPr>
                      <a:xfrm rot="18681590">
                        <a:off x="6419683" y="4202100"/>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lc:lockedCanvas>
              </a:graphicData>
            </a:graphic>
          </wp:inline>
        </w:drawing>
      </w:r>
    </w:p>
    <w:p w:rsidR="00730C6C" w:rsidRDefault="00730C6C" w:rsidP="00730C6C">
      <w:pPr>
        <w:pStyle w:val="Caption"/>
      </w:pPr>
      <w:bookmarkStart w:id="7" w:name="_Ref471143674"/>
      <w:r>
        <w:lastRenderedPageBreak/>
        <w:t xml:space="preserve">Figure </w:t>
      </w:r>
      <w:r w:rsidR="00DC0848">
        <w:fldChar w:fldCharType="begin"/>
      </w:r>
      <w:r w:rsidR="002270E7">
        <w:instrText xml:space="preserve"> SEQ Figure \* ARABIC </w:instrText>
      </w:r>
      <w:r w:rsidR="00DC0848">
        <w:fldChar w:fldCharType="separate"/>
      </w:r>
      <w:r w:rsidR="009D60C2">
        <w:rPr>
          <w:noProof/>
        </w:rPr>
        <w:t>4</w:t>
      </w:r>
      <w:r w:rsidR="00DC0848">
        <w:fldChar w:fldCharType="end"/>
      </w:r>
      <w:bookmarkEnd w:id="7"/>
      <w:r>
        <w:t>:</w:t>
      </w:r>
      <w:r w:rsidR="009C07B5">
        <w:t xml:space="preserve"> If D &lt; M and N = A (Here N=A=4), then all measurement results </w:t>
      </w:r>
      <w:r w:rsidR="009C07B5" w:rsidRPr="0073079D">
        <w:rPr>
          <w:u w:val="single"/>
        </w:rPr>
        <w:t>can</w:t>
      </w:r>
      <w:r w:rsidR="009C07B5" w:rsidRPr="00B22798">
        <w:rPr>
          <w:u w:val="single"/>
        </w:rPr>
        <w:t>not</w:t>
      </w:r>
      <w:r w:rsidR="009C07B5">
        <w:t xml:space="preserve"> be associated with disjoint RACH groups such that </w:t>
      </w:r>
      <w:r w:rsidR="009C07B5" w:rsidRPr="007F3077">
        <w:t>only</w:t>
      </w:r>
      <w:r w:rsidR="009C07B5">
        <w:t xml:space="preserve"> the measurement results from the same time instance are associated to the RACH groups in the same MSG1 occasion. Instead, measurement results from different time instances need to be associated with the same MSG1 occasion, which means that it may not be possible to fully exploit analog beamforming</w:t>
      </w:r>
      <w:r w:rsidR="00BF0060">
        <w:t xml:space="preserve"> correspondence</w:t>
      </w:r>
      <w:r w:rsidR="009C07B5">
        <w:t>. However, it may still be possibly to fully convey the best measurement result through the selection of RACH group (due to many subsets of preambles or frequency resources in the same MSG1 occasion).</w:t>
      </w:r>
    </w:p>
    <w:p w:rsidR="009C07B5" w:rsidRDefault="0073079D" w:rsidP="009C07B5">
      <w:pPr>
        <w:rPr>
          <w:lang w:val="en-GB" w:eastAsia="en-US"/>
        </w:rPr>
      </w:pPr>
      <w:r w:rsidRPr="0073079D">
        <w:rPr>
          <w:noProof/>
          <w:lang w:eastAsia="en-US"/>
        </w:rPr>
        <w:drawing>
          <wp:inline distT="0" distB="0" distL="0" distR="0">
            <wp:extent cx="5731510" cy="1632438"/>
            <wp:effectExtent l="0" t="0" r="0" b="0"/>
            <wp:docPr id="15"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24600" cy="1857994"/>
                      <a:chOff x="1193304" y="5716584"/>
                      <a:chExt cx="6524600" cy="1857994"/>
                    </a:xfrm>
                  </a:grpSpPr>
                  <a:cxnSp>
                    <a:nvCxnSpPr>
                      <a:cNvPr id="113" name="Straight Arrow Connector 112"/>
                      <a:cNvCxnSpPr/>
                    </a:nvCxnSpPr>
                    <a:spPr>
                      <a:xfrm>
                        <a:off x="6781800" y="684633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7010400" y="685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39" name="Straight Arrow Connector 138"/>
                      <a:cNvCxnSpPr/>
                    </a:nvCxnSpPr>
                    <a:spPr>
                      <a:xfrm flipV="1">
                        <a:off x="6781800" y="6084332"/>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rot="18681590">
                        <a:off x="6321143" y="6268819"/>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a:cxnSp>
                    <a:nvCxnSpPr>
                      <a:cNvPr id="335" name="Straight Arrow Connector 334"/>
                      <a:cNvCxnSpPr/>
                    </a:nvCxnSpPr>
                    <a:spPr>
                      <a:xfrm>
                        <a:off x="1447800" y="5791200"/>
                        <a:ext cx="0" cy="7620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36" name="Straight Arrow Connector 335"/>
                      <a:cNvCxnSpPr/>
                    </a:nvCxnSpPr>
                    <a:spPr>
                      <a:xfrm>
                        <a:off x="1828800" y="5895201"/>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37" name="Straight Arrow Connector 336"/>
                      <a:cNvCxnSpPr/>
                    </a:nvCxnSpPr>
                    <a:spPr>
                      <a:xfrm>
                        <a:off x="2286000" y="5971401"/>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338" name="Rectangle 337"/>
                      <a:cNvSpPr/>
                    </a:nvSpPr>
                    <a:spPr>
                      <a:xfrm>
                        <a:off x="3581400" y="6428602"/>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9" name="Straight Arrow Connector 338"/>
                      <a:cNvCxnSpPr/>
                    </a:nvCxnSpPr>
                    <a:spPr>
                      <a:xfrm flipV="1">
                        <a:off x="2667000" y="6047601"/>
                        <a:ext cx="35052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40" name="Straight Arrow Connector 339"/>
                      <a:cNvCxnSpPr/>
                    </a:nvCxnSpPr>
                    <a:spPr>
                      <a:xfrm>
                        <a:off x="2667000" y="6047601"/>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341" name="Rectangle 340"/>
                      <a:cNvSpPr/>
                    </a:nvSpPr>
                    <a:spPr>
                      <a:xfrm>
                        <a:off x="3505200" y="6528049"/>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1193304" y="6553200"/>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TextBox 342"/>
                      <a:cNvSpPr txBox="1"/>
                    </a:nvSpPr>
                    <a:spPr>
                      <a:xfrm>
                        <a:off x="5791200" y="6581001"/>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344" name="Rectangle 343"/>
                      <a:cNvSpPr/>
                    </a:nvSpPr>
                    <a:spPr>
                      <a:xfrm>
                        <a:off x="1625352" y="6553200"/>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5" name="Rectangle 344"/>
                      <a:cNvSpPr/>
                    </a:nvSpPr>
                    <a:spPr>
                      <a:xfrm>
                        <a:off x="2057400" y="6553200"/>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6" name="Rectangle 345"/>
                      <a:cNvSpPr/>
                    </a:nvSpPr>
                    <a:spPr>
                      <a:xfrm>
                        <a:off x="2489448" y="6553200"/>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7" name="Straight Arrow Connector 346"/>
                      <a:cNvCxnSpPr/>
                    </a:nvCxnSpPr>
                    <a:spPr>
                      <a:xfrm>
                        <a:off x="3581400" y="6068199"/>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8" name="Straight Arrow Connector 347"/>
                      <a:cNvCxnSpPr/>
                    </a:nvCxnSpPr>
                    <a:spPr>
                      <a:xfrm>
                        <a:off x="2286000" y="5971401"/>
                        <a:ext cx="38862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49" name="Straight Arrow Connector 348"/>
                      <a:cNvCxnSpPr/>
                    </a:nvCxnSpPr>
                    <a:spPr>
                      <a:xfrm>
                        <a:off x="3886200" y="5971401"/>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0" name="Straight Arrow Connector 349"/>
                      <a:cNvCxnSpPr/>
                    </a:nvCxnSpPr>
                    <a:spPr>
                      <a:xfrm>
                        <a:off x="3733800" y="5867400"/>
                        <a:ext cx="0" cy="657999"/>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a:off x="4038600" y="5791200"/>
                        <a:ext cx="0" cy="6096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52" name="Straight Arrow Connector 351"/>
                      <a:cNvCxnSpPr/>
                    </a:nvCxnSpPr>
                    <a:spPr>
                      <a:xfrm>
                        <a:off x="1828800" y="5895201"/>
                        <a:ext cx="43434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3" name="Straight Arrow Connector 352"/>
                      <a:cNvCxnSpPr/>
                    </a:nvCxnSpPr>
                    <a:spPr>
                      <a:xfrm>
                        <a:off x="1447800" y="5819001"/>
                        <a:ext cx="47244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54" name="TextBox 353"/>
                      <a:cNvSpPr txBox="1"/>
                    </a:nvSpPr>
                    <a:spPr>
                      <a:xfrm>
                        <a:off x="1600200" y="6047601"/>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363" name="TextBox 362"/>
                      <a:cNvSpPr txBox="1"/>
                    </a:nvSpPr>
                    <a:spPr>
                      <a:xfrm>
                        <a:off x="1656066" y="7266801"/>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364" name="TextBox 363"/>
                      <a:cNvSpPr txBox="1"/>
                    </a:nvSpPr>
                    <a:spPr>
                      <a:xfrm>
                        <a:off x="3375495" y="7266801"/>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D=1, </a:t>
                          </a:r>
                          <a:r>
                            <a:rPr lang="sv-SE" sz="1400" smtClean="0"/>
                            <a:t>E=2</a:t>
                          </a:r>
                          <a:endParaRPr lang="en-US" sz="1400"/>
                        </a:p>
                      </a:txBody>
                      <a:useSpRect/>
                    </a:txSp>
                  </a:sp>
                  <a:sp>
                    <a:nvSpPr>
                      <a:cNvPr id="154" name="Rectangle 153"/>
                      <a:cNvSpPr/>
                    </a:nvSpPr>
                    <a:spPr>
                      <a:xfrm>
                        <a:off x="4953000" y="6428602"/>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Rectangle 154"/>
                      <a:cNvSpPr/>
                    </a:nvSpPr>
                    <a:spPr>
                      <a:xfrm>
                        <a:off x="4876800" y="6528049"/>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6" name="Straight Arrow Connector 155"/>
                      <a:cNvCxnSpPr/>
                    </a:nvCxnSpPr>
                    <a:spPr>
                      <a:xfrm>
                        <a:off x="4953000" y="6068199"/>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7" name="Straight Arrow Connector 156"/>
                      <a:cNvCxnSpPr/>
                    </a:nvCxnSpPr>
                    <a:spPr>
                      <a:xfrm>
                        <a:off x="5257800" y="5971401"/>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0" name="Straight Arrow Connector 159"/>
                      <a:cNvCxnSpPr/>
                    </a:nvCxnSpPr>
                    <a:spPr>
                      <a:xfrm>
                        <a:off x="5105400" y="5867400"/>
                        <a:ext cx="0" cy="657999"/>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1" name="Straight Arrow Connector 160"/>
                      <a:cNvCxnSpPr/>
                    </a:nvCxnSpPr>
                    <a:spPr>
                      <a:xfrm>
                        <a:off x="5410200" y="5791200"/>
                        <a:ext cx="0" cy="6096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22798" w:rsidRPr="009C07B5" w:rsidRDefault="009C07B5" w:rsidP="009C07B5">
      <w:pPr>
        <w:pStyle w:val="Caption"/>
      </w:pPr>
      <w:r>
        <w:t xml:space="preserve">Figure </w:t>
      </w:r>
      <w:r w:rsidR="00DC0848">
        <w:fldChar w:fldCharType="begin"/>
      </w:r>
      <w:r w:rsidR="002270E7">
        <w:instrText xml:space="preserve"> SEQ Figure \* ARABIC </w:instrText>
      </w:r>
      <w:r w:rsidR="00DC0848">
        <w:fldChar w:fldCharType="separate"/>
      </w:r>
      <w:r w:rsidR="009D60C2">
        <w:rPr>
          <w:noProof/>
        </w:rPr>
        <w:t>5</w:t>
      </w:r>
      <w:r w:rsidR="00DC0848">
        <w:fldChar w:fldCharType="end"/>
      </w:r>
      <w:r>
        <w:t xml:space="preserve">: If D &lt; M and N &lt; A (here N=2 and A=4), then all measurement results </w:t>
      </w:r>
      <w:r w:rsidRPr="0073079D">
        <w:rPr>
          <w:u w:val="single"/>
        </w:rPr>
        <w:t>can</w:t>
      </w:r>
      <w:r w:rsidRPr="00B22798">
        <w:rPr>
          <w:u w:val="single"/>
        </w:rPr>
        <w:t>not</w:t>
      </w:r>
      <w:r>
        <w:t xml:space="preserve"> be associated with disjoint RACH groups such that only the measurement results from the same time instances are associated to the RACH groups in the same MSG1 occasion. Instead, measurement results from different time instances need to be associated with the same MSG1 occasion, which means that it may not be possible to fully exploit analog beamforming</w:t>
      </w:r>
      <w:r w:rsidR="00BF0060">
        <w:t xml:space="preserve"> correspondence</w:t>
      </w:r>
      <w:r>
        <w:t xml:space="preserve">. Furthermore, it is only possible to </w:t>
      </w:r>
      <w:r w:rsidRPr="001D69AA">
        <w:rPr>
          <w:u w:val="single"/>
        </w:rPr>
        <w:t>partly</w:t>
      </w:r>
      <w:r>
        <w:t xml:space="preserve"> convey the best measurement result through the selection of RACH group (due to too few RACH groups).</w:t>
      </w:r>
    </w:p>
    <w:p w:rsidR="001D69AA" w:rsidRDefault="004E08C7" w:rsidP="001D69AA">
      <w:pPr>
        <w:rPr>
          <w:lang w:val="en-GB" w:eastAsia="en-US"/>
        </w:rPr>
      </w:pPr>
      <w:r>
        <w:rPr>
          <w:lang w:val="en-GB" w:eastAsia="en-US"/>
        </w:rPr>
        <w:t xml:space="preserve">As far as possible (depending on the parameters A, D, E, M, N, Q ), the </w:t>
      </w:r>
      <w:r w:rsidR="001D69AA">
        <w:rPr>
          <w:lang w:val="en-GB" w:eastAsia="en-US"/>
        </w:rPr>
        <w:t xml:space="preserve">measurements from the same time instance </w:t>
      </w:r>
      <w:r>
        <w:rPr>
          <w:lang w:val="en-GB" w:eastAsia="en-US"/>
        </w:rPr>
        <w:t xml:space="preserve">should be associated with </w:t>
      </w:r>
      <w:r w:rsidR="001D69AA">
        <w:rPr>
          <w:lang w:val="en-GB" w:eastAsia="en-US"/>
        </w:rPr>
        <w:t>RACH groups in the same MSG1 occasion.</w:t>
      </w:r>
      <w:r w:rsidR="00955E3E">
        <w:rPr>
          <w:lang w:val="en-GB" w:eastAsia="en-US"/>
        </w:rPr>
        <w:t xml:space="preserve"> If the </w:t>
      </w:r>
      <w:r w:rsidR="009C07B5">
        <w:rPr>
          <w:lang w:val="en-GB" w:eastAsia="en-US"/>
        </w:rPr>
        <w:t xml:space="preserve">index of the </w:t>
      </w:r>
      <w:r w:rsidR="00955E3E">
        <w:rPr>
          <w:lang w:val="en-GB" w:eastAsia="en-US"/>
        </w:rPr>
        <w:t>best measurement result is only partly conveyed through the selection of RACH group, then the remaining part can be conveyed in MSG3.</w:t>
      </w:r>
    </w:p>
    <w:p w:rsidR="001D69AA" w:rsidRPr="00D05B30" w:rsidRDefault="001D69AA" w:rsidP="00D05B30">
      <w:pPr>
        <w:pStyle w:val="Caption"/>
        <w:spacing w:after="0"/>
        <w:jc w:val="both"/>
        <w:rPr>
          <w:i/>
        </w:rPr>
      </w:pPr>
      <w:r w:rsidRPr="00303F19">
        <w:rPr>
          <w:i/>
        </w:rPr>
        <w:t>Proposal</w:t>
      </w:r>
      <w:r>
        <w:rPr>
          <w:i/>
          <w:lang w:eastAsia="zh-CN"/>
        </w:rPr>
        <w:t xml:space="preserve"> 2</w:t>
      </w:r>
      <w:r>
        <w:rPr>
          <w:i/>
        </w:rPr>
        <w:t>: An association rule between measurement results and RACH groups is defined, such that measurement results from the same time instance should be associated with RACH groups in the same MSG1 occasion, as far as possible.</w:t>
      </w:r>
    </w:p>
    <w:p w:rsidR="00E5500B" w:rsidRDefault="00E5500B" w:rsidP="00E5500B">
      <w:pPr>
        <w:pStyle w:val="Heading2"/>
      </w:pPr>
      <w:bookmarkStart w:id="8" w:name="_Ref470727886"/>
      <w:r>
        <w:t>Random Access Configuration: IDLE mode UE</w:t>
      </w:r>
      <w:bookmarkEnd w:id="8"/>
    </w:p>
    <w:p w:rsidR="00F55EB7" w:rsidRDefault="00F55EB7" w:rsidP="003F6350">
      <w:pPr>
        <w:rPr>
          <w:lang w:val="en-GB" w:eastAsia="en-US"/>
        </w:rPr>
      </w:pPr>
      <w:r>
        <w:rPr>
          <w:lang w:val="en-GB" w:eastAsia="en-US"/>
        </w:rPr>
        <w:t>In the case of IDLE mode UEs, the random access configuration is obtained through the SI and it is common for all IDLE IEs. Assuming that the random access configuration is needed for requesting on-demand delivery of SI</w:t>
      </w:r>
      <w:r w:rsidR="00CE43B4">
        <w:rPr>
          <w:lang w:val="en-GB" w:eastAsia="en-US"/>
        </w:rPr>
        <w:t xml:space="preserve"> (see </w:t>
      </w:r>
      <w:r w:rsidR="00DC0848">
        <w:rPr>
          <w:lang w:val="en-GB" w:eastAsia="en-US"/>
        </w:rPr>
        <w:fldChar w:fldCharType="begin"/>
      </w:r>
      <w:r w:rsidR="00CE43B4">
        <w:rPr>
          <w:lang w:val="en-GB" w:eastAsia="en-US"/>
        </w:rPr>
        <w:instrText xml:space="preserve"> REF _Ref471746583 \r \h </w:instrText>
      </w:r>
      <w:r w:rsidR="00DC0848">
        <w:rPr>
          <w:lang w:val="en-GB" w:eastAsia="en-US"/>
        </w:rPr>
      </w:r>
      <w:r w:rsidR="00DC0848">
        <w:rPr>
          <w:lang w:val="en-GB" w:eastAsia="en-US"/>
        </w:rPr>
        <w:fldChar w:fldCharType="separate"/>
      </w:r>
      <w:r w:rsidR="00CE43B4">
        <w:rPr>
          <w:lang w:val="en-GB" w:eastAsia="en-US"/>
        </w:rPr>
        <w:t>[6]</w:t>
      </w:r>
      <w:r w:rsidR="00DC0848">
        <w:rPr>
          <w:lang w:val="en-GB" w:eastAsia="en-US"/>
        </w:rPr>
        <w:fldChar w:fldCharType="end"/>
      </w:r>
      <w:r w:rsidR="00DC0848">
        <w:rPr>
          <w:lang w:val="en-GB" w:eastAsia="en-US"/>
        </w:rPr>
        <w:fldChar w:fldCharType="begin"/>
      </w:r>
      <w:r w:rsidR="00CE43B4">
        <w:rPr>
          <w:lang w:val="en-GB" w:eastAsia="en-US"/>
        </w:rPr>
        <w:instrText xml:space="preserve"> REF _Ref471746584 \r \h </w:instrText>
      </w:r>
      <w:r w:rsidR="00DC0848">
        <w:rPr>
          <w:lang w:val="en-GB" w:eastAsia="en-US"/>
        </w:rPr>
      </w:r>
      <w:r w:rsidR="00DC0848">
        <w:rPr>
          <w:lang w:val="en-GB" w:eastAsia="en-US"/>
        </w:rPr>
        <w:fldChar w:fldCharType="separate"/>
      </w:r>
      <w:r w:rsidR="00CE43B4">
        <w:rPr>
          <w:lang w:val="en-GB" w:eastAsia="en-US"/>
        </w:rPr>
        <w:t>[7]</w:t>
      </w:r>
      <w:r w:rsidR="00DC0848">
        <w:rPr>
          <w:lang w:val="en-GB" w:eastAsia="en-US"/>
        </w:rPr>
        <w:fldChar w:fldCharType="end"/>
      </w:r>
      <w:r w:rsidR="00DC0848">
        <w:rPr>
          <w:lang w:val="en-GB" w:eastAsia="en-US"/>
        </w:rPr>
        <w:fldChar w:fldCharType="begin"/>
      </w:r>
      <w:r w:rsidR="00CE43B4">
        <w:rPr>
          <w:lang w:val="en-GB" w:eastAsia="en-US"/>
        </w:rPr>
        <w:instrText xml:space="preserve"> REF _Ref471746586 \r \h </w:instrText>
      </w:r>
      <w:r w:rsidR="00DC0848">
        <w:rPr>
          <w:lang w:val="en-GB" w:eastAsia="en-US"/>
        </w:rPr>
      </w:r>
      <w:r w:rsidR="00DC0848">
        <w:rPr>
          <w:lang w:val="en-GB" w:eastAsia="en-US"/>
        </w:rPr>
        <w:fldChar w:fldCharType="separate"/>
      </w:r>
      <w:r w:rsidR="00CE43B4">
        <w:rPr>
          <w:lang w:val="en-GB" w:eastAsia="en-US"/>
        </w:rPr>
        <w:t>[8]</w:t>
      </w:r>
      <w:r w:rsidR="00DC0848">
        <w:rPr>
          <w:lang w:val="en-GB" w:eastAsia="en-US"/>
        </w:rPr>
        <w:fldChar w:fldCharType="end"/>
      </w:r>
      <w:r w:rsidR="00CE43B4">
        <w:rPr>
          <w:lang w:val="en-GB" w:eastAsia="en-US"/>
        </w:rPr>
        <w:t>)</w:t>
      </w:r>
      <w:r>
        <w:rPr>
          <w:lang w:val="en-GB" w:eastAsia="en-US"/>
        </w:rPr>
        <w:t xml:space="preserve">, it seems </w:t>
      </w:r>
      <w:r w:rsidR="0067320C">
        <w:rPr>
          <w:lang w:val="en-GB" w:eastAsia="en-US"/>
        </w:rPr>
        <w:t>suitable</w:t>
      </w:r>
      <w:r>
        <w:rPr>
          <w:lang w:val="en-GB" w:eastAsia="en-US"/>
        </w:rPr>
        <w:t xml:space="preserve"> to include the common random access configuration for IDLE UEs in the SI that is periodically broadcasted.</w:t>
      </w:r>
    </w:p>
    <w:p w:rsidR="00F55EB7" w:rsidRDefault="00F55EB7" w:rsidP="00F55EB7">
      <w:pPr>
        <w:pStyle w:val="Caption"/>
        <w:spacing w:after="0"/>
        <w:jc w:val="both"/>
        <w:rPr>
          <w:i/>
        </w:rPr>
      </w:pPr>
      <w:r w:rsidRPr="00303F19">
        <w:rPr>
          <w:i/>
        </w:rPr>
        <w:t>Proposal</w:t>
      </w:r>
      <w:r>
        <w:rPr>
          <w:i/>
          <w:lang w:eastAsia="zh-CN"/>
        </w:rPr>
        <w:t xml:space="preserve"> </w:t>
      </w:r>
      <w:r w:rsidR="00167B22">
        <w:rPr>
          <w:i/>
          <w:lang w:eastAsia="zh-CN"/>
        </w:rPr>
        <w:t>3</w:t>
      </w:r>
      <w:r>
        <w:rPr>
          <w:i/>
        </w:rPr>
        <w:t>: The common random access configuration for IDLE UEs is transmitted in the SI that is periodically broadcasted.</w:t>
      </w:r>
    </w:p>
    <w:p w:rsidR="00376FD5" w:rsidRDefault="00376FD5" w:rsidP="002D5D10">
      <w:pPr>
        <w:spacing w:before="240"/>
        <w:rPr>
          <w:lang w:val="en-GB" w:eastAsia="en-US"/>
        </w:rPr>
      </w:pPr>
      <w:r>
        <w:rPr>
          <w:lang w:val="en-GB" w:eastAsia="en-US"/>
        </w:rPr>
        <w:t>For IDLE UEs, the number of measurement results (</w:t>
      </w:r>
      <w:r w:rsidR="003869A4">
        <w:rPr>
          <w:lang w:val="en-GB" w:eastAsia="en-US"/>
        </w:rPr>
        <w:t>A</w:t>
      </w:r>
      <w:r>
        <w:rPr>
          <w:lang w:val="en-GB" w:eastAsia="en-US"/>
        </w:rPr>
        <w:t>) corresponds to the number of configured antenna ports for the RS used for IDLE RRM measurement</w:t>
      </w:r>
      <w:r w:rsidR="008A7D3E">
        <w:rPr>
          <w:lang w:val="en-GB" w:eastAsia="en-US"/>
        </w:rPr>
        <w:t xml:space="preserve"> </w:t>
      </w:r>
      <w:r w:rsidR="00DC0848">
        <w:rPr>
          <w:lang w:val="en-GB" w:eastAsia="en-US"/>
        </w:rPr>
        <w:fldChar w:fldCharType="begin"/>
      </w:r>
      <w:r w:rsidR="008A7D3E">
        <w:rPr>
          <w:lang w:val="en-GB" w:eastAsia="en-US"/>
        </w:rPr>
        <w:instrText xml:space="preserve"> REF _Ref470322128 \r \h </w:instrText>
      </w:r>
      <w:r w:rsidR="00DC0848">
        <w:rPr>
          <w:lang w:val="en-GB" w:eastAsia="en-US"/>
        </w:rPr>
      </w:r>
      <w:r w:rsidR="00DC0848">
        <w:rPr>
          <w:lang w:val="en-GB" w:eastAsia="en-US"/>
        </w:rPr>
        <w:fldChar w:fldCharType="separate"/>
      </w:r>
      <w:r w:rsidR="008A7D3E">
        <w:rPr>
          <w:lang w:val="en-GB" w:eastAsia="en-US"/>
        </w:rPr>
        <w:t>[4]</w:t>
      </w:r>
      <w:r w:rsidR="00DC0848">
        <w:rPr>
          <w:lang w:val="en-GB" w:eastAsia="en-US"/>
        </w:rPr>
        <w:fldChar w:fldCharType="end"/>
      </w:r>
      <w:r>
        <w:rPr>
          <w:lang w:val="en-GB" w:eastAsia="en-US"/>
        </w:rPr>
        <w:t xml:space="preserve">. Another parameter that can be provided to IDLE UEs in the SI is the </w:t>
      </w:r>
      <w:r>
        <w:rPr>
          <w:lang w:val="en-GB" w:eastAsia="en-US"/>
        </w:rPr>
        <w:lastRenderedPageBreak/>
        <w:t xml:space="preserve">number of SS blocks per SS burst set (M). </w:t>
      </w:r>
      <w:r w:rsidR="00955E3E">
        <w:rPr>
          <w:lang w:val="en-GB" w:eastAsia="en-US"/>
        </w:rPr>
        <w:t xml:space="preserve">Assuming a single RS antenna port per SS block (Q=1) means that A=M*Q=M. </w:t>
      </w:r>
    </w:p>
    <w:p w:rsidR="003F6350" w:rsidRPr="00B8312D" w:rsidRDefault="003F6350" w:rsidP="003F6350">
      <w:pPr>
        <w:pStyle w:val="Heading2"/>
      </w:pPr>
      <w:r>
        <w:t>Random Access Configuration: CONNECTED mode UE</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935B7E">
        <w:rPr>
          <w:lang w:val="en-GB" w:eastAsia="en-US"/>
        </w:rPr>
        <w:t>is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 xml:space="preserve">also for new use cases. The IDLE mode </w:t>
      </w:r>
      <w:r w:rsidR="0073079D">
        <w:rPr>
          <w:lang w:val="en-GB" w:eastAsia="en-US"/>
        </w:rPr>
        <w:t>issue</w:t>
      </w:r>
      <w:r w:rsidR="00BC3A9D">
        <w:rPr>
          <w:lang w:val="en-GB" w:eastAsia="en-US"/>
        </w:rPr>
        <w:t>s with analog beamforming and beam correspondence also apply to CONNECTED mode random access.</w:t>
      </w:r>
      <w:r w:rsidR="00E12F5E">
        <w:rPr>
          <w:lang w:val="en-GB" w:eastAsia="en-US"/>
        </w:rPr>
        <w:t xml:space="preserve"> Therefore, </w:t>
      </w:r>
      <w:r w:rsidR="00167B22">
        <w:rPr>
          <w:lang w:val="en-GB" w:eastAsia="en-US"/>
        </w:rPr>
        <w:t>the same kind of framework with association between measurement results and RACH groups should be applied to CONNECTED mode random access.</w:t>
      </w:r>
      <w:r w:rsidR="00871AE1">
        <w:rPr>
          <w:lang w:val="en-GB" w:eastAsia="en-US"/>
        </w:rPr>
        <w:t xml:space="preserve"> This means that </w:t>
      </w:r>
      <w:r w:rsidR="00127E05">
        <w:rPr>
          <w:lang w:val="en-GB" w:eastAsia="en-US"/>
        </w:rPr>
        <w:t xml:space="preserve">also scenarios with multiple RACH groups, distinguished by disjoint subsets of preambles, </w:t>
      </w:r>
      <w:r w:rsidR="0073079D">
        <w:rPr>
          <w:lang w:val="en-GB" w:eastAsia="en-US"/>
        </w:rPr>
        <w:t xml:space="preserve">within one MSG1 occasion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UE is not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RACH group. </w:t>
      </w:r>
      <w:r w:rsidR="003769E1">
        <w:rPr>
          <w:lang w:val="en-GB" w:eastAsia="en-US"/>
        </w:rPr>
        <w:t xml:space="preserve">Consider </w:t>
      </w:r>
      <w:r w:rsidR="00DC0848">
        <w:rPr>
          <w:lang w:val="en-GB" w:eastAsia="en-US"/>
        </w:rPr>
        <w:fldChar w:fldCharType="begin"/>
      </w:r>
      <w:r w:rsidR="003769E1">
        <w:rPr>
          <w:lang w:val="en-GB" w:eastAsia="en-US"/>
        </w:rPr>
        <w:instrText xml:space="preserve"> REF _Ref471143674 \h </w:instrText>
      </w:r>
      <w:r w:rsidR="00DC0848">
        <w:rPr>
          <w:lang w:val="en-GB" w:eastAsia="en-US"/>
        </w:rPr>
      </w:r>
      <w:r w:rsidR="00DC0848">
        <w:rPr>
          <w:lang w:val="en-GB" w:eastAsia="en-US"/>
        </w:rPr>
        <w:fldChar w:fldCharType="separate"/>
      </w:r>
      <w:r w:rsidR="003769E1">
        <w:t xml:space="preserve">Figure </w:t>
      </w:r>
      <w:r w:rsidR="003769E1">
        <w:rPr>
          <w:noProof/>
        </w:rPr>
        <w:t>4</w:t>
      </w:r>
      <w:r w:rsidR="00DC0848">
        <w:rPr>
          <w:lang w:val="en-GB" w:eastAsia="en-US"/>
        </w:rPr>
        <w:fldChar w:fldCharType="end"/>
      </w:r>
      <w:r w:rsidR="003769E1">
        <w:rPr>
          <w:lang w:val="en-GB" w:eastAsia="en-US"/>
        </w:rPr>
        <w:t xml:space="preserve"> as an example, and further assume that a single frequency resource is used for MSG1. This means that the 4 RACH groups are created by 4 subsets of preambles. For contention-free random access, the UE is configured with one preamble per RACH group, i.e. per subset of preambles. This enables beamformed reception of MSG1 (in the case of TRP beam reciprocity) and best DL Tx beam indication, also for contention-free random access.</w:t>
      </w:r>
    </w:p>
    <w:p w:rsidR="003769E1" w:rsidRDefault="003769E1" w:rsidP="003769E1">
      <w:pPr>
        <w:pStyle w:val="Caption"/>
        <w:spacing w:before="0" w:after="0"/>
        <w:jc w:val="both"/>
        <w:rPr>
          <w:i/>
        </w:rPr>
      </w:pPr>
      <w:r w:rsidRPr="00303F19">
        <w:rPr>
          <w:i/>
        </w:rPr>
        <w:t>Proposal</w:t>
      </w:r>
      <w:r>
        <w:rPr>
          <w:i/>
          <w:lang w:eastAsia="zh-CN"/>
        </w:rPr>
        <w:t xml:space="preserve"> 4</w:t>
      </w:r>
      <w:r>
        <w:rPr>
          <w:i/>
        </w:rPr>
        <w:t>: In contention-free random access, the UE is configured with one (possibly different) preamble per RACH group.</w:t>
      </w:r>
    </w:p>
    <w:p w:rsidR="002270E7" w:rsidRDefault="00356ED0" w:rsidP="002270E7">
      <w:pPr>
        <w:spacing w:before="240" w:after="240"/>
        <w:rPr>
          <w:lang w:val="en-GB" w:eastAsia="en-US"/>
        </w:rPr>
      </w:pPr>
      <w:r>
        <w:rPr>
          <w:lang w:val="en-GB" w:eastAsia="en-US"/>
        </w:rPr>
        <w:t>CONNECTED mode UEs (with dedicated configuration) perform RRM measurements on RS for CONNECT</w:t>
      </w:r>
      <w:r w:rsidR="00093802">
        <w:rPr>
          <w:lang w:val="en-GB" w:eastAsia="en-US"/>
        </w:rPr>
        <w:t>ED mode mobility,</w:t>
      </w:r>
      <w:r w:rsidR="00BF0A86">
        <w:rPr>
          <w:lang w:val="en-GB" w:eastAsia="en-US"/>
        </w:rPr>
        <w:t xml:space="preserve"> which may be the same or different RS than the IDLE UE’s </w:t>
      </w:r>
      <w:r w:rsidR="00DC0848">
        <w:rPr>
          <w:lang w:val="en-GB" w:eastAsia="en-US"/>
        </w:rPr>
        <w:fldChar w:fldCharType="begin"/>
      </w:r>
      <w:r w:rsidR="00BF0A86">
        <w:rPr>
          <w:lang w:val="en-GB" w:eastAsia="en-US"/>
        </w:rPr>
        <w:instrText xml:space="preserve"> REF _Ref470322357 \r \h </w:instrText>
      </w:r>
      <w:r w:rsidR="00DC0848">
        <w:rPr>
          <w:lang w:val="en-GB" w:eastAsia="en-US"/>
        </w:rPr>
      </w:r>
      <w:r w:rsidR="00DC0848">
        <w:rPr>
          <w:lang w:val="en-GB" w:eastAsia="en-US"/>
        </w:rPr>
        <w:fldChar w:fldCharType="separate"/>
      </w:r>
      <w:r w:rsidR="00BF0A86">
        <w:rPr>
          <w:lang w:val="en-GB" w:eastAsia="en-US"/>
        </w:rPr>
        <w:t>[1]</w:t>
      </w:r>
      <w:r w:rsidR="00DC0848">
        <w:rPr>
          <w:lang w:val="en-GB" w:eastAsia="en-US"/>
        </w:rPr>
        <w:fldChar w:fldCharType="end"/>
      </w:r>
      <w:r w:rsidR="00BF0A86">
        <w:rPr>
          <w:lang w:val="en-GB" w:eastAsia="en-US"/>
        </w:rPr>
        <w:t>,</w:t>
      </w:r>
      <w:r w:rsidR="00093802">
        <w:rPr>
          <w:lang w:val="en-GB" w:eastAsia="en-US"/>
        </w:rPr>
        <w:t xml:space="preserve"> resulting in A</w:t>
      </w:r>
      <w:r>
        <w:rPr>
          <w:lang w:val="en-GB" w:eastAsia="en-US"/>
        </w:rPr>
        <w:t xml:space="preserve"> measurement results. </w:t>
      </w:r>
      <w:r w:rsidR="00BF0A86">
        <w:rPr>
          <w:lang w:val="en-GB" w:eastAsia="en-US"/>
        </w:rPr>
        <w:t xml:space="preserve">In </w:t>
      </w:r>
      <w:r w:rsidR="00DC0848">
        <w:rPr>
          <w:lang w:val="en-GB" w:eastAsia="en-US"/>
        </w:rPr>
        <w:fldChar w:fldCharType="begin"/>
      </w:r>
      <w:r w:rsidR="00BF0A86">
        <w:rPr>
          <w:lang w:val="en-GB" w:eastAsia="en-US"/>
        </w:rPr>
        <w:instrText xml:space="preserve"> REF _Ref470322368 \r \h </w:instrText>
      </w:r>
      <w:r w:rsidR="00DC0848">
        <w:rPr>
          <w:lang w:val="en-GB" w:eastAsia="en-US"/>
        </w:rPr>
      </w:r>
      <w:r w:rsidR="00DC0848">
        <w:rPr>
          <w:lang w:val="en-GB" w:eastAsia="en-US"/>
        </w:rPr>
        <w:fldChar w:fldCharType="separate"/>
      </w:r>
      <w:r w:rsidR="00BF0A86">
        <w:rPr>
          <w:lang w:val="en-GB" w:eastAsia="en-US"/>
        </w:rPr>
        <w:t>[5]</w:t>
      </w:r>
      <w:r w:rsidR="00DC0848">
        <w:rPr>
          <w:lang w:val="en-GB" w:eastAsia="en-US"/>
        </w:rPr>
        <w:fldChar w:fldCharType="end"/>
      </w:r>
      <w:r w:rsidR="00BF0A86">
        <w:rPr>
          <w:lang w:val="en-GB" w:eastAsia="en-US"/>
        </w:rPr>
        <w:t>, we propose to use both the same RS as IDLE UEs but also additional RS, for simplicity called mobility RS (MRS), which may provide higher spatial resolution and measurement accuracy than the RS for IDLE mobility. Hence, if such MRS will be available for CONNECTED mode UEs, then the MRS-based measurements should be used for selecting a RACH group. A benefit of doing so is, besides the improved measurement accuracy compared to IDLE mode mobility RS, that more accurate beamforming with higher gain can be exploited in the random access procedure.</w:t>
      </w:r>
      <w:r w:rsidR="00251CD6">
        <w:rPr>
          <w:lang w:val="en-GB" w:eastAsia="en-US"/>
        </w:rPr>
        <w:t xml:space="preserve"> </w:t>
      </w:r>
    </w:p>
    <w:p w:rsidR="003A7B2E" w:rsidRDefault="003A7B2E" w:rsidP="003A7B2E">
      <w:pPr>
        <w:pStyle w:val="Caption"/>
        <w:spacing w:before="0" w:after="0"/>
        <w:jc w:val="both"/>
        <w:rPr>
          <w:i/>
        </w:rPr>
      </w:pPr>
      <w:r w:rsidRPr="00303F19">
        <w:rPr>
          <w:i/>
        </w:rPr>
        <w:t>Proposal</w:t>
      </w:r>
      <w:r>
        <w:rPr>
          <w:i/>
          <w:lang w:eastAsia="zh-CN"/>
        </w:rPr>
        <w:t xml:space="preserve"> 5</w:t>
      </w:r>
      <w:r>
        <w:rPr>
          <w:i/>
        </w:rPr>
        <w:t xml:space="preserve">: CONNECTED mode random access uses associations from </w:t>
      </w:r>
      <w:r w:rsidR="00251CD6">
        <w:rPr>
          <w:i/>
        </w:rPr>
        <w:t xml:space="preserve">DL </w:t>
      </w:r>
      <w:r>
        <w:rPr>
          <w:i/>
        </w:rPr>
        <w:t xml:space="preserve">measurements on the </w:t>
      </w:r>
      <w:r w:rsidR="00251CD6">
        <w:rPr>
          <w:i/>
        </w:rPr>
        <w:t>M</w:t>
      </w:r>
      <w:r>
        <w:rPr>
          <w:i/>
        </w:rPr>
        <w:t xml:space="preserve">RS </w:t>
      </w:r>
      <w:r w:rsidR="00251CD6">
        <w:rPr>
          <w:i/>
        </w:rPr>
        <w:t xml:space="preserve">(RS </w:t>
      </w:r>
      <w:r>
        <w:rPr>
          <w:i/>
        </w:rPr>
        <w:t>used for CONNECTED mode mobility</w:t>
      </w:r>
      <w:r w:rsidR="00251CD6">
        <w:rPr>
          <w:i/>
        </w:rPr>
        <w:t>)</w:t>
      </w:r>
      <w:r>
        <w:rPr>
          <w:i/>
        </w:rPr>
        <w:t>.</w:t>
      </w:r>
    </w:p>
    <w:p w:rsidR="00356ED0" w:rsidRDefault="00093802" w:rsidP="00356ED0">
      <w:pPr>
        <w:spacing w:before="240"/>
        <w:rPr>
          <w:lang w:val="en-GB" w:eastAsia="en-US"/>
        </w:rPr>
      </w:pPr>
      <w:r>
        <w:rPr>
          <w:lang w:val="en-GB" w:eastAsia="en-US"/>
        </w:rPr>
        <w:t xml:space="preserve">Note that </w:t>
      </w:r>
      <w:r w:rsidR="003A7B2E">
        <w:rPr>
          <w:lang w:val="en-GB" w:eastAsia="en-US"/>
        </w:rPr>
        <w:t xml:space="preserve">the number of </w:t>
      </w:r>
      <w:r w:rsidR="00251CD6">
        <w:rPr>
          <w:lang w:val="en-GB" w:eastAsia="en-US"/>
        </w:rPr>
        <w:t xml:space="preserve">MRS-based </w:t>
      </w:r>
      <w:r w:rsidR="003A7B2E">
        <w:rPr>
          <w:lang w:val="en-GB" w:eastAsia="en-US"/>
        </w:rPr>
        <w:t>measurement results (</w:t>
      </w:r>
      <w:r>
        <w:rPr>
          <w:lang w:val="en-GB" w:eastAsia="en-US"/>
        </w:rPr>
        <w:t>A</w:t>
      </w:r>
      <w:r w:rsidR="003A7B2E">
        <w:rPr>
          <w:lang w:val="en-GB" w:eastAsia="en-US"/>
        </w:rPr>
        <w:t>)</w:t>
      </w:r>
      <w:r>
        <w:rPr>
          <w:lang w:val="en-GB" w:eastAsia="en-US"/>
        </w:rPr>
        <w:t xml:space="preserve"> in the dedicated configuration may be different than A in the common configuration used by IDLE UEs. </w:t>
      </w:r>
      <w:r w:rsidR="00356ED0">
        <w:rPr>
          <w:lang w:val="en-GB" w:eastAsia="en-US"/>
        </w:rPr>
        <w:t xml:space="preserve">Similarly as for IDLE mode UEs (as described in section </w:t>
      </w:r>
      <w:r w:rsidR="00DC0848">
        <w:rPr>
          <w:lang w:val="en-GB" w:eastAsia="en-US"/>
        </w:rPr>
        <w:fldChar w:fldCharType="begin"/>
      </w:r>
      <w:r w:rsidR="00356ED0">
        <w:rPr>
          <w:lang w:val="en-GB" w:eastAsia="en-US"/>
        </w:rPr>
        <w:instrText xml:space="preserve"> REF _Ref470727886 \r \h </w:instrText>
      </w:r>
      <w:r w:rsidR="00DC0848">
        <w:rPr>
          <w:lang w:val="en-GB" w:eastAsia="en-US"/>
        </w:rPr>
      </w:r>
      <w:r w:rsidR="00DC0848">
        <w:rPr>
          <w:lang w:val="en-GB" w:eastAsia="en-US"/>
        </w:rPr>
        <w:fldChar w:fldCharType="separate"/>
      </w:r>
      <w:r w:rsidR="001A0A0F">
        <w:rPr>
          <w:lang w:val="en-GB" w:eastAsia="en-US"/>
        </w:rPr>
        <w:t>2.2</w:t>
      </w:r>
      <w:r w:rsidR="00DC0848">
        <w:rPr>
          <w:lang w:val="en-GB" w:eastAsia="en-US"/>
        </w:rPr>
        <w:fldChar w:fldCharType="end"/>
      </w:r>
      <w:r w:rsidR="00356ED0">
        <w:rPr>
          <w:lang w:val="en-GB" w:eastAsia="en-US"/>
        </w:rPr>
        <w:t>), the best measurement result may be fully or partially conveyed to the gNB by the selection of RACH group, depending on the number of defined RACH groups</w:t>
      </w:r>
      <w:r>
        <w:rPr>
          <w:lang w:val="en-GB" w:eastAsia="en-US"/>
        </w:rPr>
        <w:t xml:space="preserve"> N</w:t>
      </w:r>
      <w:r w:rsidR="00356ED0">
        <w:rPr>
          <w:lang w:val="en-GB" w:eastAsia="en-US"/>
        </w:rPr>
        <w:t>.</w:t>
      </w:r>
    </w:p>
    <w:p w:rsidR="00A7317C" w:rsidRPr="00B8312D" w:rsidRDefault="00EC6902" w:rsidP="0022417E">
      <w:pPr>
        <w:pStyle w:val="Heading1"/>
      </w:pPr>
      <w:bookmarkStart w:id="9" w:name="_Ref470328244"/>
      <w:r>
        <w:lastRenderedPageBreak/>
        <w:t>MSG1</w:t>
      </w:r>
      <w:bookmarkEnd w:id="9"/>
    </w:p>
    <w:p w:rsidR="0022417E" w:rsidRDefault="00024C1F" w:rsidP="0022417E">
      <w:pPr>
        <w:rPr>
          <w:lang w:val="en-GB" w:eastAsia="en-US"/>
        </w:rPr>
      </w:pPr>
      <w:r>
        <w:rPr>
          <w:lang w:val="en-GB" w:eastAsia="en-US"/>
        </w:rPr>
        <w:t xml:space="preserve">Based on the configured association and measurement results, the UE selects a RACH group, </w:t>
      </w:r>
      <w:r w:rsidR="009E77BB">
        <w:rPr>
          <w:lang w:val="en-GB" w:eastAsia="en-US"/>
        </w:rPr>
        <w:t>preferably</w:t>
      </w:r>
      <w:r>
        <w:rPr>
          <w:lang w:val="en-GB" w:eastAsia="en-US"/>
        </w:rPr>
        <w:t xml:space="preserve"> the RACH group associated with the best measurement result. The </w:t>
      </w:r>
      <w:r w:rsidR="0039374D">
        <w:rPr>
          <w:lang w:val="en-GB" w:eastAsia="en-US"/>
        </w:rPr>
        <w:t xml:space="preserve">selected </w:t>
      </w:r>
      <w:r>
        <w:rPr>
          <w:lang w:val="en-GB" w:eastAsia="en-US"/>
        </w:rPr>
        <w:t xml:space="preserve">RACH group defines the subset of RACH resources and the subset of RACH preambles that the UE should use for MSG1 transmission. </w:t>
      </w:r>
    </w:p>
    <w:p w:rsidR="00235FE8" w:rsidRDefault="00235FE8" w:rsidP="00235FE8">
      <w:pPr>
        <w:pStyle w:val="Caption"/>
        <w:spacing w:after="0"/>
        <w:jc w:val="both"/>
        <w:rPr>
          <w:i/>
        </w:rPr>
      </w:pPr>
      <w:r w:rsidRPr="00303F19">
        <w:rPr>
          <w:i/>
        </w:rPr>
        <w:t>Proposal</w:t>
      </w:r>
      <w:r w:rsidR="00BD6D18">
        <w:rPr>
          <w:i/>
          <w:lang w:eastAsia="zh-CN"/>
        </w:rPr>
        <w:t xml:space="preserve"> </w:t>
      </w:r>
      <w:r w:rsidR="003A7B2E">
        <w:rPr>
          <w:i/>
          <w:lang w:eastAsia="zh-CN"/>
        </w:rPr>
        <w:t>6</w:t>
      </w:r>
      <w:r>
        <w:rPr>
          <w:i/>
        </w:rPr>
        <w:t xml:space="preserve">: </w:t>
      </w:r>
      <w:r w:rsidR="00935B7E">
        <w:rPr>
          <w:i/>
        </w:rPr>
        <w:t xml:space="preserve">A </w:t>
      </w:r>
      <w:r>
        <w:rPr>
          <w:i/>
        </w:rPr>
        <w:t xml:space="preserve">UE selects a RACH group, i.e. a subset of RACH resources and a </w:t>
      </w:r>
      <w:r w:rsidR="0038754B">
        <w:rPr>
          <w:i/>
        </w:rPr>
        <w:t>subset of preambles, based on the</w:t>
      </w:r>
      <w:r>
        <w:rPr>
          <w:i/>
        </w:rPr>
        <w:t xml:space="preserve"> configured association</w:t>
      </w:r>
      <w:r w:rsidR="009E77BB">
        <w:rPr>
          <w:i/>
        </w:rPr>
        <w:t xml:space="preserve"> for the RS with the best measurement result</w:t>
      </w:r>
      <w:r>
        <w:rPr>
          <w:i/>
        </w:rPr>
        <w:t xml:space="preserve">. </w:t>
      </w:r>
    </w:p>
    <w:p w:rsidR="00235FE8" w:rsidRDefault="00235FE8" w:rsidP="00235FE8">
      <w:pPr>
        <w:spacing w:before="240"/>
        <w:rPr>
          <w:lang w:val="en-GB" w:eastAsia="en-US"/>
        </w:rPr>
      </w:pPr>
      <w:r>
        <w:rPr>
          <w:lang w:val="en-GB" w:eastAsia="en-US"/>
        </w:rPr>
        <w:t>When a UE needs to transmit MSG1, it selects a RACH resource and a preamble from the selected RACH group.</w:t>
      </w:r>
    </w:p>
    <w:p w:rsidR="003F6350" w:rsidRDefault="00235FE8" w:rsidP="0022417E">
      <w:pPr>
        <w:rPr>
          <w:lang w:val="en-GB" w:eastAsia="en-US"/>
        </w:rPr>
      </w:pPr>
      <w:r>
        <w:rPr>
          <w:lang w:val="en-GB" w:eastAsia="en-US"/>
        </w:rPr>
        <w:t xml:space="preserve">In LTE, the UE does not retransmit MSG1 until </w:t>
      </w:r>
      <w:r w:rsidR="00904DE4">
        <w:rPr>
          <w:lang w:val="en-GB" w:eastAsia="en-US"/>
        </w:rPr>
        <w:t>after the end of the MSG2 reception window. This has the advantage of reducing unnecessary MSG1 transmissions.</w:t>
      </w:r>
      <w:r w:rsidR="00D225F8">
        <w:rPr>
          <w:lang w:val="en-GB" w:eastAsia="en-US"/>
        </w:rPr>
        <w:t xml:space="preserve"> In NR, however, there are use cases where early preamble retransmission sho</w:t>
      </w:r>
      <w:r w:rsidR="00BD6D18">
        <w:rPr>
          <w:lang w:val="en-GB" w:eastAsia="en-US"/>
        </w:rPr>
        <w:t>uld be considered, for example</w:t>
      </w:r>
      <w:r w:rsidR="00D225F8">
        <w:rPr>
          <w:lang w:val="en-GB" w:eastAsia="en-US"/>
        </w:rPr>
        <w:t xml:space="preserve"> </w:t>
      </w:r>
      <w:r w:rsidR="00BD6D18">
        <w:rPr>
          <w:lang w:val="en-GB" w:eastAsia="en-US"/>
        </w:rPr>
        <w:t xml:space="preserve">when low random access latency and </w:t>
      </w:r>
      <w:r w:rsidR="002B4C98">
        <w:rPr>
          <w:lang w:val="en-GB" w:eastAsia="en-US"/>
        </w:rPr>
        <w:t>high reliability is required or</w:t>
      </w:r>
      <w:r w:rsidR="00BD6D18">
        <w:rPr>
          <w:lang w:val="en-GB" w:eastAsia="en-US"/>
        </w:rPr>
        <w:t xml:space="preserve"> when UE Tx beam sweeping of MSG1 is needed. The early preamble retransmission means that a second preamble is transmitted before the MSG2 o</w:t>
      </w:r>
      <w:r w:rsidR="00877563">
        <w:rPr>
          <w:lang w:val="en-GB" w:eastAsia="en-US"/>
        </w:rPr>
        <w:t>f</w:t>
      </w:r>
      <w:r w:rsidR="00BD6D18">
        <w:rPr>
          <w:lang w:val="en-GB" w:eastAsia="en-US"/>
        </w:rPr>
        <w:t xml:space="preserve"> a first preamble has been received, i.e. before the end of the MSG2 reception w</w:t>
      </w:r>
      <w:r w:rsidR="00913562">
        <w:rPr>
          <w:lang w:val="en-GB" w:eastAsia="en-US"/>
        </w:rPr>
        <w:t xml:space="preserve">indow, as illustrated in </w:t>
      </w:r>
      <w:r w:rsidR="00DC0848">
        <w:rPr>
          <w:lang w:val="en-GB" w:eastAsia="en-US"/>
        </w:rPr>
        <w:fldChar w:fldCharType="begin"/>
      </w:r>
      <w:r w:rsidR="00913562">
        <w:rPr>
          <w:lang w:val="en-GB" w:eastAsia="en-US"/>
        </w:rPr>
        <w:instrText xml:space="preserve"> REF _Ref471150883 \h </w:instrText>
      </w:r>
      <w:r w:rsidR="00DC0848">
        <w:rPr>
          <w:lang w:val="en-GB" w:eastAsia="en-US"/>
        </w:rPr>
      </w:r>
      <w:r w:rsidR="00DC0848">
        <w:rPr>
          <w:lang w:val="en-GB" w:eastAsia="en-US"/>
        </w:rPr>
        <w:fldChar w:fldCharType="separate"/>
      </w:r>
      <w:r w:rsidR="00913562">
        <w:t xml:space="preserve">Figure </w:t>
      </w:r>
      <w:r w:rsidR="00913562">
        <w:rPr>
          <w:noProof/>
        </w:rPr>
        <w:t>6</w:t>
      </w:r>
      <w:r w:rsidR="00DC0848">
        <w:rPr>
          <w:lang w:val="en-GB" w:eastAsia="en-US"/>
        </w:rPr>
        <w:fldChar w:fldCharType="end"/>
      </w:r>
      <w:r w:rsidR="00BD6D18">
        <w:rPr>
          <w:lang w:val="en-GB" w:eastAsia="en-US"/>
        </w:rPr>
        <w:t>.</w:t>
      </w:r>
    </w:p>
    <w:p w:rsidR="00BD6D18" w:rsidRDefault="00BD6D18" w:rsidP="00BD6D18">
      <w:pPr>
        <w:pStyle w:val="Caption"/>
        <w:jc w:val="both"/>
        <w:rPr>
          <w:i/>
        </w:rPr>
      </w:pPr>
      <w:r w:rsidRPr="00303F19">
        <w:rPr>
          <w:i/>
        </w:rPr>
        <w:t>Proposal</w:t>
      </w:r>
      <w:r w:rsidR="00B715AC">
        <w:rPr>
          <w:i/>
          <w:lang w:eastAsia="zh-CN"/>
        </w:rPr>
        <w:t xml:space="preserve"> 7</w:t>
      </w:r>
      <w:r>
        <w:rPr>
          <w:i/>
        </w:rPr>
        <w:t xml:space="preserve">: </w:t>
      </w:r>
      <w:r w:rsidR="00BE4D32">
        <w:rPr>
          <w:i/>
        </w:rPr>
        <w:t>MSG1 retransmission before the end of the MSG2 reception window of the</w:t>
      </w:r>
      <w:r w:rsidR="00BF0A86">
        <w:rPr>
          <w:i/>
        </w:rPr>
        <w:t xml:space="preserve"> previously transmitted MSG1</w:t>
      </w:r>
      <w:r w:rsidR="00BE4D32">
        <w:rPr>
          <w:i/>
        </w:rPr>
        <w:t xml:space="preserve"> is supported.</w:t>
      </w:r>
      <w:r>
        <w:rPr>
          <w:i/>
        </w:rPr>
        <w:t xml:space="preserve"> </w:t>
      </w:r>
    </w:p>
    <w:p w:rsidR="002B4C98" w:rsidRDefault="00BF0A86" w:rsidP="00BF0A86">
      <w:pPr>
        <w:jc w:val="center"/>
        <w:rPr>
          <w:lang w:val="en-GB" w:eastAsia="en-US"/>
        </w:rPr>
      </w:pPr>
      <w:r w:rsidRPr="00BF0A86">
        <w:rPr>
          <w:noProof/>
          <w:lang w:eastAsia="en-US"/>
        </w:rPr>
        <w:drawing>
          <wp:inline distT="0" distB="0" distL="0" distR="0">
            <wp:extent cx="5092212" cy="1647093"/>
            <wp:effectExtent l="19050" t="0" r="0" b="0"/>
            <wp:docPr id="17"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34790" cy="2333655"/>
                      <a:chOff x="990600" y="533400"/>
                      <a:chExt cx="6834790" cy="2333655"/>
                    </a:xfrm>
                  </a:grpSpPr>
                  <a:sp>
                    <a:nvSpPr>
                      <a:cNvPr id="135" name="Rectangle 134"/>
                      <a:cNvSpPr/>
                    </a:nvSpPr>
                    <a:spPr>
                      <a:xfrm>
                        <a:off x="1676400" y="5334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990600" y="533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100" b="1" smtClean="0">
                              <a:solidFill>
                                <a:schemeClr val="tx1"/>
                              </a:solidFill>
                            </a:rPr>
                            <a:t>MSG1 trans-mission</a:t>
                          </a:r>
                        </a:p>
                        <a:p>
                          <a:pPr algn="ctr"/>
                          <a:r>
                            <a:rPr lang="sv-SE" sz="1100" b="1" smtClean="0">
                              <a:solidFill>
                                <a:schemeClr val="tx1"/>
                              </a:solidFill>
                            </a:rPr>
                            <a:t>1</a:t>
                          </a:r>
                          <a:endParaRPr lang="sv-SE" sz="11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2743200" y="6212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3733800" y="533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100" b="1" smtClean="0">
                              <a:solidFill>
                                <a:schemeClr val="tx1"/>
                              </a:solidFill>
                            </a:rPr>
                            <a:t>MSG1 </a:t>
                          </a:r>
                          <a:r>
                            <a:rPr lang="sv-SE" sz="1100" b="1" smtClean="0">
                              <a:solidFill>
                                <a:schemeClr val="tx1"/>
                              </a:solidFill>
                            </a:rPr>
                            <a:t>trans-mission</a:t>
                          </a:r>
                        </a:p>
                        <a:p>
                          <a:pPr algn="ctr"/>
                          <a:r>
                            <a:rPr lang="sv-SE" sz="1100" b="1" smtClean="0">
                              <a:solidFill>
                                <a:schemeClr val="tx1"/>
                              </a:solidFill>
                            </a:rPr>
                            <a:t>2</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6019800" y="1109990"/>
                        <a:ext cx="9906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6248400" y="110999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a:sp>
                    <a:nvSpPr>
                      <a:cNvPr id="125" name="Rectangle 124"/>
                      <a:cNvSpPr/>
                    </a:nvSpPr>
                    <a:spPr>
                      <a:xfrm>
                        <a:off x="4437747" y="5334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Rectangle 126"/>
                      <a:cNvSpPr/>
                    </a:nvSpPr>
                    <a:spPr>
                      <a:xfrm>
                        <a:off x="2362200" y="1828800"/>
                        <a:ext cx="4114800" cy="2286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MSG2 reception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8" name="Straight Arrow Connector 127"/>
                      <a:cNvCxnSpPr>
                        <a:stCxn id="141" idx="2"/>
                        <a:endCxn id="127" idx="1"/>
                      </a:cNvCxnSpPr>
                    </a:nvCxnSpPr>
                    <a:spPr>
                      <a:xfrm>
                        <a:off x="1278632" y="1181472"/>
                        <a:ext cx="1083568" cy="76162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38" name="Rectangle 137"/>
                      <a:cNvSpPr/>
                    </a:nvSpPr>
                    <a:spPr>
                      <a:xfrm>
                        <a:off x="5105400" y="1600200"/>
                        <a:ext cx="2438400" cy="228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MSG2 reception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63" name="Straight Arrow Connector 162"/>
                      <a:cNvCxnSpPr>
                        <a:stCxn id="249" idx="2"/>
                        <a:endCxn id="138" idx="1"/>
                      </a:cNvCxnSpPr>
                    </a:nvCxnSpPr>
                    <a:spPr>
                      <a:xfrm>
                        <a:off x="4021832" y="1181472"/>
                        <a:ext cx="1083568" cy="53302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0" name="Straight Arrow Connector 169"/>
                      <a:cNvCxnSpPr/>
                    </a:nvCxnSpPr>
                    <a:spPr>
                      <a:xfrm flipV="1">
                        <a:off x="3733800" y="2057400"/>
                        <a:ext cx="0" cy="381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78" name="TextBox 177"/>
                      <a:cNvSpPr txBox="1"/>
                    </a:nvSpPr>
                    <a:spPr>
                      <a:xfrm>
                        <a:off x="3352800" y="2405390"/>
                        <a:ext cx="779381"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No MSG2</a:t>
                          </a:r>
                        </a:p>
                        <a:p>
                          <a:r>
                            <a:rPr lang="sv-SE" sz="1200" smtClean="0"/>
                            <a:t>received</a:t>
                          </a:r>
                          <a:endParaRPr lang="en-US" sz="1200"/>
                        </a:p>
                      </a:txBody>
                      <a:useSpRect/>
                    </a:txSp>
                  </a:sp>
                  <a:sp>
                    <a:nvSpPr>
                      <a:cNvPr id="179" name="TextBox 178"/>
                      <a:cNvSpPr txBox="1"/>
                    </a:nvSpPr>
                    <a:spPr>
                      <a:xfrm>
                        <a:off x="5257800" y="6212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81" name="TextBox 180"/>
                      <a:cNvSpPr txBox="1"/>
                    </a:nvSpPr>
                    <a:spPr>
                      <a:xfrm>
                        <a:off x="7467600" y="1459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lc:lockedCanvas>
              </a:graphicData>
            </a:graphic>
          </wp:inline>
        </w:drawing>
      </w:r>
    </w:p>
    <w:p w:rsidR="00BF0A86" w:rsidRDefault="00BF0A86" w:rsidP="00BF0A86">
      <w:pPr>
        <w:pStyle w:val="Caption"/>
      </w:pPr>
      <w:bookmarkStart w:id="10" w:name="_Ref471150883"/>
      <w:r>
        <w:t xml:space="preserve">Figure </w:t>
      </w:r>
      <w:r w:rsidR="00DC0848">
        <w:fldChar w:fldCharType="begin"/>
      </w:r>
      <w:r w:rsidR="002270E7">
        <w:instrText xml:space="preserve"> SEQ Figure \* ARABIC </w:instrText>
      </w:r>
      <w:r w:rsidR="00DC0848">
        <w:fldChar w:fldCharType="separate"/>
      </w:r>
      <w:r w:rsidR="009D60C2">
        <w:rPr>
          <w:noProof/>
        </w:rPr>
        <w:t>6</w:t>
      </w:r>
      <w:r w:rsidR="00DC0848">
        <w:fldChar w:fldCharType="end"/>
      </w:r>
      <w:bookmarkEnd w:id="10"/>
      <w:r>
        <w:t>: Illustration of MSG1 retransmission (i.e. MSG1 transmission 2) before the end of the MSG2 reception window of the previously transmitted preamble (i.e. MSG1 transmission 1).</w:t>
      </w:r>
    </w:p>
    <w:p w:rsidR="0038754B" w:rsidRPr="0022417E" w:rsidRDefault="00487007" w:rsidP="0022417E">
      <w:pPr>
        <w:rPr>
          <w:lang w:val="en-GB" w:eastAsia="en-US"/>
        </w:rPr>
      </w:pPr>
      <w:r>
        <w:rPr>
          <w:lang w:val="en-GB" w:eastAsia="en-US"/>
        </w:rPr>
        <w:t>RAN1 c</w:t>
      </w:r>
      <w:r w:rsidR="00BE4D32">
        <w:rPr>
          <w:lang w:val="en-GB" w:eastAsia="en-US"/>
        </w:rPr>
        <w:t xml:space="preserve">ould further study whether this </w:t>
      </w:r>
      <w:r w:rsidR="00EC59E8">
        <w:rPr>
          <w:lang w:val="en-GB" w:eastAsia="en-US"/>
        </w:rPr>
        <w:t>behaviour</w:t>
      </w:r>
      <w:r w:rsidR="00BE4D32">
        <w:rPr>
          <w:lang w:val="en-GB" w:eastAsia="en-US"/>
        </w:rPr>
        <w:t xml:space="preserve"> should be limited to certain UE categories, for a subset of the MSG1 triggers, certain scenarios, </w:t>
      </w:r>
      <w:r w:rsidR="002B4C98">
        <w:rPr>
          <w:lang w:val="en-GB" w:eastAsia="en-US"/>
        </w:rPr>
        <w:t>or</w:t>
      </w:r>
      <w:r w:rsidR="00BE4D32">
        <w:rPr>
          <w:lang w:val="en-GB" w:eastAsia="en-US"/>
        </w:rPr>
        <w:t xml:space="preserve"> to which extent this </w:t>
      </w:r>
      <w:r w:rsidR="00EC59E8">
        <w:rPr>
          <w:lang w:val="en-GB" w:eastAsia="en-US"/>
        </w:rPr>
        <w:t>behaviour</w:t>
      </w:r>
      <w:r w:rsidR="00BE4D32">
        <w:rPr>
          <w:lang w:val="en-GB" w:eastAsia="en-US"/>
        </w:rPr>
        <w:t xml:space="preserve"> should be configurable in the random access configuration.</w:t>
      </w:r>
      <w:r w:rsidR="00FD6698">
        <w:rPr>
          <w:lang w:val="en-GB" w:eastAsia="en-US"/>
        </w:rPr>
        <w:t xml:space="preserve"> Also note that the MSG1 retransmission discussed above is different from the transmission of multiple/repeated preamble transmission as informed by broadcast system information during which the UE uses the same Tx beam </w:t>
      </w:r>
      <w:r w:rsidR="00DC0848">
        <w:rPr>
          <w:lang w:val="en-GB" w:eastAsia="en-US"/>
        </w:rPr>
        <w:fldChar w:fldCharType="begin"/>
      </w:r>
      <w:r w:rsidR="00FD6698">
        <w:rPr>
          <w:lang w:val="en-GB" w:eastAsia="en-US"/>
        </w:rPr>
        <w:instrText xml:space="preserve"> REF _Ref470322357 \r \h </w:instrText>
      </w:r>
      <w:r w:rsidR="00DC0848">
        <w:rPr>
          <w:lang w:val="en-GB" w:eastAsia="en-US"/>
        </w:rPr>
      </w:r>
      <w:r w:rsidR="00DC0848">
        <w:rPr>
          <w:lang w:val="en-GB" w:eastAsia="en-US"/>
        </w:rPr>
        <w:fldChar w:fldCharType="separate"/>
      </w:r>
      <w:r w:rsidR="001A0A0F">
        <w:rPr>
          <w:lang w:val="en-GB" w:eastAsia="en-US"/>
        </w:rPr>
        <w:t>[1]</w:t>
      </w:r>
      <w:r w:rsidR="00DC0848">
        <w:rPr>
          <w:lang w:val="en-GB" w:eastAsia="en-US"/>
        </w:rPr>
        <w:fldChar w:fldCharType="end"/>
      </w:r>
      <w:r w:rsidR="00FD6698">
        <w:rPr>
          <w:lang w:val="en-GB" w:eastAsia="en-US"/>
        </w:rPr>
        <w:t>. If multiple/repeated preamble transmission is configured, then a retransmission refers to the retransmission of multiple/repeated preambles.</w:t>
      </w:r>
    </w:p>
    <w:p w:rsidR="002270E7" w:rsidRDefault="0038754B" w:rsidP="002270E7">
      <w:pPr>
        <w:rPr>
          <w:lang w:val="en-GB"/>
        </w:rPr>
      </w:pPr>
      <w:r>
        <w:rPr>
          <w:lang w:val="en-GB"/>
        </w:rPr>
        <w:t xml:space="preserve">As described above, a UE selects a RACH group based on the </w:t>
      </w:r>
      <w:r w:rsidR="00487007">
        <w:rPr>
          <w:lang w:val="en-GB"/>
        </w:rPr>
        <w:t xml:space="preserve">RS with best </w:t>
      </w:r>
      <w:r>
        <w:rPr>
          <w:lang w:val="en-GB"/>
        </w:rPr>
        <w:t>me</w:t>
      </w:r>
      <w:r w:rsidR="00487007">
        <w:rPr>
          <w:lang w:val="en-GB"/>
        </w:rPr>
        <w:t>asurement results (e.g. RSRP), which could correspond to the best DL Tx beam. The power control for MSG1 transmit power control should be based on this measurement result.</w:t>
      </w:r>
    </w:p>
    <w:p w:rsidR="00487007" w:rsidRPr="00DE7178" w:rsidRDefault="00487007" w:rsidP="00487007">
      <w:pPr>
        <w:pStyle w:val="Caption"/>
        <w:spacing w:before="0"/>
        <w:jc w:val="both"/>
        <w:rPr>
          <w:i/>
        </w:rPr>
      </w:pPr>
      <w:r w:rsidRPr="00303F19">
        <w:rPr>
          <w:i/>
        </w:rPr>
        <w:lastRenderedPageBreak/>
        <w:t>Proposal</w:t>
      </w:r>
      <w:r>
        <w:rPr>
          <w:i/>
          <w:lang w:eastAsia="zh-CN"/>
        </w:rPr>
        <w:t xml:space="preserve"> </w:t>
      </w:r>
      <w:r w:rsidR="00B715AC">
        <w:rPr>
          <w:i/>
          <w:lang w:eastAsia="zh-CN"/>
        </w:rPr>
        <w:t>8</w:t>
      </w:r>
      <w:r>
        <w:rPr>
          <w:i/>
        </w:rPr>
        <w:t xml:space="preserve">: The MSG1 transmit power control </w:t>
      </w:r>
      <w:r w:rsidR="0020198C">
        <w:rPr>
          <w:i/>
        </w:rPr>
        <w:t>is</w:t>
      </w:r>
      <w:r>
        <w:rPr>
          <w:i/>
        </w:rPr>
        <w:t xml:space="preserve"> based on the best measurement result (e.g. RSRP) that was used to select a RACH group.</w:t>
      </w:r>
    </w:p>
    <w:p w:rsidR="002270E7" w:rsidRDefault="00064615" w:rsidP="002270E7">
      <w:pPr>
        <w:rPr>
          <w:lang w:val="en-GB"/>
        </w:rPr>
      </w:pPr>
      <w:r>
        <w:rPr>
          <w:lang w:val="en-GB"/>
        </w:rPr>
        <w:t>At least for UEs without beam correspondence, UL Tx beam sweeping should normally be performed before the preamble transmit power is ramped up. It is beneficial to find matching beam pairs as early as possible in the random access procedure, in order to save UE power and keep down the interference power level.</w:t>
      </w:r>
    </w:p>
    <w:p w:rsidR="00064615" w:rsidRPr="00DE7178" w:rsidRDefault="00064615" w:rsidP="00064615">
      <w:pPr>
        <w:pStyle w:val="Caption"/>
        <w:jc w:val="both"/>
        <w:rPr>
          <w:i/>
        </w:rPr>
      </w:pPr>
      <w:r w:rsidRPr="00303F19">
        <w:rPr>
          <w:i/>
        </w:rPr>
        <w:t>Proposal</w:t>
      </w:r>
      <w:r>
        <w:rPr>
          <w:i/>
          <w:lang w:eastAsia="zh-CN"/>
        </w:rPr>
        <w:t xml:space="preserve"> 9</w:t>
      </w:r>
      <w:r>
        <w:rPr>
          <w:i/>
        </w:rPr>
        <w:t>: UE Tx beam sweeping of MSG1, if used, should be performed before UE Tx power ramping.</w:t>
      </w:r>
    </w:p>
    <w:p w:rsidR="00B31DEC" w:rsidRDefault="00EC6902" w:rsidP="00163996">
      <w:pPr>
        <w:pStyle w:val="Heading1"/>
      </w:pPr>
      <w:r>
        <w:t>MSG2</w:t>
      </w:r>
    </w:p>
    <w:p w:rsidR="00D5418F" w:rsidRDefault="00D5418F" w:rsidP="00E5500B">
      <w:pPr>
        <w:rPr>
          <w:lang w:val="en-GB"/>
        </w:rPr>
      </w:pPr>
      <w:r>
        <w:rPr>
          <w:lang w:val="en-GB"/>
        </w:rPr>
        <w:t xml:space="preserve">The LTE MSG2 can be taken as the baseline for the MSG2 in NR, with some </w:t>
      </w:r>
      <w:r w:rsidR="00A51D1A">
        <w:rPr>
          <w:lang w:val="en-GB"/>
        </w:rPr>
        <w:t xml:space="preserve">example </w:t>
      </w:r>
      <w:r>
        <w:rPr>
          <w:lang w:val="en-GB"/>
        </w:rPr>
        <w:t>additions discussed below.</w:t>
      </w:r>
    </w:p>
    <w:p w:rsidR="00D5418F" w:rsidRPr="00D5418F" w:rsidRDefault="00D5418F" w:rsidP="00D5418F">
      <w:pPr>
        <w:pStyle w:val="Caption"/>
        <w:spacing w:after="0"/>
        <w:jc w:val="both"/>
        <w:rPr>
          <w:i/>
        </w:rPr>
      </w:pPr>
      <w:r w:rsidRPr="00303F19">
        <w:rPr>
          <w:i/>
        </w:rPr>
        <w:t>Proposal</w:t>
      </w:r>
      <w:r>
        <w:rPr>
          <w:i/>
          <w:lang w:eastAsia="zh-CN"/>
        </w:rPr>
        <w:t xml:space="preserve"> </w:t>
      </w:r>
      <w:r w:rsidR="00064615">
        <w:rPr>
          <w:i/>
          <w:lang w:eastAsia="zh-CN"/>
        </w:rPr>
        <w:t>10</w:t>
      </w:r>
      <w:r>
        <w:rPr>
          <w:i/>
        </w:rPr>
        <w:t>: The LTE MSG2 is the baseline for the MSG2 in NR</w:t>
      </w:r>
      <w:r w:rsidR="00D00ACE">
        <w:rPr>
          <w:i/>
        </w:rPr>
        <w:t>.</w:t>
      </w:r>
    </w:p>
    <w:p w:rsidR="00ED7C66" w:rsidRDefault="000B7B7D" w:rsidP="00C4070C">
      <w:pPr>
        <w:spacing w:before="240"/>
        <w:rPr>
          <w:lang w:val="en-GB"/>
        </w:rPr>
      </w:pPr>
      <w:r>
        <w:rPr>
          <w:lang w:val="en-GB"/>
        </w:rPr>
        <w:t xml:space="preserve">In LTE, the UE expects MSG2 within a </w:t>
      </w:r>
      <w:r w:rsidR="00271CA5">
        <w:rPr>
          <w:lang w:val="en-GB"/>
        </w:rPr>
        <w:t xml:space="preserve">certain configurable MSG2 reception window (“RAR window”), which facilitates </w:t>
      </w:r>
      <w:r w:rsidR="00ED7C66">
        <w:rPr>
          <w:lang w:val="en-GB"/>
        </w:rPr>
        <w:t xml:space="preserve">for example </w:t>
      </w:r>
      <w:r w:rsidR="00271CA5">
        <w:rPr>
          <w:lang w:val="en-GB"/>
        </w:rPr>
        <w:t>d</w:t>
      </w:r>
      <w:r w:rsidR="00437D51">
        <w:rPr>
          <w:lang w:val="en-GB"/>
        </w:rPr>
        <w:t>ifferent network implementations</w:t>
      </w:r>
      <w:r w:rsidR="00271CA5">
        <w:rPr>
          <w:lang w:val="en-GB"/>
        </w:rPr>
        <w:t xml:space="preserve">. </w:t>
      </w:r>
      <w:r w:rsidR="00ED7C66">
        <w:rPr>
          <w:lang w:val="en-GB"/>
        </w:rPr>
        <w:t>In some cases, the eNB can respond rapidly, e.g. 3 ms after the MSG1. In other cases, e.g. with multiple TRPs with non-ideal backhaul, the eNB may re</w:t>
      </w:r>
      <w:r w:rsidR="00B705E1">
        <w:rPr>
          <w:lang w:val="en-GB"/>
        </w:rPr>
        <w:t>s</w:t>
      </w:r>
      <w:r w:rsidR="00ED7C66">
        <w:rPr>
          <w:lang w:val="en-GB"/>
        </w:rPr>
        <w:t>pond after longer time, e.g. 10 ms after the MSG1. A similar</w:t>
      </w:r>
      <w:r w:rsidR="00053525">
        <w:rPr>
          <w:lang w:val="en-GB"/>
        </w:rPr>
        <w:t>ly flexible</w:t>
      </w:r>
      <w:r w:rsidR="00ED7C66">
        <w:rPr>
          <w:lang w:val="en-GB"/>
        </w:rPr>
        <w:t xml:space="preserve"> mechanism is useful also in NR.</w:t>
      </w:r>
    </w:p>
    <w:p w:rsidR="00ED7C66" w:rsidRPr="00DE7178" w:rsidRDefault="00ED7C66" w:rsidP="00ED7C66">
      <w:pPr>
        <w:pStyle w:val="Caption"/>
        <w:jc w:val="both"/>
        <w:rPr>
          <w:i/>
        </w:rPr>
      </w:pPr>
      <w:r w:rsidRPr="00303F19">
        <w:rPr>
          <w:i/>
        </w:rPr>
        <w:t>Proposal</w:t>
      </w:r>
      <w:r w:rsidR="00B715AC">
        <w:rPr>
          <w:i/>
          <w:lang w:eastAsia="zh-CN"/>
        </w:rPr>
        <w:t xml:space="preserve"> 1</w:t>
      </w:r>
      <w:r w:rsidR="00E704F0">
        <w:rPr>
          <w:i/>
          <w:lang w:eastAsia="zh-CN"/>
        </w:rPr>
        <w:t>1</w:t>
      </w:r>
      <w:r>
        <w:rPr>
          <w:i/>
        </w:rPr>
        <w:t>: The UE expects MSG2 within a MSG2 reception window with a configurable start time and duration.</w:t>
      </w:r>
    </w:p>
    <w:p w:rsidR="00ED7C66" w:rsidRDefault="00FD6698" w:rsidP="00E5500B">
      <w:pPr>
        <w:rPr>
          <w:lang w:val="en-GB"/>
        </w:rPr>
      </w:pPr>
      <w:r>
        <w:rPr>
          <w:lang w:val="en-GB"/>
        </w:rPr>
        <w:t xml:space="preserve">In LTE, the UE may terminate the MSG2 decoding attempts after the first successfully received MSG2. In NR, this assumption may </w:t>
      </w:r>
      <w:r w:rsidR="004B6770">
        <w:rPr>
          <w:lang w:val="en-GB"/>
        </w:rPr>
        <w:t xml:space="preserve">need to </w:t>
      </w:r>
      <w:r>
        <w:rPr>
          <w:lang w:val="en-GB"/>
        </w:rPr>
        <w:t xml:space="preserve">be revisited. </w:t>
      </w:r>
      <w:r w:rsidR="007E0F31">
        <w:rPr>
          <w:lang w:val="en-GB"/>
        </w:rPr>
        <w:t>At least t</w:t>
      </w:r>
      <w:r>
        <w:rPr>
          <w:lang w:val="en-GB"/>
        </w:rPr>
        <w:t xml:space="preserve">wo cases can be </w:t>
      </w:r>
      <w:r w:rsidR="007E0F31">
        <w:rPr>
          <w:lang w:val="en-GB"/>
        </w:rPr>
        <w:t>considered</w:t>
      </w:r>
      <w:r>
        <w:rPr>
          <w:lang w:val="en-GB"/>
        </w:rPr>
        <w:t>:</w:t>
      </w:r>
    </w:p>
    <w:p w:rsidR="007E0F31" w:rsidRDefault="007E0F31" w:rsidP="00FD6698">
      <w:pPr>
        <w:pStyle w:val="ListParagraph"/>
        <w:numPr>
          <w:ilvl w:val="0"/>
          <w:numId w:val="32"/>
        </w:numPr>
        <w:ind w:firstLineChars="0"/>
        <w:rPr>
          <w:lang w:val="en-GB"/>
        </w:rPr>
      </w:pPr>
      <w:r>
        <w:rPr>
          <w:lang w:val="en-GB"/>
        </w:rPr>
        <w:t>Case 1: Multiple TRPs detect the same MSG1 and respond with a MSG2 each.</w:t>
      </w:r>
    </w:p>
    <w:p w:rsidR="00FD6698" w:rsidRDefault="00FD6698" w:rsidP="00FD6698">
      <w:pPr>
        <w:pStyle w:val="ListParagraph"/>
        <w:numPr>
          <w:ilvl w:val="0"/>
          <w:numId w:val="32"/>
        </w:numPr>
        <w:ind w:firstLineChars="0"/>
        <w:rPr>
          <w:lang w:val="en-GB"/>
        </w:rPr>
      </w:pPr>
      <w:r>
        <w:rPr>
          <w:lang w:val="en-GB"/>
        </w:rPr>
        <w:t xml:space="preserve">Case </w:t>
      </w:r>
      <w:r w:rsidR="007E0F31">
        <w:rPr>
          <w:lang w:val="en-GB"/>
        </w:rPr>
        <w:t>2</w:t>
      </w:r>
      <w:r>
        <w:rPr>
          <w:lang w:val="en-GB"/>
        </w:rPr>
        <w:t>: The same UE retransmits MSG1 before the successful reception of MSG2 corresponding to the previous MSG1.</w:t>
      </w:r>
    </w:p>
    <w:p w:rsidR="009D60C2" w:rsidRDefault="007E0F31" w:rsidP="007E0F31">
      <w:pPr>
        <w:rPr>
          <w:lang w:val="en-GB"/>
        </w:rPr>
      </w:pPr>
      <w:r>
        <w:rPr>
          <w:lang w:val="en-GB"/>
        </w:rPr>
        <w:t xml:space="preserve">The two cases above </w:t>
      </w:r>
      <w:r w:rsidR="002A3ED4">
        <w:rPr>
          <w:lang w:val="en-GB"/>
        </w:rPr>
        <w:t xml:space="preserve">are illustrated in </w:t>
      </w:r>
      <w:r w:rsidR="00DC0848">
        <w:rPr>
          <w:lang w:val="en-GB"/>
        </w:rPr>
        <w:fldChar w:fldCharType="begin"/>
      </w:r>
      <w:r w:rsidR="00913562">
        <w:rPr>
          <w:lang w:val="en-GB"/>
        </w:rPr>
        <w:instrText xml:space="preserve"> REF _Ref471150900 \h </w:instrText>
      </w:r>
      <w:r w:rsidR="00DC0848">
        <w:rPr>
          <w:lang w:val="en-GB"/>
        </w:rPr>
      </w:r>
      <w:r w:rsidR="00DC0848">
        <w:rPr>
          <w:lang w:val="en-GB"/>
        </w:rPr>
        <w:fldChar w:fldCharType="separate"/>
      </w:r>
      <w:r w:rsidR="00913562">
        <w:t xml:space="preserve">Figure </w:t>
      </w:r>
      <w:r w:rsidR="00913562">
        <w:rPr>
          <w:noProof/>
        </w:rPr>
        <w:t>7</w:t>
      </w:r>
      <w:r w:rsidR="00DC0848">
        <w:rPr>
          <w:lang w:val="en-GB"/>
        </w:rPr>
        <w:fldChar w:fldCharType="end"/>
      </w:r>
      <w:r w:rsidR="00913562">
        <w:rPr>
          <w:lang w:val="en-GB"/>
        </w:rPr>
        <w:t xml:space="preserve"> and </w:t>
      </w:r>
      <w:r w:rsidR="00DC0848">
        <w:rPr>
          <w:lang w:val="en-GB"/>
        </w:rPr>
        <w:fldChar w:fldCharType="begin"/>
      </w:r>
      <w:r w:rsidR="00913562">
        <w:rPr>
          <w:lang w:val="en-GB"/>
        </w:rPr>
        <w:instrText xml:space="preserve"> REF _Ref471150906 \h </w:instrText>
      </w:r>
      <w:r w:rsidR="00DC0848">
        <w:rPr>
          <w:lang w:val="en-GB"/>
        </w:rPr>
      </w:r>
      <w:r w:rsidR="00DC0848">
        <w:rPr>
          <w:lang w:val="en-GB"/>
        </w:rPr>
        <w:fldChar w:fldCharType="separate"/>
      </w:r>
      <w:r w:rsidR="00913562">
        <w:t xml:space="preserve">Figure </w:t>
      </w:r>
      <w:r w:rsidR="00913562">
        <w:rPr>
          <w:noProof/>
        </w:rPr>
        <w:t>8</w:t>
      </w:r>
      <w:r w:rsidR="00DC0848">
        <w:rPr>
          <w:lang w:val="en-GB"/>
        </w:rPr>
        <w:fldChar w:fldCharType="end"/>
      </w:r>
      <w:r>
        <w:rPr>
          <w:lang w:val="en-GB"/>
        </w:rPr>
        <w:t>.</w:t>
      </w:r>
      <w:r w:rsidR="002A3ED4">
        <w:rPr>
          <w:lang w:val="en-GB"/>
        </w:rPr>
        <w:t xml:space="preserve"> </w:t>
      </w:r>
      <w:r w:rsidR="009D60C2">
        <w:rPr>
          <w:lang w:val="en-GB"/>
        </w:rPr>
        <w:t>In case 1, the two TRPs in the same cell detect the same MSG1 but do not have time to coordinate the MSG2, for instance due to non-ideal backhaul or high latency requirements. Instead, each TRP independently transmits a MSG2, responding to the same MSG1. Even though the TRPs don’t have time to coordinate and dynamically schedule a single MSG2 transmission, they may have been semi-statically pre-allocated resources to use for their own MSG2 transmissions.</w:t>
      </w:r>
    </w:p>
    <w:p w:rsidR="009D60C2" w:rsidRDefault="00FF3063" w:rsidP="009D60C2">
      <w:pPr>
        <w:jc w:val="center"/>
        <w:rPr>
          <w:lang w:val="en-GB"/>
        </w:rPr>
      </w:pPr>
      <w:r>
        <w:rPr>
          <w:noProof/>
          <w:lang w:eastAsia="en-US"/>
        </w:rPr>
        <w:lastRenderedPageBreak/>
        <w:drawing>
          <wp:inline distT="0" distB="0" distL="0" distR="0">
            <wp:extent cx="5731510" cy="2565957"/>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58449" cy="3429000"/>
                      <a:chOff x="0" y="168280"/>
                      <a:chExt cx="7658449" cy="3429000"/>
                    </a:xfrm>
                  </a:grpSpPr>
                  <a:grpSp>
                    <a:nvGrpSpPr>
                      <a:cNvPr id="40" name="Group 39"/>
                      <a:cNvGrpSpPr/>
                    </a:nvGrpSpPr>
                    <a:grpSpPr>
                      <a:xfrm>
                        <a:off x="3657600" y="549280"/>
                        <a:ext cx="457200" cy="762000"/>
                        <a:chOff x="3323655" y="3810000"/>
                        <a:chExt cx="457200" cy="762000"/>
                      </a:xfrm>
                    </a:grpSpPr>
                    <a:sp>
                      <a:nvSpPr>
                        <a:cNvPr id="27" name="Rounded Rectangle 26"/>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Group 33"/>
                      <a:cNvGrpSpPr/>
                    </a:nvGrpSpPr>
                    <a:grpSpPr>
                      <a:xfrm>
                        <a:off x="1600200" y="179948"/>
                        <a:ext cx="609600" cy="978932"/>
                        <a:chOff x="990600" y="240268"/>
                        <a:chExt cx="609600" cy="978932"/>
                      </a:xfrm>
                    </a:grpSpPr>
                    <a:sp>
                      <a:nvSpPr>
                        <a:cNvPr id="18" name="Rectangle 1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Connector 19"/>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grpSp>
                    <a:nvGrpSpPr>
                      <a:cNvPr id="35" name="Group 34"/>
                      <a:cNvGrpSpPr/>
                    </a:nvGrpSpPr>
                    <a:grpSpPr>
                      <a:xfrm>
                        <a:off x="6019800" y="168280"/>
                        <a:ext cx="609600" cy="978932"/>
                        <a:chOff x="990600" y="240268"/>
                        <a:chExt cx="609600" cy="978932"/>
                      </a:xfrm>
                    </a:grpSpPr>
                    <a:sp>
                      <a:nvSpPr>
                        <a:cNvPr id="36" name="Rectangle 35"/>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Straight Connector 36"/>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38" name="Straight Connector 37"/>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41" name="Straight Arrow Connector 40"/>
                      <a:cNvCxnSpPr/>
                    </a:nvCxnSpPr>
                    <a:spPr>
                      <a:xfrm flipV="1">
                        <a:off x="4191000" y="777880"/>
                        <a:ext cx="17526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flipH="1" flipV="1">
                        <a:off x="2286000" y="77788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49" name="TextBox 48"/>
                      <a:cNvSpPr txBox="1"/>
                    </a:nvSpPr>
                    <a:spPr>
                      <a:xfrm>
                        <a:off x="4648200" y="549280"/>
                        <a:ext cx="75052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MSG1</a:t>
                          </a:r>
                          <a:endParaRPr lang="en-US"/>
                        </a:p>
                      </a:txBody>
                      <a:useSpRect/>
                    </a:txSp>
                  </a:sp>
                  <a:sp>
                    <a:nvSpPr>
                      <a:cNvPr id="50" name="TextBox 49"/>
                      <a:cNvSpPr txBox="1"/>
                    </a:nvSpPr>
                    <a:spPr>
                      <a:xfrm>
                        <a:off x="2678474" y="473080"/>
                        <a:ext cx="75052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MSG1</a:t>
                          </a:r>
                          <a:endParaRPr lang="en-US"/>
                        </a:p>
                      </a:txBody>
                      <a:useSpRect/>
                    </a:txSp>
                  </a:sp>
                  <a:sp>
                    <a:nvSpPr>
                      <a:cNvPr id="51" name="TextBox 50"/>
                      <a:cNvSpPr txBox="1"/>
                    </a:nvSpPr>
                    <a:spPr>
                      <a:xfrm>
                        <a:off x="0" y="549280"/>
                        <a:ext cx="107593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Case 1:</a:t>
                          </a:r>
                          <a:endParaRPr lang="en-US" sz="2400"/>
                        </a:p>
                      </a:txBody>
                      <a:useSpRect/>
                    </a:txSp>
                  </a:sp>
                  <a:sp>
                    <a:nvSpPr>
                      <a:cNvPr id="55" name="Freeform 54"/>
                      <a:cNvSpPr/>
                    </a:nvSpPr>
                    <a:spPr>
                      <a:xfrm>
                        <a:off x="1879600" y="1167347"/>
                        <a:ext cx="4478867" cy="753533"/>
                      </a:xfrm>
                      <a:custGeom>
                        <a:avLst/>
                        <a:gdLst>
                          <a:gd name="connsiteX0" fmla="*/ 0 w 4478867"/>
                          <a:gd name="connsiteY0" fmla="*/ 0 h 753533"/>
                          <a:gd name="connsiteX1" fmla="*/ 1964267 w 4478867"/>
                          <a:gd name="connsiteY1" fmla="*/ 753533 h 753533"/>
                          <a:gd name="connsiteX2" fmla="*/ 4478867 w 4478867"/>
                          <a:gd name="connsiteY2" fmla="*/ 0 h 753533"/>
                        </a:gdLst>
                        <a:ahLst/>
                        <a:cxnLst>
                          <a:cxn ang="0">
                            <a:pos x="connsiteX0" y="connsiteY0"/>
                          </a:cxn>
                          <a:cxn ang="0">
                            <a:pos x="connsiteX1" y="connsiteY1"/>
                          </a:cxn>
                          <a:cxn ang="0">
                            <a:pos x="connsiteX2" y="connsiteY2"/>
                          </a:cxn>
                        </a:cxnLst>
                        <a:rect l="l" t="t" r="r" b="b"/>
                        <a:pathLst>
                          <a:path w="4478867" h="753533">
                            <a:moveTo>
                              <a:pt x="0" y="0"/>
                            </a:moveTo>
                            <a:cubicBezTo>
                              <a:pt x="608894" y="376766"/>
                              <a:pt x="1217789" y="753533"/>
                              <a:pt x="1964267" y="753533"/>
                            </a:cubicBezTo>
                            <a:cubicBezTo>
                              <a:pt x="2710745" y="753533"/>
                              <a:pt x="3594806" y="376766"/>
                              <a:pt x="4478867" y="0"/>
                            </a:cubicBezTo>
                          </a:path>
                        </a:pathLst>
                      </a:custGeom>
                      <a:ln>
                        <a:solidFill>
                          <a:srgbClr val="0070C0"/>
                        </a:solidFill>
                        <a:prstDash val="lgDash"/>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6" name="TextBox 55"/>
                      <a:cNvSpPr txBox="1"/>
                    </a:nvSpPr>
                    <a:spPr>
                      <a:xfrm rot="20360259">
                        <a:off x="4791834" y="1478344"/>
                        <a:ext cx="159370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solidFill>
                                <a:srgbClr val="0070C0"/>
                              </a:solidFill>
                            </a:rPr>
                            <a:t>Non-ideal backhaul</a:t>
                          </a:r>
                          <a:endParaRPr lang="en-US" sz="1400">
                            <a:solidFill>
                              <a:srgbClr val="0070C0"/>
                            </a:solidFill>
                          </a:endParaRPr>
                        </a:p>
                      </a:txBody>
                      <a:useSpRect/>
                    </a:txSp>
                  </a:sp>
                  <a:grpSp>
                    <a:nvGrpSpPr>
                      <a:cNvPr id="57" name="Group 56"/>
                      <a:cNvGrpSpPr/>
                    </a:nvGrpSpPr>
                    <a:grpSpPr>
                      <a:xfrm>
                        <a:off x="3657600" y="2225680"/>
                        <a:ext cx="457200" cy="762000"/>
                        <a:chOff x="3323655" y="3810000"/>
                        <a:chExt cx="457200" cy="762000"/>
                      </a:xfrm>
                    </a:grpSpPr>
                    <a:sp>
                      <a:nvSpPr>
                        <a:cNvPr id="58" name="Rounded Rectangle 57"/>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ounded Rectangle 58"/>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0" name="Group 59"/>
                      <a:cNvGrpSpPr/>
                    </a:nvGrpSpPr>
                    <a:grpSpPr>
                      <a:xfrm>
                        <a:off x="1600200" y="1856348"/>
                        <a:ext cx="609600" cy="978932"/>
                        <a:chOff x="990600" y="240268"/>
                        <a:chExt cx="609600" cy="978932"/>
                      </a:xfrm>
                    </a:grpSpPr>
                    <a:sp>
                      <a:nvSpPr>
                        <a:cNvPr id="61" name="Rectangle 60"/>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2" name="Straight Connector 61"/>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64" name="TextBox 63"/>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grpSp>
                    <a:nvGrpSpPr>
                      <a:cNvPr id="65" name="Group 64"/>
                      <a:cNvGrpSpPr/>
                    </a:nvGrpSpPr>
                    <a:grpSpPr>
                      <a:xfrm>
                        <a:off x="6019800" y="1844680"/>
                        <a:ext cx="609600" cy="978932"/>
                        <a:chOff x="990600" y="240268"/>
                        <a:chExt cx="609600" cy="978932"/>
                      </a:xfrm>
                    </a:grpSpPr>
                    <a:sp>
                      <a:nvSpPr>
                        <a:cNvPr id="66" name="Rectangle 65"/>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Straight Connector 66"/>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68" name="Straight Connector 67"/>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69" name="TextBox 68"/>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70" name="Straight Arrow Connector 69"/>
                      <a:cNvCxnSpPr/>
                    </a:nvCxnSpPr>
                    <a:spPr>
                      <a:xfrm flipV="1">
                        <a:off x="4191000" y="2454280"/>
                        <a:ext cx="17526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cxnSp>
                    <a:nvCxnSpPr>
                      <a:cNvPr id="71" name="Straight Arrow Connector 70"/>
                      <a:cNvCxnSpPr/>
                    </a:nvCxnSpPr>
                    <a:spPr>
                      <a:xfrm flipH="1" flipV="1">
                        <a:off x="2286000" y="245428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rot="21414601">
                        <a:off x="4648200" y="2218377"/>
                        <a:ext cx="11635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MSG2</a:t>
                          </a:r>
                        </a:p>
                        <a:p>
                          <a:r>
                            <a:rPr lang="sv-SE" smtClean="0"/>
                            <a:t>from TRP2</a:t>
                          </a:r>
                          <a:endParaRPr lang="en-US"/>
                        </a:p>
                      </a:txBody>
                      <a:useSpRect/>
                    </a:txSp>
                  </a:sp>
                  <a:sp>
                    <a:nvSpPr>
                      <a:cNvPr id="73" name="TextBox 72"/>
                      <a:cNvSpPr txBox="1"/>
                    </a:nvSpPr>
                    <a:spPr>
                      <a:xfrm rot="472865">
                        <a:off x="2341612" y="2209800"/>
                        <a:ext cx="11635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MSG2</a:t>
                          </a:r>
                        </a:p>
                        <a:p>
                          <a:r>
                            <a:rPr lang="sv-SE" smtClean="0"/>
                            <a:t>from TRP1</a:t>
                          </a:r>
                          <a:endParaRPr lang="en-US"/>
                        </a:p>
                      </a:txBody>
                      <a:useSpRect/>
                    </a:txSp>
                  </a:sp>
                  <a:sp>
                    <a:nvSpPr>
                      <a:cNvPr id="74" name="Freeform 73"/>
                      <a:cNvSpPr/>
                    </a:nvSpPr>
                    <a:spPr>
                      <a:xfrm>
                        <a:off x="1879600" y="2843747"/>
                        <a:ext cx="4478867" cy="753533"/>
                      </a:xfrm>
                      <a:custGeom>
                        <a:avLst/>
                        <a:gdLst>
                          <a:gd name="connsiteX0" fmla="*/ 0 w 4478867"/>
                          <a:gd name="connsiteY0" fmla="*/ 0 h 753533"/>
                          <a:gd name="connsiteX1" fmla="*/ 1964267 w 4478867"/>
                          <a:gd name="connsiteY1" fmla="*/ 753533 h 753533"/>
                          <a:gd name="connsiteX2" fmla="*/ 4478867 w 4478867"/>
                          <a:gd name="connsiteY2" fmla="*/ 0 h 753533"/>
                        </a:gdLst>
                        <a:ahLst/>
                        <a:cxnLst>
                          <a:cxn ang="0">
                            <a:pos x="connsiteX0" y="connsiteY0"/>
                          </a:cxn>
                          <a:cxn ang="0">
                            <a:pos x="connsiteX1" y="connsiteY1"/>
                          </a:cxn>
                          <a:cxn ang="0">
                            <a:pos x="connsiteX2" y="connsiteY2"/>
                          </a:cxn>
                        </a:cxnLst>
                        <a:rect l="l" t="t" r="r" b="b"/>
                        <a:pathLst>
                          <a:path w="4478867" h="753533">
                            <a:moveTo>
                              <a:pt x="0" y="0"/>
                            </a:moveTo>
                            <a:cubicBezTo>
                              <a:pt x="608894" y="376766"/>
                              <a:pt x="1217789" y="753533"/>
                              <a:pt x="1964267" y="753533"/>
                            </a:cubicBezTo>
                            <a:cubicBezTo>
                              <a:pt x="2710745" y="753533"/>
                              <a:pt x="3594806" y="376766"/>
                              <a:pt x="4478867" y="0"/>
                            </a:cubicBezTo>
                          </a:path>
                        </a:pathLst>
                      </a:custGeom>
                      <a:ln>
                        <a:solidFill>
                          <a:srgbClr val="0070C0"/>
                        </a:solidFill>
                        <a:prstDash val="lgDash"/>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rot="20360259">
                        <a:off x="4791834" y="3154744"/>
                        <a:ext cx="159370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solidFill>
                                <a:srgbClr val="0070C0"/>
                              </a:solidFill>
                            </a:rPr>
                            <a:t>Non-ideal backhaul</a:t>
                          </a:r>
                          <a:endParaRPr lang="en-US" sz="1400">
                            <a:solidFill>
                              <a:srgbClr val="0070C0"/>
                            </a:solidFill>
                          </a:endParaRPr>
                        </a:p>
                      </a:txBody>
                      <a:useSpRect/>
                    </a:txSp>
                  </a:sp>
                  <a:cxnSp>
                    <a:nvCxnSpPr>
                      <a:cNvPr id="42" name="Straight Arrow Connector 41"/>
                      <a:cNvCxnSpPr/>
                    </a:nvCxnSpPr>
                    <a:spPr>
                      <a:xfrm>
                        <a:off x="7086600" y="1109990"/>
                        <a:ext cx="0" cy="79501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7162800" y="167640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lc:lockedCanvas>
              </a:graphicData>
            </a:graphic>
          </wp:inline>
        </w:drawing>
      </w:r>
    </w:p>
    <w:p w:rsidR="009D60C2" w:rsidRDefault="009D60C2" w:rsidP="009D60C2">
      <w:pPr>
        <w:pStyle w:val="Caption"/>
      </w:pPr>
      <w:bookmarkStart w:id="11" w:name="_Ref471150900"/>
      <w:r>
        <w:t xml:space="preserve">Figure </w:t>
      </w:r>
      <w:r w:rsidR="00DC0848">
        <w:fldChar w:fldCharType="begin"/>
      </w:r>
      <w:r w:rsidR="002270E7">
        <w:instrText xml:space="preserve"> SEQ Figure \* ARABIC </w:instrText>
      </w:r>
      <w:r w:rsidR="00DC0848">
        <w:fldChar w:fldCharType="separate"/>
      </w:r>
      <w:r>
        <w:rPr>
          <w:noProof/>
        </w:rPr>
        <w:t>7</w:t>
      </w:r>
      <w:r w:rsidR="00DC0848">
        <w:fldChar w:fldCharType="end"/>
      </w:r>
      <w:bookmarkEnd w:id="11"/>
      <w:r>
        <w:t>: Both TRP1 and TRP2 receive the same MSG1, but there is not enough time to coordinate the response. Therefore, both TRPs transmit a response each.</w:t>
      </w:r>
    </w:p>
    <w:p w:rsidR="004017F4" w:rsidRDefault="00666619" w:rsidP="007E0F31">
      <w:pPr>
        <w:rPr>
          <w:lang w:val="en-GB"/>
        </w:rPr>
      </w:pPr>
      <w:r>
        <w:rPr>
          <w:lang w:val="en-GB"/>
        </w:rPr>
        <w:t>Case 2 follows</w:t>
      </w:r>
      <w:r w:rsidR="004017F4">
        <w:rPr>
          <w:lang w:val="en-GB"/>
        </w:rPr>
        <w:t xml:space="preserve"> the discussion in section </w:t>
      </w:r>
      <w:r w:rsidR="00DC0848">
        <w:rPr>
          <w:lang w:val="en-GB"/>
        </w:rPr>
        <w:fldChar w:fldCharType="begin"/>
      </w:r>
      <w:r w:rsidR="004017F4">
        <w:rPr>
          <w:lang w:val="en-GB"/>
        </w:rPr>
        <w:instrText xml:space="preserve"> REF _Ref470328244 \r \h </w:instrText>
      </w:r>
      <w:r w:rsidR="00DC0848">
        <w:rPr>
          <w:lang w:val="en-GB"/>
        </w:rPr>
      </w:r>
      <w:r w:rsidR="00DC0848">
        <w:rPr>
          <w:lang w:val="en-GB"/>
        </w:rPr>
        <w:fldChar w:fldCharType="separate"/>
      </w:r>
      <w:r w:rsidR="001A0A0F">
        <w:rPr>
          <w:lang w:val="en-GB"/>
        </w:rPr>
        <w:t>3</w:t>
      </w:r>
      <w:r w:rsidR="00DC0848">
        <w:rPr>
          <w:lang w:val="en-GB"/>
        </w:rPr>
        <w:fldChar w:fldCharType="end"/>
      </w:r>
      <w:r w:rsidR="004017F4">
        <w:rPr>
          <w:lang w:val="en-GB"/>
        </w:rPr>
        <w:t xml:space="preserve">, where we proposed to allow MSG1 retransmission before the reception of the MSG2 corresponding to the previous MSG1 transmission. This can be useful, for example for low latency high reliability random access </w:t>
      </w:r>
      <w:r w:rsidR="00A51D1A">
        <w:rPr>
          <w:lang w:val="en-GB"/>
        </w:rPr>
        <w:t>or</w:t>
      </w:r>
      <w:r w:rsidR="004017F4">
        <w:rPr>
          <w:lang w:val="en-GB"/>
        </w:rPr>
        <w:t xml:space="preserve"> for cases with UE Tx beam sweeping of MSG1.</w:t>
      </w:r>
    </w:p>
    <w:p w:rsidR="009D60C2" w:rsidRDefault="00FF3063" w:rsidP="009D60C2">
      <w:pPr>
        <w:jc w:val="center"/>
        <w:rPr>
          <w:lang w:val="en-GB"/>
        </w:rPr>
      </w:pPr>
      <w:r>
        <w:rPr>
          <w:noProof/>
          <w:lang w:eastAsia="en-US"/>
        </w:rPr>
        <w:drawing>
          <wp:inline distT="0" distB="0" distL="0" distR="0">
            <wp:extent cx="4003963" cy="3581400"/>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372449" cy="4620652"/>
                      <a:chOff x="0" y="179948"/>
                      <a:chExt cx="5372449" cy="4620652"/>
                    </a:xfrm>
                  </a:grpSpPr>
                  <a:grpSp>
                    <a:nvGrpSpPr>
                      <a:cNvPr id="2" name="Group 39"/>
                      <a:cNvGrpSpPr/>
                    </a:nvGrpSpPr>
                    <a:grpSpPr>
                      <a:xfrm>
                        <a:off x="3657600" y="549280"/>
                        <a:ext cx="457200" cy="762000"/>
                        <a:chOff x="3323655" y="3810000"/>
                        <a:chExt cx="457200" cy="762000"/>
                      </a:xfrm>
                    </a:grpSpPr>
                    <a:sp>
                      <a:nvSpPr>
                        <a:cNvPr id="27" name="Rounded Rectangle 26"/>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 name="Group 33"/>
                      <a:cNvGrpSpPr/>
                    </a:nvGrpSpPr>
                    <a:grpSpPr>
                      <a:xfrm>
                        <a:off x="1600200" y="179948"/>
                        <a:ext cx="609600" cy="978932"/>
                        <a:chOff x="990600" y="240268"/>
                        <a:chExt cx="609600" cy="978932"/>
                      </a:xfrm>
                    </a:grpSpPr>
                    <a:sp>
                      <a:nvSpPr>
                        <a:cNvPr id="18" name="Rectangle 1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Connector 19"/>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43" name="Straight Arrow Connector 42"/>
                      <a:cNvCxnSpPr/>
                    </a:nvCxnSpPr>
                    <a:spPr>
                      <a:xfrm flipH="1" flipV="1">
                        <a:off x="2286000" y="77788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rot="368051">
                        <a:off x="2678474" y="545330"/>
                        <a:ext cx="75052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First</a:t>
                          </a:r>
                        </a:p>
                        <a:p>
                          <a:r>
                            <a:rPr lang="sv-SE" smtClean="0"/>
                            <a:t>MSG1</a:t>
                          </a:r>
                          <a:endParaRPr lang="en-US"/>
                        </a:p>
                      </a:txBody>
                      <a:useSpRect/>
                    </a:txSp>
                  </a:sp>
                  <a:sp>
                    <a:nvSpPr>
                      <a:cNvPr id="51" name="TextBox 50"/>
                      <a:cNvSpPr txBox="1"/>
                    </a:nvSpPr>
                    <a:spPr>
                      <a:xfrm>
                        <a:off x="0" y="549280"/>
                        <a:ext cx="107593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Case 2:</a:t>
                          </a:r>
                          <a:endParaRPr lang="en-US" sz="2400"/>
                        </a:p>
                      </a:txBody>
                      <a:useSpRect/>
                    </a:txSp>
                  </a:sp>
                  <a:grpSp>
                    <a:nvGrpSpPr>
                      <a:cNvPr id="42" name="Group 39"/>
                      <a:cNvGrpSpPr/>
                    </a:nvGrpSpPr>
                    <a:grpSpPr>
                      <a:xfrm>
                        <a:off x="3657600" y="1752600"/>
                        <a:ext cx="457200" cy="762000"/>
                        <a:chOff x="3323655" y="3810000"/>
                        <a:chExt cx="457200" cy="762000"/>
                      </a:xfrm>
                    </a:grpSpPr>
                    <a:sp>
                      <a:nvSpPr>
                        <a:cNvPr id="44" name="Rounded Rectangle 43"/>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6" name="Group 33"/>
                      <a:cNvGrpSpPr/>
                    </a:nvGrpSpPr>
                    <a:grpSpPr>
                      <a:xfrm>
                        <a:off x="1600200" y="1383268"/>
                        <a:ext cx="609600" cy="978932"/>
                        <a:chOff x="990600" y="240268"/>
                        <a:chExt cx="609600" cy="978932"/>
                      </a:xfrm>
                    </a:grpSpPr>
                    <a:sp>
                      <a:nvSpPr>
                        <a:cNvPr id="47" name="Rectangle 46"/>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Straight Connector 47"/>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52" name="Straight Connector 51"/>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54" name="Straight Arrow Connector 53"/>
                      <a:cNvCxnSpPr/>
                    </a:nvCxnSpPr>
                    <a:spPr>
                      <a:xfrm flipH="1" flipV="1">
                        <a:off x="2286000" y="198120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57" name="TextBox 56"/>
                      <a:cNvSpPr txBox="1"/>
                    </a:nvSpPr>
                    <a:spPr>
                      <a:xfrm rot="368051">
                        <a:off x="2620125" y="1748650"/>
                        <a:ext cx="867225"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Second</a:t>
                          </a:r>
                        </a:p>
                        <a:p>
                          <a:r>
                            <a:rPr lang="sv-SE" smtClean="0"/>
                            <a:t>MSG1</a:t>
                          </a:r>
                          <a:endParaRPr lang="en-US"/>
                        </a:p>
                      </a:txBody>
                      <a:useSpRect/>
                    </a:txSp>
                  </a:sp>
                  <a:grpSp>
                    <a:nvGrpSpPr>
                      <a:cNvPr id="60" name="Group 39"/>
                      <a:cNvGrpSpPr/>
                    </a:nvGrpSpPr>
                    <a:grpSpPr>
                      <a:xfrm>
                        <a:off x="3657600" y="2835280"/>
                        <a:ext cx="457200" cy="762000"/>
                        <a:chOff x="3323655" y="3810000"/>
                        <a:chExt cx="457200" cy="762000"/>
                      </a:xfrm>
                    </a:grpSpPr>
                    <a:sp>
                      <a:nvSpPr>
                        <a:cNvPr id="65" name="Rounded Rectangle 64"/>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ounded Rectangle 75"/>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7" name="Group 33"/>
                      <a:cNvGrpSpPr/>
                    </a:nvGrpSpPr>
                    <a:grpSpPr>
                      <a:xfrm>
                        <a:off x="1600200" y="2465948"/>
                        <a:ext cx="609600" cy="978932"/>
                        <a:chOff x="990600" y="240268"/>
                        <a:chExt cx="609600" cy="978932"/>
                      </a:xfrm>
                    </a:grpSpPr>
                    <a:sp>
                      <a:nvSpPr>
                        <a:cNvPr id="78" name="Rectangle 7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Connector 78"/>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82" name="Straight Arrow Connector 81"/>
                      <a:cNvCxnSpPr/>
                    </a:nvCxnSpPr>
                    <a:spPr>
                      <a:xfrm flipH="1" flipV="1">
                        <a:off x="2286000" y="306388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83" name="TextBox 82"/>
                      <a:cNvSpPr txBox="1"/>
                    </a:nvSpPr>
                    <a:spPr>
                      <a:xfrm rot="368051">
                        <a:off x="2316723" y="2831330"/>
                        <a:ext cx="1330942"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Response to</a:t>
                          </a:r>
                        </a:p>
                        <a:p>
                          <a:r>
                            <a:rPr lang="sv-SE" smtClean="0"/>
                            <a:t>first MSG1</a:t>
                          </a:r>
                          <a:endParaRPr lang="en-US"/>
                        </a:p>
                      </a:txBody>
                      <a:useSpRect/>
                    </a:txSp>
                  </a:sp>
                  <a:grpSp>
                    <a:nvGrpSpPr>
                      <a:cNvPr id="84" name="Group 39"/>
                      <a:cNvGrpSpPr/>
                    </a:nvGrpSpPr>
                    <a:grpSpPr>
                      <a:xfrm>
                        <a:off x="3657600" y="4038600"/>
                        <a:ext cx="457200" cy="762000"/>
                        <a:chOff x="3323655" y="3810000"/>
                        <a:chExt cx="457200" cy="762000"/>
                      </a:xfrm>
                    </a:grpSpPr>
                    <a:sp>
                      <a:nvSpPr>
                        <a:cNvPr id="85" name="Rounded Rectangle 84"/>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ounded Rectangle 85"/>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7" name="Group 33"/>
                      <a:cNvGrpSpPr/>
                    </a:nvGrpSpPr>
                    <a:grpSpPr>
                      <a:xfrm>
                        <a:off x="1600200" y="3669268"/>
                        <a:ext cx="609600" cy="978932"/>
                        <a:chOff x="990600" y="240268"/>
                        <a:chExt cx="609600" cy="978932"/>
                      </a:xfrm>
                    </a:grpSpPr>
                    <a:sp>
                      <a:nvSpPr>
                        <a:cNvPr id="88" name="Rectangle 8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Connector 88"/>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90" name="Straight Connector 89"/>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91" name="TextBox 90"/>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92" name="Straight Arrow Connector 91"/>
                      <a:cNvCxnSpPr/>
                    </a:nvCxnSpPr>
                    <a:spPr>
                      <a:xfrm flipH="1" flipV="1">
                        <a:off x="2286000" y="426720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rot="368051">
                        <a:off x="2240125" y="4034650"/>
                        <a:ext cx="14699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Response to </a:t>
                          </a:r>
                        </a:p>
                        <a:p>
                          <a:r>
                            <a:rPr lang="sv-SE" smtClean="0"/>
                            <a:t>second MSG1</a:t>
                          </a:r>
                          <a:endParaRPr lang="en-US"/>
                        </a:p>
                      </a:txBody>
                      <a:useSpRect/>
                    </a:txSp>
                  </a:sp>
                  <a:cxnSp>
                    <a:nvCxnSpPr>
                      <a:cNvPr id="49" name="Straight Arrow Connector 48"/>
                      <a:cNvCxnSpPr/>
                    </a:nvCxnSpPr>
                    <a:spPr>
                      <a:xfrm>
                        <a:off x="4800600" y="838200"/>
                        <a:ext cx="0" cy="79501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4876800" y="140461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lc:lockedCanvas>
              </a:graphicData>
            </a:graphic>
          </wp:inline>
        </w:drawing>
      </w:r>
    </w:p>
    <w:p w:rsidR="009D60C2" w:rsidRDefault="009D60C2" w:rsidP="009D60C2">
      <w:pPr>
        <w:pStyle w:val="Caption"/>
      </w:pPr>
      <w:bookmarkStart w:id="12" w:name="_Ref471150906"/>
      <w:r>
        <w:t xml:space="preserve">Figure </w:t>
      </w:r>
      <w:r w:rsidR="00DC0848">
        <w:fldChar w:fldCharType="begin"/>
      </w:r>
      <w:r w:rsidR="002270E7">
        <w:instrText xml:space="preserve"> SEQ Figure \* ARABIC </w:instrText>
      </w:r>
      <w:r w:rsidR="00DC0848">
        <w:fldChar w:fldCharType="separate"/>
      </w:r>
      <w:r>
        <w:rPr>
          <w:noProof/>
        </w:rPr>
        <w:t>8</w:t>
      </w:r>
      <w:r w:rsidR="00DC0848">
        <w:fldChar w:fldCharType="end"/>
      </w:r>
      <w:bookmarkEnd w:id="12"/>
      <w:r>
        <w:t>: The UE transmits a second MSG1 before the response to the first MSG1 is received.</w:t>
      </w:r>
    </w:p>
    <w:p w:rsidR="00467708" w:rsidRDefault="00467708" w:rsidP="007E0F31">
      <w:pPr>
        <w:rPr>
          <w:lang w:val="en-GB"/>
        </w:rPr>
      </w:pPr>
      <w:r>
        <w:rPr>
          <w:lang w:val="en-GB"/>
        </w:rPr>
        <w:t xml:space="preserve">Hence, NR should </w:t>
      </w:r>
      <w:r w:rsidR="00BE50FC">
        <w:rPr>
          <w:lang w:val="en-GB"/>
        </w:rPr>
        <w:t>support</w:t>
      </w:r>
      <w:r>
        <w:rPr>
          <w:lang w:val="en-GB"/>
        </w:rPr>
        <w:t xml:space="preserve"> mechanisms for reception of multiple MSG2 by the same UE.</w:t>
      </w:r>
    </w:p>
    <w:p w:rsidR="00467708" w:rsidRPr="00DE7178" w:rsidRDefault="00467708" w:rsidP="00467708">
      <w:pPr>
        <w:pStyle w:val="Caption"/>
        <w:jc w:val="both"/>
        <w:rPr>
          <w:i/>
        </w:rPr>
      </w:pPr>
      <w:r w:rsidRPr="00303F19">
        <w:rPr>
          <w:i/>
        </w:rPr>
        <w:t>Proposal</w:t>
      </w:r>
      <w:r w:rsidR="00B715AC">
        <w:rPr>
          <w:i/>
          <w:lang w:eastAsia="zh-CN"/>
        </w:rPr>
        <w:t xml:space="preserve"> 1</w:t>
      </w:r>
      <w:r w:rsidR="00E704F0">
        <w:rPr>
          <w:i/>
          <w:lang w:eastAsia="zh-CN"/>
        </w:rPr>
        <w:t>2</w:t>
      </w:r>
      <w:r>
        <w:rPr>
          <w:i/>
        </w:rPr>
        <w:t xml:space="preserve">: </w:t>
      </w:r>
      <w:r w:rsidR="00BE50FC">
        <w:rPr>
          <w:i/>
        </w:rPr>
        <w:t>The reception of multiple MSG2 is supported</w:t>
      </w:r>
      <w:r>
        <w:rPr>
          <w:i/>
        </w:rPr>
        <w:t>.</w:t>
      </w:r>
    </w:p>
    <w:p w:rsidR="00467708" w:rsidRDefault="00BE50FC" w:rsidP="007E0F31">
      <w:pPr>
        <w:rPr>
          <w:lang w:val="en-GB"/>
        </w:rPr>
      </w:pPr>
      <w:r>
        <w:rPr>
          <w:lang w:val="en-GB"/>
        </w:rPr>
        <w:lastRenderedPageBreak/>
        <w:t>The termination of MSG2 decoding after the first successful MSG2 reception has the benefit of lower UE power consumption. The reception of multiple MSG2 has the benefit of early UE selection of mode of communication, by the UE selection of which MSG2 to respond to.</w:t>
      </w:r>
      <w:r w:rsidR="00496EBE">
        <w:rPr>
          <w:lang w:val="en-GB"/>
        </w:rPr>
        <w:t xml:space="preserve"> </w:t>
      </w:r>
    </w:p>
    <w:p w:rsidR="00BE50FC" w:rsidRPr="00DE7178" w:rsidRDefault="00BE50FC" w:rsidP="00BE50FC">
      <w:pPr>
        <w:pStyle w:val="Caption"/>
        <w:jc w:val="both"/>
        <w:rPr>
          <w:i/>
        </w:rPr>
      </w:pPr>
      <w:r w:rsidRPr="00303F19">
        <w:rPr>
          <w:i/>
        </w:rPr>
        <w:t>Proposal</w:t>
      </w:r>
      <w:r w:rsidR="00B715AC">
        <w:rPr>
          <w:i/>
          <w:lang w:eastAsia="zh-CN"/>
        </w:rPr>
        <w:t xml:space="preserve"> 1</w:t>
      </w:r>
      <w:r w:rsidR="00E704F0">
        <w:rPr>
          <w:i/>
          <w:lang w:eastAsia="zh-CN"/>
        </w:rPr>
        <w:t>3</w:t>
      </w:r>
      <w:r>
        <w:rPr>
          <w:i/>
        </w:rPr>
        <w:t>: A UE that receives multiple MSG2 choo</w:t>
      </w:r>
      <w:r w:rsidR="00496EBE">
        <w:rPr>
          <w:i/>
        </w:rPr>
        <w:t>ses a single MSG2 to respond to (with MSG3)</w:t>
      </w:r>
    </w:p>
    <w:p w:rsidR="00BE50FC" w:rsidRDefault="00496EBE" w:rsidP="007E0F31">
      <w:pPr>
        <w:rPr>
          <w:lang w:val="en-GB"/>
        </w:rPr>
      </w:pPr>
      <w:r>
        <w:rPr>
          <w:lang w:val="en-GB"/>
        </w:rPr>
        <w:t>Example information in MSG2 that may be useful for the UE selection of which MSG2 to respond to may be:</w:t>
      </w:r>
    </w:p>
    <w:p w:rsidR="00496EBE" w:rsidRDefault="001E05CC" w:rsidP="001E05CC">
      <w:pPr>
        <w:pStyle w:val="ListParagraph"/>
        <w:numPr>
          <w:ilvl w:val="0"/>
          <w:numId w:val="34"/>
        </w:numPr>
        <w:ind w:firstLineChars="0"/>
        <w:rPr>
          <w:lang w:val="en-GB"/>
        </w:rPr>
      </w:pPr>
      <w:r>
        <w:rPr>
          <w:lang w:val="en-GB"/>
        </w:rPr>
        <w:t>Information on the supported service levels by the TRP, e.g. available backhaul capacity, latency capability etc. This can be used by the UE to quickly set up a link with a TRP that has sufficient capabilities etc.</w:t>
      </w:r>
    </w:p>
    <w:p w:rsidR="00136FB4" w:rsidRDefault="00136FB4" w:rsidP="001E05CC">
      <w:pPr>
        <w:pStyle w:val="ListParagraph"/>
        <w:numPr>
          <w:ilvl w:val="0"/>
          <w:numId w:val="34"/>
        </w:numPr>
        <w:ind w:firstLineChars="0"/>
        <w:rPr>
          <w:lang w:val="en-GB"/>
        </w:rPr>
      </w:pPr>
      <w:r>
        <w:rPr>
          <w:lang w:val="en-GB"/>
        </w:rPr>
        <w:t>Unique indication of which MSG1 that the MSG2 responds to</w:t>
      </w:r>
      <w:r w:rsidR="009B3F45">
        <w:rPr>
          <w:lang w:val="en-GB"/>
        </w:rPr>
        <w:t>, as in LTE</w:t>
      </w:r>
      <w:r>
        <w:rPr>
          <w:lang w:val="en-GB"/>
        </w:rPr>
        <w:t>.</w:t>
      </w:r>
    </w:p>
    <w:p w:rsidR="001E05CC" w:rsidRPr="001E05CC" w:rsidRDefault="00136FB4" w:rsidP="001E05CC">
      <w:pPr>
        <w:pStyle w:val="ListParagraph"/>
        <w:numPr>
          <w:ilvl w:val="0"/>
          <w:numId w:val="34"/>
        </w:numPr>
        <w:ind w:firstLineChars="0"/>
        <w:rPr>
          <w:lang w:val="en-GB"/>
        </w:rPr>
      </w:pPr>
      <w:r>
        <w:rPr>
          <w:lang w:val="en-GB"/>
        </w:rPr>
        <w:t xml:space="preserve">Received MSG1 power level. This can for example be used when the multiple MSG2 is due to multiple MSG1 transmission due to UE Tx beam sweeping (Case 2 above). This can </w:t>
      </w:r>
      <w:r w:rsidR="00F50940">
        <w:rPr>
          <w:lang w:val="en-GB"/>
        </w:rPr>
        <w:t>be used by the UE to respond to the MSG2 which corresponds to the MSG1 with best UE Tx beam, as well as use the best UE Tx beam for the MSG3 transmission.</w:t>
      </w:r>
    </w:p>
    <w:p w:rsidR="00BE50FC" w:rsidRDefault="00F50940" w:rsidP="007E0F31">
      <w:pPr>
        <w:rPr>
          <w:lang w:val="en-GB"/>
        </w:rPr>
      </w:pPr>
      <w:r>
        <w:rPr>
          <w:lang w:val="en-GB"/>
        </w:rPr>
        <w:t xml:space="preserve">However, there are </w:t>
      </w:r>
      <w:r w:rsidR="00A51D1A">
        <w:rPr>
          <w:lang w:val="en-GB"/>
        </w:rPr>
        <w:t>also</w:t>
      </w:r>
      <w:r>
        <w:rPr>
          <w:lang w:val="en-GB"/>
        </w:rPr>
        <w:t xml:space="preserve"> scenarios where the reception of multiple MSG2 is not necessary. Hence, it would be beneficial to allow the network to configure the reception of a single MSG2 (as in LTE) or multiple MSG2</w:t>
      </w:r>
      <w:r w:rsidR="00A51D1A">
        <w:rPr>
          <w:lang w:val="en-GB"/>
        </w:rPr>
        <w:t xml:space="preserve"> (as discussed above)</w:t>
      </w:r>
      <w:r>
        <w:rPr>
          <w:lang w:val="en-GB"/>
        </w:rPr>
        <w:t>. This could be configured either in the random access configuration or in the MSG2, i.e. the MSG2 indicates that the UE can terminate the MSG2 reception.</w:t>
      </w:r>
    </w:p>
    <w:p w:rsidR="004A0280" w:rsidRPr="009D60C2" w:rsidRDefault="00F50940" w:rsidP="009D60C2">
      <w:pPr>
        <w:pStyle w:val="Caption"/>
        <w:spacing w:after="0"/>
        <w:jc w:val="both"/>
        <w:rPr>
          <w:i/>
        </w:rPr>
      </w:pPr>
      <w:r w:rsidRPr="00303F19">
        <w:rPr>
          <w:i/>
        </w:rPr>
        <w:t>Proposal</w:t>
      </w:r>
      <w:r>
        <w:rPr>
          <w:i/>
          <w:lang w:eastAsia="zh-CN"/>
        </w:rPr>
        <w:t xml:space="preserve"> </w:t>
      </w:r>
      <w:r w:rsidR="00D00ACE">
        <w:rPr>
          <w:i/>
          <w:lang w:eastAsia="zh-CN"/>
        </w:rPr>
        <w:t>1</w:t>
      </w:r>
      <w:r w:rsidR="00E704F0">
        <w:rPr>
          <w:i/>
          <w:lang w:eastAsia="zh-CN"/>
        </w:rPr>
        <w:t>4</w:t>
      </w:r>
      <w:r>
        <w:rPr>
          <w:i/>
        </w:rPr>
        <w:t xml:space="preserve">: It is configurable whether the UE terminates the MSG2 reception and decoding after </w:t>
      </w:r>
      <w:r w:rsidR="00A51D1A">
        <w:rPr>
          <w:i/>
        </w:rPr>
        <w:t>a</w:t>
      </w:r>
      <w:r>
        <w:rPr>
          <w:i/>
        </w:rPr>
        <w:t xml:space="preserve"> successfully received MSG2, either in the random access configuration or in the MSG2.</w:t>
      </w:r>
    </w:p>
    <w:p w:rsidR="00EC6902" w:rsidRDefault="00EC6902" w:rsidP="00163996">
      <w:pPr>
        <w:pStyle w:val="Heading1"/>
      </w:pPr>
      <w:r>
        <w:t>MSG3</w:t>
      </w:r>
      <w:r w:rsidR="0042689C">
        <w:t xml:space="preserve"> and MSG4</w:t>
      </w:r>
    </w:p>
    <w:p w:rsidR="00D5418F" w:rsidRDefault="00D5418F" w:rsidP="00EC6902">
      <w:pPr>
        <w:rPr>
          <w:lang w:val="en-GB" w:eastAsia="en-US"/>
        </w:rPr>
      </w:pPr>
      <w:r>
        <w:rPr>
          <w:lang w:val="en-GB" w:eastAsia="en-US"/>
        </w:rPr>
        <w:t xml:space="preserve">The LTE MSG3 </w:t>
      </w:r>
      <w:r w:rsidR="0042689C">
        <w:rPr>
          <w:lang w:val="en-GB" w:eastAsia="en-US"/>
        </w:rPr>
        <w:t xml:space="preserve">and MSG4 </w:t>
      </w:r>
      <w:r>
        <w:rPr>
          <w:lang w:val="en-GB" w:eastAsia="en-US"/>
        </w:rPr>
        <w:t>can be taken as the baseline for the MSG3</w:t>
      </w:r>
      <w:r w:rsidR="0042689C">
        <w:rPr>
          <w:lang w:val="en-GB" w:eastAsia="en-US"/>
        </w:rPr>
        <w:t xml:space="preserve"> and MSG4</w:t>
      </w:r>
      <w:r>
        <w:rPr>
          <w:lang w:val="en-GB" w:eastAsia="en-US"/>
        </w:rPr>
        <w:t xml:space="preserve"> in NR.</w:t>
      </w:r>
    </w:p>
    <w:p w:rsidR="00D00ACE" w:rsidRPr="00DE7178" w:rsidRDefault="00D00ACE" w:rsidP="00D00ACE">
      <w:pPr>
        <w:pStyle w:val="Caption"/>
        <w:jc w:val="both"/>
        <w:rPr>
          <w:i/>
        </w:rPr>
      </w:pPr>
      <w:r w:rsidRPr="00303F19">
        <w:rPr>
          <w:i/>
        </w:rPr>
        <w:t>Proposal</w:t>
      </w:r>
      <w:r>
        <w:rPr>
          <w:i/>
          <w:lang w:eastAsia="zh-CN"/>
        </w:rPr>
        <w:t xml:space="preserve"> 1</w:t>
      </w:r>
      <w:r w:rsidR="00E704F0">
        <w:rPr>
          <w:i/>
          <w:lang w:eastAsia="zh-CN"/>
        </w:rPr>
        <w:t>5</w:t>
      </w:r>
      <w:r>
        <w:rPr>
          <w:i/>
        </w:rPr>
        <w:t xml:space="preserve">:MSG3 </w:t>
      </w:r>
      <w:r w:rsidR="0042689C">
        <w:rPr>
          <w:i/>
        </w:rPr>
        <w:t xml:space="preserve">and MSG4 </w:t>
      </w:r>
      <w:r w:rsidR="00B715AC">
        <w:rPr>
          <w:i/>
        </w:rPr>
        <w:t>in LTE is</w:t>
      </w:r>
      <w:r>
        <w:rPr>
          <w:i/>
        </w:rPr>
        <w:t xml:space="preserve"> the baseline for MSG3 </w:t>
      </w:r>
      <w:r w:rsidR="0042689C">
        <w:rPr>
          <w:i/>
        </w:rPr>
        <w:t xml:space="preserve">and MSG4 </w:t>
      </w:r>
      <w:r>
        <w:rPr>
          <w:i/>
        </w:rPr>
        <w:t>in NR</w:t>
      </w:r>
      <w:r w:rsidR="006317F5">
        <w:rPr>
          <w:i/>
        </w:rPr>
        <w:t>.</w:t>
      </w:r>
    </w:p>
    <w:p w:rsidR="00BE50FC" w:rsidRDefault="00335DFB" w:rsidP="00EC6902">
      <w:pPr>
        <w:rPr>
          <w:lang w:val="en-GB" w:eastAsia="en-US"/>
        </w:rPr>
      </w:pPr>
      <w:r>
        <w:rPr>
          <w:lang w:val="en-GB" w:eastAsia="en-US"/>
        </w:rPr>
        <w:t>As discussed in section</w:t>
      </w:r>
      <w:r w:rsidR="00913562">
        <w:rPr>
          <w:lang w:val="en-GB" w:eastAsia="en-US"/>
        </w:rPr>
        <w:t xml:space="preserve"> </w:t>
      </w:r>
      <w:r w:rsidR="00DC0848">
        <w:rPr>
          <w:lang w:val="en-GB" w:eastAsia="en-US"/>
        </w:rPr>
        <w:fldChar w:fldCharType="begin"/>
      </w:r>
      <w:r w:rsidR="00913562">
        <w:rPr>
          <w:lang w:val="en-GB" w:eastAsia="en-US"/>
        </w:rPr>
        <w:instrText xml:space="preserve"> REF _Ref471151007 \r \h </w:instrText>
      </w:r>
      <w:r w:rsidR="00DC0848">
        <w:rPr>
          <w:lang w:val="en-GB" w:eastAsia="en-US"/>
        </w:rPr>
      </w:r>
      <w:r w:rsidR="00DC0848">
        <w:rPr>
          <w:lang w:val="en-GB" w:eastAsia="en-US"/>
        </w:rPr>
        <w:fldChar w:fldCharType="separate"/>
      </w:r>
      <w:r w:rsidR="00913562">
        <w:rPr>
          <w:lang w:val="en-GB" w:eastAsia="en-US"/>
        </w:rPr>
        <w:t>2.2</w:t>
      </w:r>
      <w:r w:rsidR="00DC0848">
        <w:rPr>
          <w:lang w:val="en-GB" w:eastAsia="en-US"/>
        </w:rPr>
        <w:fldChar w:fldCharType="end"/>
      </w:r>
      <w:r w:rsidR="00913562">
        <w:rPr>
          <w:lang w:val="en-GB" w:eastAsia="en-US"/>
        </w:rPr>
        <w:t xml:space="preserve"> above, MSG1 may fully, partly or even not at all indicate which DL measurement result (e.g. DL beam or TRP) that is the best, through the UE’s selection of RACH group. This depends on the number of measurement results and the configuration of RACH resources and RACH groups, as discussed in section </w:t>
      </w:r>
      <w:r w:rsidR="00DC0848">
        <w:rPr>
          <w:lang w:val="en-GB" w:eastAsia="en-US"/>
        </w:rPr>
        <w:fldChar w:fldCharType="begin"/>
      </w:r>
      <w:r w:rsidR="00913562">
        <w:rPr>
          <w:lang w:val="en-GB" w:eastAsia="en-US"/>
        </w:rPr>
        <w:instrText xml:space="preserve"> REF _Ref471151007 \r \h </w:instrText>
      </w:r>
      <w:r w:rsidR="00DC0848">
        <w:rPr>
          <w:lang w:val="en-GB" w:eastAsia="en-US"/>
        </w:rPr>
      </w:r>
      <w:r w:rsidR="00DC0848">
        <w:rPr>
          <w:lang w:val="en-GB" w:eastAsia="en-US"/>
        </w:rPr>
        <w:fldChar w:fldCharType="separate"/>
      </w:r>
      <w:r w:rsidR="00913562">
        <w:rPr>
          <w:lang w:val="en-GB" w:eastAsia="en-US"/>
        </w:rPr>
        <w:t>2.2</w:t>
      </w:r>
      <w:r w:rsidR="00DC0848">
        <w:rPr>
          <w:lang w:val="en-GB" w:eastAsia="en-US"/>
        </w:rPr>
        <w:fldChar w:fldCharType="end"/>
      </w:r>
      <w:r w:rsidR="00913562">
        <w:rPr>
          <w:lang w:val="en-GB" w:eastAsia="en-US"/>
        </w:rPr>
        <w:t xml:space="preserve">. </w:t>
      </w:r>
      <w:r w:rsidR="00F55261">
        <w:rPr>
          <w:lang w:val="en-GB" w:eastAsia="en-US"/>
        </w:rPr>
        <w:t xml:space="preserve">Consequently </w:t>
      </w:r>
      <w:r w:rsidR="00913562">
        <w:rPr>
          <w:lang w:val="en-GB" w:eastAsia="en-US"/>
        </w:rPr>
        <w:t xml:space="preserve">there </w:t>
      </w:r>
      <w:r w:rsidR="00F55261">
        <w:rPr>
          <w:lang w:val="en-GB" w:eastAsia="en-US"/>
        </w:rPr>
        <w:t>may be</w:t>
      </w:r>
      <w:r w:rsidR="00913562">
        <w:rPr>
          <w:lang w:val="en-GB" w:eastAsia="en-US"/>
        </w:rPr>
        <w:t xml:space="preserve"> a need to complete the indication using MSG3. This means that MSG4 can be transmitted using the best DL Tx beam, even if MSG1 didn’</w:t>
      </w:r>
      <w:r w:rsidR="00F55261">
        <w:rPr>
          <w:lang w:val="en-GB" w:eastAsia="en-US"/>
        </w:rPr>
        <w:t>t indicate this at all (e.g. if only a single RACH group is configured).</w:t>
      </w:r>
    </w:p>
    <w:p w:rsidR="00913562" w:rsidRPr="00913562" w:rsidRDefault="00913562" w:rsidP="00913562">
      <w:pPr>
        <w:pStyle w:val="Caption"/>
        <w:jc w:val="both"/>
        <w:rPr>
          <w:i/>
        </w:rPr>
      </w:pPr>
      <w:r w:rsidRPr="00303F19">
        <w:rPr>
          <w:i/>
        </w:rPr>
        <w:t>Proposal</w:t>
      </w:r>
      <w:r>
        <w:rPr>
          <w:i/>
          <w:lang w:eastAsia="zh-CN"/>
        </w:rPr>
        <w:t xml:space="preserve"> 1</w:t>
      </w:r>
      <w:r w:rsidR="00E704F0">
        <w:rPr>
          <w:i/>
          <w:lang w:eastAsia="zh-CN"/>
        </w:rPr>
        <w:t>6</w:t>
      </w:r>
      <w:r>
        <w:rPr>
          <w:i/>
        </w:rPr>
        <w:t xml:space="preserve">: </w:t>
      </w:r>
      <w:r w:rsidR="00F55261">
        <w:rPr>
          <w:i/>
        </w:rPr>
        <w:t xml:space="preserve">For the cases where MSG1 doesn’t fully indicate the best DL measurement result, </w:t>
      </w:r>
      <w:r>
        <w:rPr>
          <w:i/>
        </w:rPr>
        <w:t xml:space="preserve">MSG3 </w:t>
      </w:r>
      <w:r w:rsidR="00F55261">
        <w:rPr>
          <w:i/>
        </w:rPr>
        <w:t>completes the indication.</w:t>
      </w:r>
    </w:p>
    <w:p w:rsidR="00F1510A" w:rsidRDefault="00F1510A" w:rsidP="00163996">
      <w:pPr>
        <w:pStyle w:val="Heading1"/>
      </w:pPr>
      <w:r>
        <w:lastRenderedPageBreak/>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3B6445" w:rsidRDefault="003B6445" w:rsidP="003B6445">
      <w:pPr>
        <w:pStyle w:val="Caption"/>
        <w:jc w:val="both"/>
        <w:rPr>
          <w:i/>
        </w:rPr>
      </w:pPr>
      <w:r w:rsidRPr="00303F19">
        <w:rPr>
          <w:i/>
        </w:rPr>
        <w:t>Proposal</w:t>
      </w:r>
      <w:r>
        <w:rPr>
          <w:i/>
          <w:lang w:eastAsia="zh-CN"/>
        </w:rPr>
        <w:t xml:space="preserve"> 1</w:t>
      </w:r>
      <w:r>
        <w:rPr>
          <w:i/>
        </w:rPr>
        <w:t>: The meaning of the MSG1 preamble format and resource configuration (e.g. a PRACH configuration index) in the random access configuration is frequency dependent.</w:t>
      </w:r>
    </w:p>
    <w:p w:rsidR="003B6445" w:rsidRPr="00D05B30" w:rsidRDefault="003B6445" w:rsidP="003B6445">
      <w:pPr>
        <w:pStyle w:val="Caption"/>
        <w:spacing w:before="0" w:after="0"/>
        <w:jc w:val="both"/>
        <w:rPr>
          <w:i/>
        </w:rPr>
      </w:pPr>
      <w:r w:rsidRPr="00303F19">
        <w:rPr>
          <w:i/>
        </w:rPr>
        <w:t>Proposal</w:t>
      </w:r>
      <w:r>
        <w:rPr>
          <w:i/>
          <w:lang w:eastAsia="zh-CN"/>
        </w:rPr>
        <w:t xml:space="preserve"> 2</w:t>
      </w:r>
      <w:r>
        <w:rPr>
          <w:i/>
        </w:rPr>
        <w:t>: An association rule between measurement results and RACH groups is defined, such that measurement results from the same time instance should be associated with RACH groups in the same MSG1 occasion, as far as possible.</w:t>
      </w:r>
    </w:p>
    <w:p w:rsidR="003B6445" w:rsidRDefault="003B6445" w:rsidP="003B6445">
      <w:pPr>
        <w:pStyle w:val="Caption"/>
        <w:jc w:val="both"/>
        <w:rPr>
          <w:i/>
        </w:rPr>
      </w:pPr>
      <w:r w:rsidRPr="00303F19">
        <w:rPr>
          <w:i/>
        </w:rPr>
        <w:t>Proposal</w:t>
      </w:r>
      <w:r>
        <w:rPr>
          <w:i/>
          <w:lang w:eastAsia="zh-CN"/>
        </w:rPr>
        <w:t xml:space="preserve"> 3</w:t>
      </w:r>
      <w:r>
        <w:rPr>
          <w:i/>
        </w:rPr>
        <w:t>: The common random access configuration for IDLE UEs is transmitted in the SI that is periodically broadcasted.</w:t>
      </w:r>
    </w:p>
    <w:p w:rsidR="003B6445" w:rsidRDefault="003B6445" w:rsidP="003B6445">
      <w:pPr>
        <w:pStyle w:val="Caption"/>
        <w:spacing w:before="0" w:after="0"/>
        <w:jc w:val="both"/>
        <w:rPr>
          <w:i/>
        </w:rPr>
      </w:pPr>
      <w:r w:rsidRPr="00303F19">
        <w:rPr>
          <w:i/>
        </w:rPr>
        <w:t>Proposal</w:t>
      </w:r>
      <w:r>
        <w:rPr>
          <w:i/>
          <w:lang w:eastAsia="zh-CN"/>
        </w:rPr>
        <w:t xml:space="preserve"> 4</w:t>
      </w:r>
      <w:r>
        <w:rPr>
          <w:i/>
        </w:rPr>
        <w:t>: In contention-free random access, the UE is configured with one (possibly different) preamble per RACH group.</w:t>
      </w:r>
    </w:p>
    <w:p w:rsidR="003B6445" w:rsidRDefault="003B6445" w:rsidP="003B6445">
      <w:pPr>
        <w:pStyle w:val="Caption"/>
        <w:jc w:val="both"/>
        <w:rPr>
          <w:i/>
        </w:rPr>
      </w:pPr>
      <w:r w:rsidRPr="00303F19">
        <w:rPr>
          <w:i/>
        </w:rPr>
        <w:t>Proposal</w:t>
      </w:r>
      <w:r>
        <w:rPr>
          <w:i/>
          <w:lang w:eastAsia="zh-CN"/>
        </w:rPr>
        <w:t xml:space="preserve"> 5</w:t>
      </w:r>
      <w:r>
        <w:rPr>
          <w:i/>
        </w:rPr>
        <w:t>: CONNECTED mode random access uses associations from DL measurements on the MRS (RS used for CONNECTED mode mobility).</w:t>
      </w:r>
    </w:p>
    <w:p w:rsidR="003B6445" w:rsidRDefault="003B6445" w:rsidP="003B6445">
      <w:pPr>
        <w:pStyle w:val="Caption"/>
        <w:spacing w:before="0" w:after="0"/>
        <w:jc w:val="both"/>
        <w:rPr>
          <w:i/>
        </w:rPr>
      </w:pPr>
      <w:r w:rsidRPr="00303F19">
        <w:rPr>
          <w:i/>
        </w:rPr>
        <w:t>Proposal</w:t>
      </w:r>
      <w:r>
        <w:rPr>
          <w:i/>
          <w:lang w:eastAsia="zh-CN"/>
        </w:rPr>
        <w:t xml:space="preserve"> 6</w:t>
      </w:r>
      <w:r>
        <w:rPr>
          <w:i/>
        </w:rPr>
        <w:t xml:space="preserve">: A UE selects a RACH group, i.e. a subset of RACH resources and a subset of preambles, based on the configured association for the RS with the best measurement result. </w:t>
      </w:r>
    </w:p>
    <w:p w:rsidR="003B6445" w:rsidRDefault="003B6445" w:rsidP="003B6445">
      <w:pPr>
        <w:pStyle w:val="Caption"/>
        <w:jc w:val="both"/>
        <w:rPr>
          <w:i/>
        </w:rPr>
      </w:pPr>
      <w:r w:rsidRPr="00303F19">
        <w:rPr>
          <w:i/>
        </w:rPr>
        <w:t>Proposal</w:t>
      </w:r>
      <w:r>
        <w:rPr>
          <w:i/>
          <w:lang w:eastAsia="zh-CN"/>
        </w:rPr>
        <w:t xml:space="preserve"> 7</w:t>
      </w:r>
      <w:r>
        <w:rPr>
          <w:i/>
        </w:rPr>
        <w:t xml:space="preserve">: MSG1 retransmission before the end of the MSG2 reception window of the previously transmitted MSG1 is supported. </w:t>
      </w:r>
    </w:p>
    <w:p w:rsidR="003B6445" w:rsidRPr="00DE7178" w:rsidRDefault="003B6445" w:rsidP="003B6445">
      <w:pPr>
        <w:pStyle w:val="Caption"/>
        <w:spacing w:before="0"/>
        <w:jc w:val="both"/>
        <w:rPr>
          <w:i/>
        </w:rPr>
      </w:pPr>
      <w:r w:rsidRPr="00303F19">
        <w:rPr>
          <w:i/>
        </w:rPr>
        <w:t>Proposal</w:t>
      </w:r>
      <w:r>
        <w:rPr>
          <w:i/>
          <w:lang w:eastAsia="zh-CN"/>
        </w:rPr>
        <w:t xml:space="preserve"> 8</w:t>
      </w:r>
      <w:r>
        <w:rPr>
          <w:i/>
        </w:rPr>
        <w:t>: The MSG1 transmit power control is based on the best measurement result (e.g. RSRP) that was used to select a RACH group.</w:t>
      </w:r>
    </w:p>
    <w:p w:rsidR="003B6445" w:rsidRPr="00DE7178" w:rsidRDefault="003B6445" w:rsidP="003B6445">
      <w:pPr>
        <w:pStyle w:val="Caption"/>
        <w:spacing w:before="0" w:after="0"/>
        <w:jc w:val="both"/>
        <w:rPr>
          <w:i/>
        </w:rPr>
      </w:pPr>
      <w:r w:rsidRPr="00303F19">
        <w:rPr>
          <w:i/>
        </w:rPr>
        <w:t>Proposal</w:t>
      </w:r>
      <w:r>
        <w:rPr>
          <w:i/>
          <w:lang w:eastAsia="zh-CN"/>
        </w:rPr>
        <w:t xml:space="preserve"> 9</w:t>
      </w:r>
      <w:r>
        <w:rPr>
          <w:i/>
        </w:rPr>
        <w:t>: UE Tx beam sweeping of MSG1, if used, should be performed before UE Tx power ramping.</w:t>
      </w:r>
    </w:p>
    <w:p w:rsidR="003B6445" w:rsidRPr="00D5418F" w:rsidRDefault="003B6445" w:rsidP="003B6445">
      <w:pPr>
        <w:pStyle w:val="Caption"/>
        <w:spacing w:after="0"/>
        <w:jc w:val="both"/>
        <w:rPr>
          <w:i/>
        </w:rPr>
      </w:pPr>
      <w:r w:rsidRPr="00303F19">
        <w:rPr>
          <w:i/>
        </w:rPr>
        <w:t>Proposal</w:t>
      </w:r>
      <w:r>
        <w:rPr>
          <w:i/>
          <w:lang w:eastAsia="zh-CN"/>
        </w:rPr>
        <w:t xml:space="preserve"> 10</w:t>
      </w:r>
      <w:r>
        <w:rPr>
          <w:i/>
        </w:rPr>
        <w:t>: The LTE MSG2 is the baseline for the MSG2 in NR.</w:t>
      </w:r>
    </w:p>
    <w:p w:rsidR="003B6445" w:rsidRPr="00DE7178" w:rsidRDefault="003B6445" w:rsidP="003B6445">
      <w:pPr>
        <w:pStyle w:val="Caption"/>
        <w:jc w:val="both"/>
        <w:rPr>
          <w:i/>
        </w:rPr>
      </w:pPr>
      <w:r w:rsidRPr="00303F19">
        <w:rPr>
          <w:i/>
        </w:rPr>
        <w:t>Proposal</w:t>
      </w:r>
      <w:r>
        <w:rPr>
          <w:i/>
          <w:lang w:eastAsia="zh-CN"/>
        </w:rPr>
        <w:t xml:space="preserve"> 11</w:t>
      </w:r>
      <w:r>
        <w:rPr>
          <w:i/>
        </w:rPr>
        <w:t>: The UE expects MSG2 within a MSG2 reception window with a configurable start time and duration.</w:t>
      </w:r>
    </w:p>
    <w:p w:rsidR="003B6445" w:rsidRPr="00DE7178" w:rsidRDefault="003B6445" w:rsidP="003B6445">
      <w:pPr>
        <w:pStyle w:val="Caption"/>
        <w:jc w:val="both"/>
        <w:rPr>
          <w:i/>
        </w:rPr>
      </w:pPr>
      <w:r w:rsidRPr="00303F19">
        <w:rPr>
          <w:i/>
        </w:rPr>
        <w:t>Proposal</w:t>
      </w:r>
      <w:r>
        <w:rPr>
          <w:i/>
          <w:lang w:eastAsia="zh-CN"/>
        </w:rPr>
        <w:t xml:space="preserve"> 12</w:t>
      </w:r>
      <w:r>
        <w:rPr>
          <w:i/>
        </w:rPr>
        <w:t>: The reception of multiple MSG2 is supported.</w:t>
      </w:r>
    </w:p>
    <w:p w:rsidR="003B6445" w:rsidRPr="00DE7178" w:rsidRDefault="003B6445" w:rsidP="003B6445">
      <w:pPr>
        <w:pStyle w:val="Caption"/>
        <w:jc w:val="both"/>
        <w:rPr>
          <w:i/>
        </w:rPr>
      </w:pPr>
      <w:r w:rsidRPr="00303F19">
        <w:rPr>
          <w:i/>
        </w:rPr>
        <w:t>Proposal</w:t>
      </w:r>
      <w:r>
        <w:rPr>
          <w:i/>
          <w:lang w:eastAsia="zh-CN"/>
        </w:rPr>
        <w:t xml:space="preserve"> 13</w:t>
      </w:r>
      <w:r>
        <w:rPr>
          <w:i/>
        </w:rPr>
        <w:t>: A UE that receives multiple MSG2 chooses a single MSG2 to respond to (with MSG3)</w:t>
      </w:r>
    </w:p>
    <w:p w:rsidR="003B6445" w:rsidRPr="009D60C2" w:rsidRDefault="003B6445" w:rsidP="003B6445">
      <w:pPr>
        <w:pStyle w:val="Caption"/>
        <w:spacing w:after="0"/>
        <w:jc w:val="both"/>
        <w:rPr>
          <w:i/>
        </w:rPr>
      </w:pPr>
      <w:r w:rsidRPr="00303F19">
        <w:rPr>
          <w:i/>
        </w:rPr>
        <w:t>Proposal</w:t>
      </w:r>
      <w:r>
        <w:rPr>
          <w:i/>
          <w:lang w:eastAsia="zh-CN"/>
        </w:rPr>
        <w:t xml:space="preserve"> 14</w:t>
      </w:r>
      <w:r>
        <w:rPr>
          <w:i/>
        </w:rPr>
        <w:t>: It is configurable whether the UE terminates the MSG2 reception and decoding after a successfully received MSG2, either in the random access configuration or in the MSG2.</w:t>
      </w:r>
    </w:p>
    <w:p w:rsidR="003B6445" w:rsidRPr="00DE7178" w:rsidRDefault="003B6445" w:rsidP="003B6445">
      <w:pPr>
        <w:pStyle w:val="Caption"/>
        <w:jc w:val="both"/>
        <w:rPr>
          <w:i/>
        </w:rPr>
      </w:pPr>
      <w:r w:rsidRPr="00303F19">
        <w:rPr>
          <w:i/>
        </w:rPr>
        <w:t>Proposal</w:t>
      </w:r>
      <w:r>
        <w:rPr>
          <w:i/>
          <w:lang w:eastAsia="zh-CN"/>
        </w:rPr>
        <w:t xml:space="preserve"> 15</w:t>
      </w:r>
      <w:r>
        <w:rPr>
          <w:i/>
        </w:rPr>
        <w:t>:MSG3 and MSG4 in LTE is the baseline for MSG3 and MSG4 in NR.</w:t>
      </w:r>
    </w:p>
    <w:p w:rsidR="00A6332E" w:rsidRPr="003B6445" w:rsidRDefault="003B6445" w:rsidP="003B6445">
      <w:pPr>
        <w:pStyle w:val="Caption"/>
        <w:jc w:val="both"/>
        <w:rPr>
          <w:i/>
        </w:rPr>
      </w:pPr>
      <w:r w:rsidRPr="00303F19">
        <w:rPr>
          <w:i/>
        </w:rPr>
        <w:t>Proposal</w:t>
      </w:r>
      <w:r>
        <w:rPr>
          <w:i/>
          <w:lang w:eastAsia="zh-CN"/>
        </w:rPr>
        <w:t xml:space="preserve"> 16</w:t>
      </w:r>
      <w:r>
        <w:rPr>
          <w:i/>
        </w:rPr>
        <w:t>: For the cases where MSG1 doesn’t fully indicate the best DL measurement result, MSG3 completes the indication.</w:t>
      </w:r>
    </w:p>
    <w:p w:rsidR="00B30F1A" w:rsidRDefault="00B30F1A" w:rsidP="00163996">
      <w:pPr>
        <w:spacing w:after="240"/>
        <w:rPr>
          <w:rFonts w:ascii="Arial" w:hAnsi="Arial" w:cs="Arial"/>
          <w:sz w:val="36"/>
          <w:szCs w:val="36"/>
          <w:lang w:val="en-GB" w:eastAsia="en-US"/>
        </w:rPr>
      </w:pPr>
    </w:p>
    <w:p w:rsidR="00B30F1A" w:rsidRDefault="00B30F1A" w:rsidP="00163996">
      <w:pPr>
        <w:spacing w:after="240"/>
        <w:rPr>
          <w:rFonts w:ascii="Arial" w:hAnsi="Arial" w:cs="Arial"/>
          <w:sz w:val="36"/>
          <w:szCs w:val="36"/>
          <w:lang w:val="en-GB" w:eastAsia="en-US"/>
        </w:rPr>
      </w:pP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lastRenderedPageBreak/>
        <w:t>References</w:t>
      </w:r>
    </w:p>
    <w:p w:rsidR="009E555F" w:rsidRDefault="009B5B9F" w:rsidP="003372CB">
      <w:pPr>
        <w:pStyle w:val="ListParagraph"/>
        <w:numPr>
          <w:ilvl w:val="0"/>
          <w:numId w:val="11"/>
        </w:numPr>
        <w:ind w:left="426" w:firstLineChars="0"/>
        <w:jc w:val="both"/>
        <w:rPr>
          <w:iCs/>
          <w:szCs w:val="20"/>
        </w:rPr>
      </w:pPr>
      <w:bookmarkStart w:id="13" w:name="_Ref457294930"/>
      <w:bookmarkStart w:id="14" w:name="_Ref465239534"/>
      <w:bookmarkStart w:id="15" w:name="OLE_LINK3"/>
      <w:bookmarkStart w:id="16" w:name="OLE_LINK4"/>
      <w:bookmarkStart w:id="17" w:name="_Ref449620942"/>
      <w:bookmarkStart w:id="18" w:name="_Ref470322357"/>
      <w:r w:rsidRPr="00FD6B97">
        <w:rPr>
          <w:iCs/>
          <w:szCs w:val="20"/>
        </w:rPr>
        <w:t>Chairman’s notes RAN1#8</w:t>
      </w:r>
      <w:bookmarkEnd w:id="13"/>
      <w:bookmarkEnd w:id="14"/>
      <w:bookmarkEnd w:id="15"/>
      <w:bookmarkEnd w:id="16"/>
      <w:bookmarkEnd w:id="17"/>
      <w:r w:rsidR="000D7DC9">
        <w:rPr>
          <w:iCs/>
          <w:szCs w:val="20"/>
        </w:rPr>
        <w:t>7, 2016-11</w:t>
      </w:r>
      <w:bookmarkEnd w:id="18"/>
    </w:p>
    <w:p w:rsidR="00AF65EF" w:rsidRDefault="00AF65EF" w:rsidP="003372CB">
      <w:pPr>
        <w:pStyle w:val="ListParagraph"/>
        <w:numPr>
          <w:ilvl w:val="0"/>
          <w:numId w:val="11"/>
        </w:numPr>
        <w:ind w:left="426" w:firstLineChars="0"/>
        <w:jc w:val="both"/>
        <w:rPr>
          <w:iCs/>
          <w:szCs w:val="20"/>
        </w:rPr>
      </w:pPr>
      <w:bookmarkStart w:id="19" w:name="_Ref470858292"/>
      <w:r>
        <w:rPr>
          <w:iCs/>
          <w:szCs w:val="20"/>
        </w:rPr>
        <w:t>R1-1700103, “PRACH Design Considerations”, ZTE, ZTE Microelectronics</w:t>
      </w:r>
      <w:bookmarkEnd w:id="19"/>
    </w:p>
    <w:p w:rsidR="00734D3E" w:rsidRDefault="00734D3E" w:rsidP="003372CB">
      <w:pPr>
        <w:pStyle w:val="ListParagraph"/>
        <w:numPr>
          <w:ilvl w:val="0"/>
          <w:numId w:val="11"/>
        </w:numPr>
        <w:ind w:left="426" w:firstLineChars="0"/>
        <w:jc w:val="both"/>
        <w:rPr>
          <w:iCs/>
          <w:szCs w:val="20"/>
        </w:rPr>
      </w:pPr>
      <w:bookmarkStart w:id="20" w:name="_Ref466057152"/>
      <w:r>
        <w:rPr>
          <w:iCs/>
          <w:szCs w:val="20"/>
        </w:rPr>
        <w:t>R1-161127</w:t>
      </w:r>
      <w:r w:rsidR="000D7DC9">
        <w:rPr>
          <w:iCs/>
          <w:szCs w:val="20"/>
        </w:rPr>
        <w:t>3</w:t>
      </w:r>
      <w:r>
        <w:rPr>
          <w:iCs/>
          <w:szCs w:val="20"/>
        </w:rPr>
        <w:t>, “</w:t>
      </w:r>
      <w:r w:rsidR="000D7DC9">
        <w:rPr>
          <w:iCs/>
          <w:szCs w:val="20"/>
        </w:rPr>
        <w:t>Unified RACH Procedure</w:t>
      </w:r>
      <w:r>
        <w:rPr>
          <w:iCs/>
          <w:szCs w:val="20"/>
        </w:rPr>
        <w:t>”, ZTE, ZTE Microelectronics</w:t>
      </w:r>
      <w:bookmarkEnd w:id="20"/>
    </w:p>
    <w:p w:rsidR="00811F48" w:rsidRDefault="00811F48" w:rsidP="003372CB">
      <w:pPr>
        <w:pStyle w:val="ListParagraph"/>
        <w:numPr>
          <w:ilvl w:val="0"/>
          <w:numId w:val="11"/>
        </w:numPr>
        <w:ind w:left="426" w:firstLineChars="0"/>
        <w:jc w:val="both"/>
        <w:rPr>
          <w:iCs/>
          <w:szCs w:val="20"/>
        </w:rPr>
      </w:pPr>
      <w:bookmarkStart w:id="21" w:name="_Ref470322128"/>
      <w:r>
        <w:rPr>
          <w:iCs/>
          <w:szCs w:val="20"/>
        </w:rPr>
        <w:t>R1-1700106, “Idle mode RRM measurements”, ZTE, ZTE Microelectronics</w:t>
      </w:r>
      <w:bookmarkEnd w:id="21"/>
    </w:p>
    <w:p w:rsidR="00811F48" w:rsidRDefault="00811F48" w:rsidP="0008364E">
      <w:pPr>
        <w:pStyle w:val="ListParagraph"/>
        <w:numPr>
          <w:ilvl w:val="0"/>
          <w:numId w:val="11"/>
        </w:numPr>
        <w:ind w:left="426" w:firstLineChars="0"/>
        <w:jc w:val="both"/>
        <w:rPr>
          <w:iCs/>
          <w:szCs w:val="20"/>
        </w:rPr>
      </w:pPr>
      <w:bookmarkStart w:id="22" w:name="_Ref470322368"/>
      <w:r>
        <w:rPr>
          <w:iCs/>
          <w:szCs w:val="20"/>
        </w:rPr>
        <w:t>R1-1700107, “Connected mode RRM measurements”, ZTE, ZTE Microelectronics</w:t>
      </w:r>
      <w:bookmarkEnd w:id="22"/>
    </w:p>
    <w:p w:rsidR="00225C3A" w:rsidRDefault="00225C3A" w:rsidP="0008364E">
      <w:pPr>
        <w:pStyle w:val="ListParagraph"/>
        <w:numPr>
          <w:ilvl w:val="0"/>
          <w:numId w:val="11"/>
        </w:numPr>
        <w:ind w:left="426" w:firstLineChars="0"/>
        <w:jc w:val="both"/>
        <w:rPr>
          <w:iCs/>
          <w:szCs w:val="20"/>
        </w:rPr>
      </w:pPr>
      <w:bookmarkStart w:id="23" w:name="_Ref471746583"/>
      <w:r>
        <w:rPr>
          <w:iCs/>
          <w:szCs w:val="20"/>
        </w:rPr>
        <w:t>R1-1700101, “NR-PBCH and Delivery of Minimum SI”, ZTE, ZTE Microelectronics</w:t>
      </w:r>
      <w:bookmarkEnd w:id="23"/>
    </w:p>
    <w:p w:rsidR="00225C3A" w:rsidRDefault="00225C3A" w:rsidP="0008364E">
      <w:pPr>
        <w:pStyle w:val="ListParagraph"/>
        <w:numPr>
          <w:ilvl w:val="0"/>
          <w:numId w:val="11"/>
        </w:numPr>
        <w:ind w:left="426" w:firstLineChars="0"/>
        <w:jc w:val="both"/>
        <w:rPr>
          <w:iCs/>
          <w:szCs w:val="20"/>
        </w:rPr>
      </w:pPr>
      <w:bookmarkStart w:id="24" w:name="_Ref471746584"/>
      <w:r>
        <w:rPr>
          <w:iCs/>
          <w:szCs w:val="20"/>
        </w:rPr>
        <w:t>R2-1700147, “Further discussion on minimum SI”, ZTE, ZTE Microelectronics</w:t>
      </w:r>
      <w:bookmarkEnd w:id="24"/>
    </w:p>
    <w:p w:rsidR="00225C3A" w:rsidRPr="0008364E" w:rsidRDefault="00225C3A" w:rsidP="0008364E">
      <w:pPr>
        <w:pStyle w:val="ListParagraph"/>
        <w:numPr>
          <w:ilvl w:val="0"/>
          <w:numId w:val="11"/>
        </w:numPr>
        <w:ind w:left="426" w:firstLineChars="0"/>
        <w:jc w:val="both"/>
        <w:rPr>
          <w:iCs/>
          <w:szCs w:val="20"/>
        </w:rPr>
      </w:pPr>
      <w:bookmarkStart w:id="25" w:name="_Ref471746586"/>
      <w:r>
        <w:rPr>
          <w:iCs/>
          <w:szCs w:val="20"/>
        </w:rPr>
        <w:t>R2-1700148, “Further discussion on Other SI”, ZTE, ZTE Microelectronics</w:t>
      </w:r>
      <w:bookmarkEnd w:id="25"/>
    </w:p>
    <w:sectPr w:rsidR="00225C3A" w:rsidRPr="0008364E"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5C2" w:rsidRDefault="007D25C2" w:rsidP="00FF0AAD">
      <w:r>
        <w:separator/>
      </w:r>
    </w:p>
  </w:endnote>
  <w:endnote w:type="continuationSeparator" w:id="0">
    <w:p w:rsidR="007D25C2" w:rsidRDefault="007D25C2"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DC0848">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5C2" w:rsidRDefault="007D25C2" w:rsidP="00FF0AAD">
      <w:r>
        <w:separator/>
      </w:r>
    </w:p>
  </w:footnote>
  <w:footnote w:type="continuationSeparator" w:id="0">
    <w:p w:rsidR="007D25C2" w:rsidRDefault="007D25C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5"/>
  </w:num>
  <w:num w:numId="3">
    <w:abstractNumId w:val="19"/>
  </w:num>
  <w:num w:numId="4">
    <w:abstractNumId w:val="16"/>
  </w:num>
  <w:num w:numId="5">
    <w:abstractNumId w:val="22"/>
  </w:num>
  <w:num w:numId="6">
    <w:abstractNumId w:val="36"/>
  </w:num>
  <w:num w:numId="7">
    <w:abstractNumId w:val="23"/>
  </w:num>
  <w:num w:numId="8">
    <w:abstractNumId w:val="20"/>
  </w:num>
  <w:num w:numId="9">
    <w:abstractNumId w:val="30"/>
  </w:num>
  <w:num w:numId="10">
    <w:abstractNumId w:val="18"/>
  </w:num>
  <w:num w:numId="11">
    <w:abstractNumId w:val="8"/>
  </w:num>
  <w:num w:numId="12">
    <w:abstractNumId w:val="4"/>
  </w:num>
  <w:num w:numId="13">
    <w:abstractNumId w:val="25"/>
  </w:num>
  <w:num w:numId="14">
    <w:abstractNumId w:val="11"/>
  </w:num>
  <w:num w:numId="15">
    <w:abstractNumId w:val="14"/>
  </w:num>
  <w:num w:numId="16">
    <w:abstractNumId w:val="32"/>
  </w:num>
  <w:num w:numId="17">
    <w:abstractNumId w:val="34"/>
  </w:num>
  <w:num w:numId="18">
    <w:abstractNumId w:val="3"/>
  </w:num>
  <w:num w:numId="19">
    <w:abstractNumId w:val="29"/>
  </w:num>
  <w:num w:numId="20">
    <w:abstractNumId w:val="13"/>
  </w:num>
  <w:num w:numId="21">
    <w:abstractNumId w:val="12"/>
  </w:num>
  <w:num w:numId="22">
    <w:abstractNumId w:val="26"/>
  </w:num>
  <w:num w:numId="23">
    <w:abstractNumId w:val="28"/>
  </w:num>
  <w:num w:numId="24">
    <w:abstractNumId w:val="35"/>
  </w:num>
  <w:num w:numId="25">
    <w:abstractNumId w:val="6"/>
  </w:num>
  <w:num w:numId="26">
    <w:abstractNumId w:val="27"/>
  </w:num>
  <w:num w:numId="27">
    <w:abstractNumId w:val="7"/>
  </w:num>
  <w:num w:numId="28">
    <w:abstractNumId w:val="2"/>
  </w:num>
  <w:num w:numId="29">
    <w:abstractNumId w:val="9"/>
  </w:num>
  <w:num w:numId="30">
    <w:abstractNumId w:val="10"/>
  </w:num>
  <w:num w:numId="31">
    <w:abstractNumId w:val="5"/>
  </w:num>
  <w:num w:numId="32">
    <w:abstractNumId w:val="24"/>
  </w:num>
  <w:num w:numId="33">
    <w:abstractNumId w:val="0"/>
  </w:num>
  <w:num w:numId="34">
    <w:abstractNumId w:val="17"/>
  </w:num>
  <w:num w:numId="35">
    <w:abstractNumId w:val="21"/>
  </w:num>
  <w:num w:numId="36">
    <w:abstractNumId w:val="31"/>
  </w:num>
  <w:num w:numId="37">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3757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C3"/>
    <w:rsid w:val="000058DB"/>
    <w:rsid w:val="00005A6E"/>
    <w:rsid w:val="00007324"/>
    <w:rsid w:val="00013524"/>
    <w:rsid w:val="0001696F"/>
    <w:rsid w:val="00024C1F"/>
    <w:rsid w:val="00027F39"/>
    <w:rsid w:val="000314BE"/>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50EB"/>
    <w:rsid w:val="00065E37"/>
    <w:rsid w:val="0006799E"/>
    <w:rsid w:val="00070277"/>
    <w:rsid w:val="0007080B"/>
    <w:rsid w:val="00070EBD"/>
    <w:rsid w:val="0007169D"/>
    <w:rsid w:val="00072A71"/>
    <w:rsid w:val="0007415F"/>
    <w:rsid w:val="00075E59"/>
    <w:rsid w:val="00082965"/>
    <w:rsid w:val="0008364E"/>
    <w:rsid w:val="00083F98"/>
    <w:rsid w:val="000864FD"/>
    <w:rsid w:val="00086A29"/>
    <w:rsid w:val="00091B52"/>
    <w:rsid w:val="00092939"/>
    <w:rsid w:val="00093802"/>
    <w:rsid w:val="00095947"/>
    <w:rsid w:val="000A01F5"/>
    <w:rsid w:val="000A13F7"/>
    <w:rsid w:val="000A27B9"/>
    <w:rsid w:val="000A2EBC"/>
    <w:rsid w:val="000A32E0"/>
    <w:rsid w:val="000A7F08"/>
    <w:rsid w:val="000B15C9"/>
    <w:rsid w:val="000B22BC"/>
    <w:rsid w:val="000B2582"/>
    <w:rsid w:val="000B7610"/>
    <w:rsid w:val="000B7B7D"/>
    <w:rsid w:val="000C1E08"/>
    <w:rsid w:val="000D2BA6"/>
    <w:rsid w:val="000D3411"/>
    <w:rsid w:val="000D3D08"/>
    <w:rsid w:val="000D5FF3"/>
    <w:rsid w:val="000D65D7"/>
    <w:rsid w:val="000D793E"/>
    <w:rsid w:val="000D7DC9"/>
    <w:rsid w:val="000E2B65"/>
    <w:rsid w:val="000E2FAB"/>
    <w:rsid w:val="000E3FBD"/>
    <w:rsid w:val="000E635B"/>
    <w:rsid w:val="0010212F"/>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3E06"/>
    <w:rsid w:val="001442F6"/>
    <w:rsid w:val="00145121"/>
    <w:rsid w:val="00145323"/>
    <w:rsid w:val="0014740A"/>
    <w:rsid w:val="001475A2"/>
    <w:rsid w:val="001477A7"/>
    <w:rsid w:val="00151481"/>
    <w:rsid w:val="00152F4A"/>
    <w:rsid w:val="0016007C"/>
    <w:rsid w:val="00161014"/>
    <w:rsid w:val="00163996"/>
    <w:rsid w:val="00164066"/>
    <w:rsid w:val="0016721B"/>
    <w:rsid w:val="00167B22"/>
    <w:rsid w:val="00171139"/>
    <w:rsid w:val="001721E6"/>
    <w:rsid w:val="001742D5"/>
    <w:rsid w:val="00174436"/>
    <w:rsid w:val="001767E6"/>
    <w:rsid w:val="001777C8"/>
    <w:rsid w:val="0018036E"/>
    <w:rsid w:val="00180466"/>
    <w:rsid w:val="001825DA"/>
    <w:rsid w:val="001841A8"/>
    <w:rsid w:val="00184AF5"/>
    <w:rsid w:val="00185733"/>
    <w:rsid w:val="00190A8D"/>
    <w:rsid w:val="00190C54"/>
    <w:rsid w:val="00194485"/>
    <w:rsid w:val="00194BDB"/>
    <w:rsid w:val="00196645"/>
    <w:rsid w:val="001966DE"/>
    <w:rsid w:val="001A0A0F"/>
    <w:rsid w:val="001A29FE"/>
    <w:rsid w:val="001A5421"/>
    <w:rsid w:val="001A5E4D"/>
    <w:rsid w:val="001B21A1"/>
    <w:rsid w:val="001B2CDE"/>
    <w:rsid w:val="001B48B3"/>
    <w:rsid w:val="001B7CE7"/>
    <w:rsid w:val="001C05BA"/>
    <w:rsid w:val="001C06FA"/>
    <w:rsid w:val="001C116A"/>
    <w:rsid w:val="001C3DF5"/>
    <w:rsid w:val="001C6E71"/>
    <w:rsid w:val="001D1BAF"/>
    <w:rsid w:val="001D4244"/>
    <w:rsid w:val="001D5F96"/>
    <w:rsid w:val="001D6048"/>
    <w:rsid w:val="001D69AA"/>
    <w:rsid w:val="001E05CC"/>
    <w:rsid w:val="001E0A05"/>
    <w:rsid w:val="001E6124"/>
    <w:rsid w:val="001E6819"/>
    <w:rsid w:val="001F0617"/>
    <w:rsid w:val="001F576E"/>
    <w:rsid w:val="001F5B0C"/>
    <w:rsid w:val="001F5C97"/>
    <w:rsid w:val="001F7DB5"/>
    <w:rsid w:val="0020198C"/>
    <w:rsid w:val="00201E37"/>
    <w:rsid w:val="0020218A"/>
    <w:rsid w:val="0020686F"/>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7558"/>
    <w:rsid w:val="0026790F"/>
    <w:rsid w:val="00271CA5"/>
    <w:rsid w:val="00272467"/>
    <w:rsid w:val="002724C1"/>
    <w:rsid w:val="0027255D"/>
    <w:rsid w:val="00273A29"/>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7B26"/>
    <w:rsid w:val="002D02D4"/>
    <w:rsid w:val="002D10A8"/>
    <w:rsid w:val="002D35FA"/>
    <w:rsid w:val="002D48EB"/>
    <w:rsid w:val="002D5D10"/>
    <w:rsid w:val="002D6B6C"/>
    <w:rsid w:val="002E441D"/>
    <w:rsid w:val="002E4C97"/>
    <w:rsid w:val="002E794D"/>
    <w:rsid w:val="002F0126"/>
    <w:rsid w:val="002F16E1"/>
    <w:rsid w:val="002F2FF2"/>
    <w:rsid w:val="002F3759"/>
    <w:rsid w:val="002F508D"/>
    <w:rsid w:val="002F5517"/>
    <w:rsid w:val="002F7C7C"/>
    <w:rsid w:val="00303F19"/>
    <w:rsid w:val="00305F25"/>
    <w:rsid w:val="00310A97"/>
    <w:rsid w:val="003128D3"/>
    <w:rsid w:val="00312C1A"/>
    <w:rsid w:val="00312DD1"/>
    <w:rsid w:val="00313E5D"/>
    <w:rsid w:val="0031570F"/>
    <w:rsid w:val="003162A2"/>
    <w:rsid w:val="00320818"/>
    <w:rsid w:val="00330C28"/>
    <w:rsid w:val="0033176D"/>
    <w:rsid w:val="00335DFB"/>
    <w:rsid w:val="00337150"/>
    <w:rsid w:val="003372CB"/>
    <w:rsid w:val="00341B32"/>
    <w:rsid w:val="00346CE0"/>
    <w:rsid w:val="003504B5"/>
    <w:rsid w:val="003507CC"/>
    <w:rsid w:val="00351228"/>
    <w:rsid w:val="003526EC"/>
    <w:rsid w:val="003533A7"/>
    <w:rsid w:val="00356ED0"/>
    <w:rsid w:val="00360683"/>
    <w:rsid w:val="00362374"/>
    <w:rsid w:val="003631E5"/>
    <w:rsid w:val="00364331"/>
    <w:rsid w:val="003664A9"/>
    <w:rsid w:val="00373017"/>
    <w:rsid w:val="003769E1"/>
    <w:rsid w:val="00376FD5"/>
    <w:rsid w:val="00377306"/>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2D35"/>
    <w:rsid w:val="003D3730"/>
    <w:rsid w:val="003D3EC9"/>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5AD0"/>
    <w:rsid w:val="00437D51"/>
    <w:rsid w:val="00441AA1"/>
    <w:rsid w:val="00445C39"/>
    <w:rsid w:val="00446005"/>
    <w:rsid w:val="00446AE1"/>
    <w:rsid w:val="0044782C"/>
    <w:rsid w:val="0046088D"/>
    <w:rsid w:val="00461C5A"/>
    <w:rsid w:val="0046454E"/>
    <w:rsid w:val="004656EE"/>
    <w:rsid w:val="00466205"/>
    <w:rsid w:val="00466A01"/>
    <w:rsid w:val="00467708"/>
    <w:rsid w:val="00470AAF"/>
    <w:rsid w:val="00475B05"/>
    <w:rsid w:val="00477C38"/>
    <w:rsid w:val="0048006F"/>
    <w:rsid w:val="0048204D"/>
    <w:rsid w:val="00487007"/>
    <w:rsid w:val="00487887"/>
    <w:rsid w:val="0049178D"/>
    <w:rsid w:val="0049275B"/>
    <w:rsid w:val="00493C58"/>
    <w:rsid w:val="004947D1"/>
    <w:rsid w:val="00496761"/>
    <w:rsid w:val="00496C3B"/>
    <w:rsid w:val="00496CF4"/>
    <w:rsid w:val="00496EBE"/>
    <w:rsid w:val="004976F3"/>
    <w:rsid w:val="004A0280"/>
    <w:rsid w:val="004A0A1F"/>
    <w:rsid w:val="004B0201"/>
    <w:rsid w:val="004B1C2D"/>
    <w:rsid w:val="004B321C"/>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3289"/>
    <w:rsid w:val="005032C9"/>
    <w:rsid w:val="00504BCA"/>
    <w:rsid w:val="00506A83"/>
    <w:rsid w:val="00506DC9"/>
    <w:rsid w:val="0051029C"/>
    <w:rsid w:val="00513F6E"/>
    <w:rsid w:val="00515626"/>
    <w:rsid w:val="0051747C"/>
    <w:rsid w:val="00521828"/>
    <w:rsid w:val="00522A65"/>
    <w:rsid w:val="00522BE2"/>
    <w:rsid w:val="005253C8"/>
    <w:rsid w:val="005274F3"/>
    <w:rsid w:val="00530886"/>
    <w:rsid w:val="005327ED"/>
    <w:rsid w:val="00532C95"/>
    <w:rsid w:val="00532D9C"/>
    <w:rsid w:val="005363C8"/>
    <w:rsid w:val="00536611"/>
    <w:rsid w:val="00536B5C"/>
    <w:rsid w:val="005404F4"/>
    <w:rsid w:val="005464D2"/>
    <w:rsid w:val="00546F7A"/>
    <w:rsid w:val="00555AFA"/>
    <w:rsid w:val="005573A0"/>
    <w:rsid w:val="00557A2B"/>
    <w:rsid w:val="00565697"/>
    <w:rsid w:val="00566C02"/>
    <w:rsid w:val="0057083E"/>
    <w:rsid w:val="00570FDA"/>
    <w:rsid w:val="00573BEB"/>
    <w:rsid w:val="0057681B"/>
    <w:rsid w:val="00577FB6"/>
    <w:rsid w:val="00580ED6"/>
    <w:rsid w:val="00581F88"/>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6743"/>
    <w:rsid w:val="005D680C"/>
    <w:rsid w:val="005E2AE9"/>
    <w:rsid w:val="005E4DEB"/>
    <w:rsid w:val="005E5D4A"/>
    <w:rsid w:val="005F0BCE"/>
    <w:rsid w:val="005F10F7"/>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BB7"/>
    <w:rsid w:val="00625409"/>
    <w:rsid w:val="0062638D"/>
    <w:rsid w:val="00627531"/>
    <w:rsid w:val="00630E30"/>
    <w:rsid w:val="006317F5"/>
    <w:rsid w:val="0063642D"/>
    <w:rsid w:val="0063684A"/>
    <w:rsid w:val="0064134B"/>
    <w:rsid w:val="006506EE"/>
    <w:rsid w:val="00650B77"/>
    <w:rsid w:val="006522D4"/>
    <w:rsid w:val="00656384"/>
    <w:rsid w:val="00657662"/>
    <w:rsid w:val="00664235"/>
    <w:rsid w:val="00664508"/>
    <w:rsid w:val="006653D4"/>
    <w:rsid w:val="00665F97"/>
    <w:rsid w:val="00666619"/>
    <w:rsid w:val="00666E6D"/>
    <w:rsid w:val="00667F6E"/>
    <w:rsid w:val="00671904"/>
    <w:rsid w:val="006722CE"/>
    <w:rsid w:val="0067320C"/>
    <w:rsid w:val="00676281"/>
    <w:rsid w:val="00676BE4"/>
    <w:rsid w:val="00677F16"/>
    <w:rsid w:val="00677F9F"/>
    <w:rsid w:val="006875F8"/>
    <w:rsid w:val="00690BB8"/>
    <w:rsid w:val="0069278C"/>
    <w:rsid w:val="00693A87"/>
    <w:rsid w:val="00696B73"/>
    <w:rsid w:val="006A185C"/>
    <w:rsid w:val="006A4230"/>
    <w:rsid w:val="006A42F6"/>
    <w:rsid w:val="006A6E0F"/>
    <w:rsid w:val="006B18DB"/>
    <w:rsid w:val="006B48F1"/>
    <w:rsid w:val="006B5352"/>
    <w:rsid w:val="006B5E70"/>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5508"/>
    <w:rsid w:val="00701EF9"/>
    <w:rsid w:val="0070450A"/>
    <w:rsid w:val="007048C3"/>
    <w:rsid w:val="00705F7D"/>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C50"/>
    <w:rsid w:val="00760049"/>
    <w:rsid w:val="00760131"/>
    <w:rsid w:val="0076030D"/>
    <w:rsid w:val="00761F1C"/>
    <w:rsid w:val="0076369E"/>
    <w:rsid w:val="00765BB9"/>
    <w:rsid w:val="00766C46"/>
    <w:rsid w:val="00766FA3"/>
    <w:rsid w:val="00771468"/>
    <w:rsid w:val="00772D0C"/>
    <w:rsid w:val="00773E97"/>
    <w:rsid w:val="00781952"/>
    <w:rsid w:val="00784191"/>
    <w:rsid w:val="0078762A"/>
    <w:rsid w:val="007911DF"/>
    <w:rsid w:val="00791A5D"/>
    <w:rsid w:val="00791CF5"/>
    <w:rsid w:val="00791EC5"/>
    <w:rsid w:val="00792173"/>
    <w:rsid w:val="00793203"/>
    <w:rsid w:val="00793D35"/>
    <w:rsid w:val="007960C4"/>
    <w:rsid w:val="0079666E"/>
    <w:rsid w:val="0079669E"/>
    <w:rsid w:val="00796A2A"/>
    <w:rsid w:val="007A2A69"/>
    <w:rsid w:val="007A2D26"/>
    <w:rsid w:val="007A412D"/>
    <w:rsid w:val="007B059C"/>
    <w:rsid w:val="007B546D"/>
    <w:rsid w:val="007B7386"/>
    <w:rsid w:val="007C33E4"/>
    <w:rsid w:val="007D25C2"/>
    <w:rsid w:val="007D3894"/>
    <w:rsid w:val="007D45A2"/>
    <w:rsid w:val="007E04D4"/>
    <w:rsid w:val="007E0F31"/>
    <w:rsid w:val="007E267A"/>
    <w:rsid w:val="007E5CF8"/>
    <w:rsid w:val="007E771D"/>
    <w:rsid w:val="007F143F"/>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3E65"/>
    <w:rsid w:val="008244E5"/>
    <w:rsid w:val="00824762"/>
    <w:rsid w:val="00827764"/>
    <w:rsid w:val="008315BC"/>
    <w:rsid w:val="00832B90"/>
    <w:rsid w:val="008339F9"/>
    <w:rsid w:val="0083545E"/>
    <w:rsid w:val="00836840"/>
    <w:rsid w:val="00840AB6"/>
    <w:rsid w:val="00842222"/>
    <w:rsid w:val="00842932"/>
    <w:rsid w:val="00842C5A"/>
    <w:rsid w:val="008459AF"/>
    <w:rsid w:val="00846CBF"/>
    <w:rsid w:val="00846FAB"/>
    <w:rsid w:val="00847EDD"/>
    <w:rsid w:val="00852480"/>
    <w:rsid w:val="00853203"/>
    <w:rsid w:val="00853251"/>
    <w:rsid w:val="00856CC3"/>
    <w:rsid w:val="008626F2"/>
    <w:rsid w:val="00863068"/>
    <w:rsid w:val="00866158"/>
    <w:rsid w:val="00870BF0"/>
    <w:rsid w:val="00870FE7"/>
    <w:rsid w:val="008716FA"/>
    <w:rsid w:val="00871AE1"/>
    <w:rsid w:val="00871D7E"/>
    <w:rsid w:val="00872250"/>
    <w:rsid w:val="00872C28"/>
    <w:rsid w:val="00874050"/>
    <w:rsid w:val="00877563"/>
    <w:rsid w:val="00881A67"/>
    <w:rsid w:val="00882277"/>
    <w:rsid w:val="0088275F"/>
    <w:rsid w:val="00886503"/>
    <w:rsid w:val="00887795"/>
    <w:rsid w:val="00893B8E"/>
    <w:rsid w:val="00896395"/>
    <w:rsid w:val="00897F2F"/>
    <w:rsid w:val="008A0730"/>
    <w:rsid w:val="008A1ED0"/>
    <w:rsid w:val="008A2594"/>
    <w:rsid w:val="008A34A6"/>
    <w:rsid w:val="008A4707"/>
    <w:rsid w:val="008A5F17"/>
    <w:rsid w:val="008A7D3E"/>
    <w:rsid w:val="008C2ADD"/>
    <w:rsid w:val="008C4C00"/>
    <w:rsid w:val="008C4EB6"/>
    <w:rsid w:val="008D2554"/>
    <w:rsid w:val="008D347B"/>
    <w:rsid w:val="008D3EF6"/>
    <w:rsid w:val="008E27D5"/>
    <w:rsid w:val="008E426D"/>
    <w:rsid w:val="008E73F1"/>
    <w:rsid w:val="008F6BD9"/>
    <w:rsid w:val="009033C4"/>
    <w:rsid w:val="0090352C"/>
    <w:rsid w:val="0090427E"/>
    <w:rsid w:val="00904DE4"/>
    <w:rsid w:val="0090516B"/>
    <w:rsid w:val="00905828"/>
    <w:rsid w:val="00913562"/>
    <w:rsid w:val="009146DD"/>
    <w:rsid w:val="00915D34"/>
    <w:rsid w:val="00916155"/>
    <w:rsid w:val="00916A11"/>
    <w:rsid w:val="00921D45"/>
    <w:rsid w:val="00931C9D"/>
    <w:rsid w:val="00932248"/>
    <w:rsid w:val="00932BEF"/>
    <w:rsid w:val="00934221"/>
    <w:rsid w:val="009343B9"/>
    <w:rsid w:val="00935B7E"/>
    <w:rsid w:val="0093734D"/>
    <w:rsid w:val="009402E9"/>
    <w:rsid w:val="009433CB"/>
    <w:rsid w:val="0095082C"/>
    <w:rsid w:val="00955E3E"/>
    <w:rsid w:val="0096003B"/>
    <w:rsid w:val="00960331"/>
    <w:rsid w:val="00961DC7"/>
    <w:rsid w:val="009625EF"/>
    <w:rsid w:val="009628AF"/>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B147D"/>
    <w:rsid w:val="009B2AA7"/>
    <w:rsid w:val="009B3F45"/>
    <w:rsid w:val="009B5573"/>
    <w:rsid w:val="009B5B9F"/>
    <w:rsid w:val="009B7BEF"/>
    <w:rsid w:val="009C07B5"/>
    <w:rsid w:val="009C1507"/>
    <w:rsid w:val="009C5DBD"/>
    <w:rsid w:val="009D03F9"/>
    <w:rsid w:val="009D1A30"/>
    <w:rsid w:val="009D2D92"/>
    <w:rsid w:val="009D31B7"/>
    <w:rsid w:val="009D4E27"/>
    <w:rsid w:val="009D50FC"/>
    <w:rsid w:val="009D60C2"/>
    <w:rsid w:val="009D7EE2"/>
    <w:rsid w:val="009E0835"/>
    <w:rsid w:val="009E27A5"/>
    <w:rsid w:val="009E2BBA"/>
    <w:rsid w:val="009E555F"/>
    <w:rsid w:val="009E748B"/>
    <w:rsid w:val="009E7681"/>
    <w:rsid w:val="009E77BB"/>
    <w:rsid w:val="009F3333"/>
    <w:rsid w:val="009F35E1"/>
    <w:rsid w:val="009F5202"/>
    <w:rsid w:val="009F6F2F"/>
    <w:rsid w:val="009F798A"/>
    <w:rsid w:val="009F7F9D"/>
    <w:rsid w:val="00A0363B"/>
    <w:rsid w:val="00A044DF"/>
    <w:rsid w:val="00A07D64"/>
    <w:rsid w:val="00A1673F"/>
    <w:rsid w:val="00A16D4F"/>
    <w:rsid w:val="00A20E0B"/>
    <w:rsid w:val="00A22250"/>
    <w:rsid w:val="00A22F3F"/>
    <w:rsid w:val="00A237B2"/>
    <w:rsid w:val="00A24CCA"/>
    <w:rsid w:val="00A24F87"/>
    <w:rsid w:val="00A25CF2"/>
    <w:rsid w:val="00A279D4"/>
    <w:rsid w:val="00A27B2A"/>
    <w:rsid w:val="00A27E05"/>
    <w:rsid w:val="00A3163C"/>
    <w:rsid w:val="00A31718"/>
    <w:rsid w:val="00A34767"/>
    <w:rsid w:val="00A411EE"/>
    <w:rsid w:val="00A4219D"/>
    <w:rsid w:val="00A508F9"/>
    <w:rsid w:val="00A515D6"/>
    <w:rsid w:val="00A51D1A"/>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6243"/>
    <w:rsid w:val="00A762D5"/>
    <w:rsid w:val="00A773F5"/>
    <w:rsid w:val="00A805A8"/>
    <w:rsid w:val="00A80B01"/>
    <w:rsid w:val="00A86536"/>
    <w:rsid w:val="00A93646"/>
    <w:rsid w:val="00A945E2"/>
    <w:rsid w:val="00A95088"/>
    <w:rsid w:val="00A9530B"/>
    <w:rsid w:val="00A95E61"/>
    <w:rsid w:val="00A9638F"/>
    <w:rsid w:val="00AA2253"/>
    <w:rsid w:val="00AA2D50"/>
    <w:rsid w:val="00AA3CA4"/>
    <w:rsid w:val="00AA5FD1"/>
    <w:rsid w:val="00AA67D5"/>
    <w:rsid w:val="00AB1474"/>
    <w:rsid w:val="00AB4EFA"/>
    <w:rsid w:val="00AC169B"/>
    <w:rsid w:val="00AC2BD8"/>
    <w:rsid w:val="00AC4276"/>
    <w:rsid w:val="00AC4AAA"/>
    <w:rsid w:val="00AC5A41"/>
    <w:rsid w:val="00AC7216"/>
    <w:rsid w:val="00AD0C4F"/>
    <w:rsid w:val="00AD54E8"/>
    <w:rsid w:val="00AD5E2B"/>
    <w:rsid w:val="00AD5EB6"/>
    <w:rsid w:val="00AE052F"/>
    <w:rsid w:val="00AE07F1"/>
    <w:rsid w:val="00AE26C5"/>
    <w:rsid w:val="00AE3567"/>
    <w:rsid w:val="00AE4706"/>
    <w:rsid w:val="00AE5CEA"/>
    <w:rsid w:val="00AE6AE8"/>
    <w:rsid w:val="00AE775A"/>
    <w:rsid w:val="00AE7C57"/>
    <w:rsid w:val="00AF1A64"/>
    <w:rsid w:val="00AF3B2C"/>
    <w:rsid w:val="00AF65EF"/>
    <w:rsid w:val="00B03B2F"/>
    <w:rsid w:val="00B03BCC"/>
    <w:rsid w:val="00B05888"/>
    <w:rsid w:val="00B07901"/>
    <w:rsid w:val="00B1029B"/>
    <w:rsid w:val="00B107DB"/>
    <w:rsid w:val="00B12666"/>
    <w:rsid w:val="00B12F59"/>
    <w:rsid w:val="00B139DE"/>
    <w:rsid w:val="00B17572"/>
    <w:rsid w:val="00B22638"/>
    <w:rsid w:val="00B22798"/>
    <w:rsid w:val="00B243F4"/>
    <w:rsid w:val="00B24CFC"/>
    <w:rsid w:val="00B26DD1"/>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716D"/>
    <w:rsid w:val="00B6789A"/>
    <w:rsid w:val="00B700A8"/>
    <w:rsid w:val="00B705E1"/>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48BD"/>
    <w:rsid w:val="00BB056C"/>
    <w:rsid w:val="00BB6344"/>
    <w:rsid w:val="00BB63CD"/>
    <w:rsid w:val="00BC0245"/>
    <w:rsid w:val="00BC0F95"/>
    <w:rsid w:val="00BC1F67"/>
    <w:rsid w:val="00BC2EC5"/>
    <w:rsid w:val="00BC3A9D"/>
    <w:rsid w:val="00BC3F72"/>
    <w:rsid w:val="00BC723B"/>
    <w:rsid w:val="00BC7528"/>
    <w:rsid w:val="00BC7924"/>
    <w:rsid w:val="00BD1F36"/>
    <w:rsid w:val="00BD2499"/>
    <w:rsid w:val="00BD285A"/>
    <w:rsid w:val="00BD4AC8"/>
    <w:rsid w:val="00BD6D18"/>
    <w:rsid w:val="00BE0726"/>
    <w:rsid w:val="00BE10EA"/>
    <w:rsid w:val="00BE1E0A"/>
    <w:rsid w:val="00BE2E7D"/>
    <w:rsid w:val="00BE4D32"/>
    <w:rsid w:val="00BE50FC"/>
    <w:rsid w:val="00BF0060"/>
    <w:rsid w:val="00BF0A86"/>
    <w:rsid w:val="00BF2B67"/>
    <w:rsid w:val="00BF2C7E"/>
    <w:rsid w:val="00BF4E61"/>
    <w:rsid w:val="00C02F16"/>
    <w:rsid w:val="00C062F6"/>
    <w:rsid w:val="00C115D4"/>
    <w:rsid w:val="00C15566"/>
    <w:rsid w:val="00C16D62"/>
    <w:rsid w:val="00C23B31"/>
    <w:rsid w:val="00C24819"/>
    <w:rsid w:val="00C25C30"/>
    <w:rsid w:val="00C30640"/>
    <w:rsid w:val="00C3079E"/>
    <w:rsid w:val="00C32AB6"/>
    <w:rsid w:val="00C33CBA"/>
    <w:rsid w:val="00C4070C"/>
    <w:rsid w:val="00C42297"/>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B30"/>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D72"/>
    <w:rsid w:val="00D4452F"/>
    <w:rsid w:val="00D45706"/>
    <w:rsid w:val="00D462B9"/>
    <w:rsid w:val="00D46A65"/>
    <w:rsid w:val="00D51AB5"/>
    <w:rsid w:val="00D5308D"/>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D34F8"/>
    <w:rsid w:val="00DD646B"/>
    <w:rsid w:val="00DD71A4"/>
    <w:rsid w:val="00DD785D"/>
    <w:rsid w:val="00DE0E7D"/>
    <w:rsid w:val="00DE1EBF"/>
    <w:rsid w:val="00DE31A3"/>
    <w:rsid w:val="00DE54C5"/>
    <w:rsid w:val="00DE7178"/>
    <w:rsid w:val="00DF219B"/>
    <w:rsid w:val="00DF25FD"/>
    <w:rsid w:val="00DF3C06"/>
    <w:rsid w:val="00DF65B2"/>
    <w:rsid w:val="00E0055C"/>
    <w:rsid w:val="00E00801"/>
    <w:rsid w:val="00E0278A"/>
    <w:rsid w:val="00E03A4D"/>
    <w:rsid w:val="00E051E3"/>
    <w:rsid w:val="00E05567"/>
    <w:rsid w:val="00E07960"/>
    <w:rsid w:val="00E12F5E"/>
    <w:rsid w:val="00E1495E"/>
    <w:rsid w:val="00E14F87"/>
    <w:rsid w:val="00E153F6"/>
    <w:rsid w:val="00E20171"/>
    <w:rsid w:val="00E3293F"/>
    <w:rsid w:val="00E34CA4"/>
    <w:rsid w:val="00E35457"/>
    <w:rsid w:val="00E35B00"/>
    <w:rsid w:val="00E4164A"/>
    <w:rsid w:val="00E43702"/>
    <w:rsid w:val="00E43842"/>
    <w:rsid w:val="00E4509B"/>
    <w:rsid w:val="00E4633B"/>
    <w:rsid w:val="00E46717"/>
    <w:rsid w:val="00E47699"/>
    <w:rsid w:val="00E47AE4"/>
    <w:rsid w:val="00E52E3C"/>
    <w:rsid w:val="00E53CC2"/>
    <w:rsid w:val="00E540F5"/>
    <w:rsid w:val="00E5500B"/>
    <w:rsid w:val="00E569C1"/>
    <w:rsid w:val="00E57329"/>
    <w:rsid w:val="00E57DA8"/>
    <w:rsid w:val="00E62044"/>
    <w:rsid w:val="00E6253B"/>
    <w:rsid w:val="00E631F7"/>
    <w:rsid w:val="00E704F0"/>
    <w:rsid w:val="00E74B5F"/>
    <w:rsid w:val="00E75AF8"/>
    <w:rsid w:val="00E77CC4"/>
    <w:rsid w:val="00E80D8D"/>
    <w:rsid w:val="00E847D2"/>
    <w:rsid w:val="00E91BDE"/>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7742"/>
    <w:rsid w:val="00ED7C66"/>
    <w:rsid w:val="00EE01E9"/>
    <w:rsid w:val="00EE5769"/>
    <w:rsid w:val="00EE6CB7"/>
    <w:rsid w:val="00EF1DF6"/>
    <w:rsid w:val="00F001B4"/>
    <w:rsid w:val="00F00FAE"/>
    <w:rsid w:val="00F01A21"/>
    <w:rsid w:val="00F055EA"/>
    <w:rsid w:val="00F062A2"/>
    <w:rsid w:val="00F14DE5"/>
    <w:rsid w:val="00F1510A"/>
    <w:rsid w:val="00F15DDF"/>
    <w:rsid w:val="00F17791"/>
    <w:rsid w:val="00F17856"/>
    <w:rsid w:val="00F22144"/>
    <w:rsid w:val="00F27B5D"/>
    <w:rsid w:val="00F313F6"/>
    <w:rsid w:val="00F31E9F"/>
    <w:rsid w:val="00F40727"/>
    <w:rsid w:val="00F422C3"/>
    <w:rsid w:val="00F423D3"/>
    <w:rsid w:val="00F43013"/>
    <w:rsid w:val="00F50940"/>
    <w:rsid w:val="00F51193"/>
    <w:rsid w:val="00F55261"/>
    <w:rsid w:val="00F55EB7"/>
    <w:rsid w:val="00F57C13"/>
    <w:rsid w:val="00F610CA"/>
    <w:rsid w:val="00F630E5"/>
    <w:rsid w:val="00F642C2"/>
    <w:rsid w:val="00F65C85"/>
    <w:rsid w:val="00F7227E"/>
    <w:rsid w:val="00F8225E"/>
    <w:rsid w:val="00F924D8"/>
    <w:rsid w:val="00F95143"/>
    <w:rsid w:val="00F96864"/>
    <w:rsid w:val="00FA104F"/>
    <w:rsid w:val="00FA10BA"/>
    <w:rsid w:val="00FA39A9"/>
    <w:rsid w:val="00FA6853"/>
    <w:rsid w:val="00FB01B6"/>
    <w:rsid w:val="00FB1555"/>
    <w:rsid w:val="00FB412A"/>
    <w:rsid w:val="00FB74B1"/>
    <w:rsid w:val="00FB7DA0"/>
    <w:rsid w:val="00FC4E76"/>
    <w:rsid w:val="00FC74EF"/>
    <w:rsid w:val="00FC7B21"/>
    <w:rsid w:val="00FD6698"/>
    <w:rsid w:val="00FD6B97"/>
    <w:rsid w:val="00FD7BDE"/>
    <w:rsid w:val="00FE18B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75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B27DF-D919-4386-B710-F94155DD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12</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PS</cp:lastModifiedBy>
  <cp:revision>18</cp:revision>
  <cp:lastPrinted>2016-09-15T07:38:00Z</cp:lastPrinted>
  <dcterms:created xsi:type="dcterms:W3CDTF">2017-01-05T02:33:00Z</dcterms:created>
  <dcterms:modified xsi:type="dcterms:W3CDTF">2017-01-09T19:36:00Z</dcterms:modified>
</cp:coreProperties>
</file>