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14BEC" w14:textId="4166F7BF" w:rsidR="00555CD2" w:rsidRPr="00555CD2" w:rsidRDefault="00B36088" w:rsidP="00555CD2">
      <w:pPr>
        <w:pStyle w:val="Header"/>
        <w:widowControl w:val="0"/>
        <w:rPr>
          <w:rFonts w:ascii="Arial" w:hAnsi="Arial" w:cs="Arial"/>
          <w:b/>
          <w:bCs/>
          <w:lang w:val="en-GB"/>
        </w:rPr>
      </w:pPr>
      <w:bookmarkStart w:id="0" w:name="_GoBack"/>
      <w:bookmarkEnd w:id="0"/>
      <w:r>
        <w:rPr>
          <w:rFonts w:ascii="Arial" w:hAnsi="Arial" w:cs="Arial"/>
          <w:b/>
          <w:bCs/>
          <w:lang w:val="en-GB"/>
        </w:rPr>
        <w:t>3GPP TSG RAN WG1#9</w:t>
      </w:r>
      <w:r w:rsidR="00031407">
        <w:rPr>
          <w:rFonts w:ascii="Arial" w:hAnsi="Arial" w:cs="Arial"/>
          <w:b/>
          <w:bCs/>
          <w:lang w:val="en-GB"/>
        </w:rPr>
        <w:t>8</w:t>
      </w:r>
      <w:r w:rsidR="00555CD2" w:rsidRPr="00555CD2">
        <w:rPr>
          <w:rFonts w:ascii="Arial" w:hAnsi="Arial" w:cs="Arial"/>
          <w:b/>
          <w:bCs/>
          <w:lang w:val="en-GB"/>
        </w:rPr>
        <w:tab/>
      </w:r>
      <w:r w:rsidR="00555CD2" w:rsidRPr="00555CD2">
        <w:rPr>
          <w:rFonts w:ascii="Arial" w:hAnsi="Arial" w:cs="Arial"/>
          <w:b/>
          <w:bCs/>
          <w:lang w:val="en-GB"/>
        </w:rPr>
        <w:tab/>
        <w:t>R1-</w:t>
      </w:r>
      <w:r w:rsidR="001A55BB" w:rsidRPr="001A55BB">
        <w:rPr>
          <w:rFonts w:ascii="Arial" w:hAnsi="Arial" w:cs="Arial"/>
          <w:b/>
          <w:bCs/>
          <w:lang w:val="en-GB"/>
        </w:rPr>
        <w:t>19</w:t>
      </w:r>
      <w:r w:rsidR="00EF0DED">
        <w:rPr>
          <w:rFonts w:ascii="Arial" w:hAnsi="Arial" w:cs="Arial"/>
          <w:b/>
          <w:bCs/>
          <w:lang w:val="en-GB"/>
        </w:rPr>
        <w:t>09390</w:t>
      </w:r>
    </w:p>
    <w:p w14:paraId="07EA6D5C" w14:textId="77777777" w:rsidR="00555CD2" w:rsidRDefault="00031407" w:rsidP="00555CD2">
      <w:pPr>
        <w:pStyle w:val="Header"/>
        <w:widowControl w:val="0"/>
        <w:rPr>
          <w:rFonts w:ascii="Arial" w:hAnsi="Arial" w:cs="Arial"/>
          <w:b/>
          <w:bCs/>
          <w:lang w:val="en-GB"/>
        </w:rPr>
      </w:pPr>
      <w:r w:rsidRPr="00031407">
        <w:rPr>
          <w:rFonts w:ascii="Arial" w:hAnsi="Arial" w:cs="Arial"/>
          <w:b/>
          <w:bCs/>
          <w:lang w:val="en-GB"/>
        </w:rPr>
        <w:t>Prague, Czech Republic, 26th– 30th August 2019</w:t>
      </w:r>
    </w:p>
    <w:p w14:paraId="477226FB" w14:textId="77777777" w:rsidR="009C0564" w:rsidRPr="00072EA5" w:rsidRDefault="009C0564" w:rsidP="00071D7D">
      <w:pPr>
        <w:pBdr>
          <w:top w:val="single" w:sz="4" w:space="1" w:color="auto"/>
        </w:pBdr>
        <w:spacing w:after="0"/>
        <w:rPr>
          <w:rFonts w:ascii="Arial" w:hAnsi="Arial" w:cs="Arial"/>
          <w:b/>
          <w:kern w:val="2"/>
          <w:sz w:val="24"/>
          <w:lang w:val="en-GB" w:eastAsia="zh-CN"/>
        </w:rPr>
      </w:pPr>
    </w:p>
    <w:p w14:paraId="014E4CBF" w14:textId="77777777"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Agenda Item:</w:t>
      </w:r>
      <w:r w:rsidR="00F31B49" w:rsidRPr="00072EA5">
        <w:rPr>
          <w:rFonts w:ascii="Arial" w:hAnsi="Arial" w:cs="Arial"/>
          <w:b/>
          <w:bCs/>
          <w:szCs w:val="20"/>
          <w:lang w:val="en-GB" w:eastAsia="zh-CN"/>
        </w:rPr>
        <w:tab/>
      </w:r>
      <w:r w:rsidR="00D91D9A" w:rsidRPr="00072EA5">
        <w:rPr>
          <w:rFonts w:ascii="Arial" w:hAnsi="Arial" w:cs="Arial"/>
          <w:b/>
          <w:bCs/>
          <w:szCs w:val="20"/>
          <w:lang w:val="en-GB" w:eastAsia="zh-CN"/>
        </w:rPr>
        <w:t>7</w:t>
      </w:r>
      <w:r w:rsidR="006E34BF" w:rsidRPr="00072EA5">
        <w:rPr>
          <w:rFonts w:ascii="Arial" w:hAnsi="Arial" w:cs="Arial"/>
          <w:b/>
          <w:bCs/>
          <w:szCs w:val="20"/>
          <w:lang w:val="en-GB" w:eastAsia="zh-CN"/>
        </w:rPr>
        <w:t>.</w:t>
      </w:r>
      <w:r w:rsidR="00096DFA" w:rsidRPr="00072EA5">
        <w:rPr>
          <w:rFonts w:ascii="Arial" w:hAnsi="Arial" w:cs="Arial"/>
          <w:b/>
          <w:bCs/>
          <w:szCs w:val="20"/>
          <w:lang w:val="en-GB" w:eastAsia="zh-CN"/>
        </w:rPr>
        <w:t>2.2</w:t>
      </w:r>
      <w:r w:rsidR="00DE124B" w:rsidRPr="00072EA5">
        <w:rPr>
          <w:rFonts w:ascii="Arial" w:hAnsi="Arial" w:cs="Arial"/>
          <w:b/>
          <w:bCs/>
          <w:szCs w:val="20"/>
          <w:lang w:val="en-GB" w:eastAsia="zh-CN"/>
        </w:rPr>
        <w:t>.</w:t>
      </w:r>
      <w:r w:rsidR="00072EA5" w:rsidRPr="00072EA5">
        <w:rPr>
          <w:rFonts w:ascii="Arial" w:hAnsi="Arial" w:cs="Arial"/>
          <w:b/>
          <w:bCs/>
          <w:szCs w:val="20"/>
          <w:lang w:val="en-GB" w:eastAsia="zh-CN"/>
        </w:rPr>
        <w:t>2</w:t>
      </w:r>
      <w:r w:rsidR="00E0771A" w:rsidRPr="00072EA5">
        <w:rPr>
          <w:rFonts w:ascii="Arial" w:hAnsi="Arial" w:cs="Arial"/>
          <w:b/>
          <w:bCs/>
          <w:szCs w:val="20"/>
          <w:lang w:val="en-GB" w:eastAsia="zh-CN"/>
        </w:rPr>
        <w:t>.</w:t>
      </w:r>
      <w:r w:rsidR="00753B06" w:rsidRPr="00072EA5">
        <w:rPr>
          <w:rFonts w:ascii="Arial" w:hAnsi="Arial" w:cs="Arial"/>
          <w:b/>
          <w:bCs/>
          <w:szCs w:val="20"/>
          <w:lang w:val="en-GB" w:eastAsia="zh-CN"/>
        </w:rPr>
        <w:t>1</w:t>
      </w:r>
    </w:p>
    <w:p w14:paraId="33E2DB88" w14:textId="77777777" w:rsidR="00BC1C3C" w:rsidRPr="00072EA5"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Source:</w:t>
      </w:r>
      <w:r w:rsidRPr="00072EA5">
        <w:rPr>
          <w:rFonts w:ascii="Arial" w:hAnsi="Arial" w:cs="Arial"/>
          <w:b/>
          <w:bCs/>
          <w:szCs w:val="20"/>
          <w:lang w:val="en-GB" w:eastAsia="zh-CN"/>
        </w:rPr>
        <w:tab/>
      </w:r>
      <w:r w:rsidR="0098380C" w:rsidRPr="00072EA5">
        <w:rPr>
          <w:rFonts w:ascii="Arial" w:hAnsi="Arial" w:cs="Arial"/>
          <w:b/>
          <w:bCs/>
          <w:szCs w:val="20"/>
          <w:lang w:val="en-GB" w:eastAsia="zh-CN"/>
        </w:rPr>
        <w:t>Lenovo</w:t>
      </w:r>
      <w:r w:rsidR="009E09C9" w:rsidRPr="00072EA5">
        <w:rPr>
          <w:rFonts w:ascii="Arial" w:hAnsi="Arial" w:cs="Arial"/>
          <w:b/>
          <w:bCs/>
          <w:szCs w:val="20"/>
          <w:lang w:val="en-GB" w:eastAsia="zh-CN"/>
        </w:rPr>
        <w:t>, Motorola Mobility</w:t>
      </w:r>
    </w:p>
    <w:p w14:paraId="210CC754" w14:textId="77777777" w:rsidR="0026538C"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Title:</w:t>
      </w:r>
      <w:r w:rsidRPr="00072EA5">
        <w:rPr>
          <w:rFonts w:ascii="Arial" w:hAnsi="Arial" w:cs="Arial"/>
          <w:b/>
          <w:bCs/>
          <w:szCs w:val="20"/>
          <w:lang w:val="en-GB" w:eastAsia="zh-CN"/>
        </w:rPr>
        <w:tab/>
      </w:r>
      <w:r w:rsidR="00871A80" w:rsidRPr="00072EA5">
        <w:rPr>
          <w:rFonts w:ascii="Arial" w:hAnsi="Arial" w:cs="Arial"/>
          <w:b/>
          <w:bCs/>
          <w:szCs w:val="20"/>
          <w:lang w:val="en-GB" w:eastAsia="zh-CN"/>
        </w:rPr>
        <w:t xml:space="preserve">Extensions for </w:t>
      </w:r>
      <w:r w:rsidR="008F49C4" w:rsidRPr="00072EA5">
        <w:rPr>
          <w:rFonts w:ascii="Arial" w:hAnsi="Arial" w:cs="Arial"/>
          <w:b/>
          <w:bCs/>
          <w:szCs w:val="20"/>
          <w:lang w:val="en-GB" w:eastAsia="zh-CN"/>
        </w:rPr>
        <w:t xml:space="preserve">Channel Access </w:t>
      </w:r>
      <w:r w:rsidR="00871A80" w:rsidRPr="00072EA5">
        <w:rPr>
          <w:rFonts w:ascii="Arial" w:hAnsi="Arial" w:cs="Arial"/>
          <w:b/>
          <w:bCs/>
          <w:szCs w:val="20"/>
          <w:lang w:val="en-GB" w:eastAsia="zh-CN"/>
        </w:rPr>
        <w:t>Procedures</w:t>
      </w:r>
    </w:p>
    <w:p w14:paraId="0247951C" w14:textId="77777777"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Document for:</w:t>
      </w:r>
      <w:r w:rsidRPr="00072EA5">
        <w:rPr>
          <w:rFonts w:ascii="Arial" w:hAnsi="Arial" w:cs="Arial"/>
          <w:b/>
          <w:bCs/>
          <w:szCs w:val="20"/>
          <w:lang w:val="en-GB" w:eastAsia="zh-CN"/>
        </w:rPr>
        <w:tab/>
      </w:r>
      <w:r w:rsidR="00251073" w:rsidRPr="00072EA5">
        <w:rPr>
          <w:rFonts w:ascii="Arial" w:hAnsi="Arial" w:cs="Arial"/>
          <w:b/>
          <w:bCs/>
          <w:szCs w:val="20"/>
          <w:lang w:val="en-GB" w:eastAsia="zh-CN"/>
        </w:rPr>
        <w:t>Discussion</w:t>
      </w:r>
      <w:r w:rsidR="00F9290D" w:rsidRPr="00072EA5">
        <w:rPr>
          <w:rFonts w:ascii="Arial" w:hAnsi="Arial" w:cs="Arial"/>
          <w:b/>
          <w:bCs/>
          <w:szCs w:val="20"/>
          <w:lang w:val="en-GB" w:eastAsia="zh-CN"/>
        </w:rPr>
        <w:t xml:space="preserve"> </w:t>
      </w:r>
    </w:p>
    <w:p w14:paraId="0F2FF5C1" w14:textId="77777777" w:rsidR="009C0564" w:rsidRPr="00072EA5" w:rsidRDefault="009C0564" w:rsidP="00071D7D">
      <w:pPr>
        <w:pBdr>
          <w:bottom w:val="single" w:sz="4" w:space="1" w:color="auto"/>
        </w:pBdr>
        <w:spacing w:after="0"/>
        <w:rPr>
          <w:rFonts w:ascii="Arial" w:hAnsi="Arial" w:cs="Arial"/>
          <w:b/>
          <w:kern w:val="2"/>
          <w:lang w:val="en-GB" w:eastAsia="zh-CN"/>
        </w:rPr>
      </w:pPr>
    </w:p>
    <w:p w14:paraId="3DF3AD24" w14:textId="77777777" w:rsidR="002E23A9" w:rsidRPr="00072EA5" w:rsidRDefault="00836A18" w:rsidP="00155F0E">
      <w:pPr>
        <w:pStyle w:val="Heading1"/>
        <w:rPr>
          <w:rFonts w:ascii="Arial" w:hAnsi="Arial" w:cs="Arial"/>
          <w:lang w:val="en-GB" w:eastAsia="zh-CN"/>
        </w:rPr>
      </w:pPr>
      <w:r>
        <w:rPr>
          <w:rFonts w:ascii="Arial" w:hAnsi="Arial" w:cs="Arial"/>
          <w:lang w:val="en-GB" w:eastAsia="zh-CN"/>
        </w:rPr>
        <w:t>Introduction</w:t>
      </w:r>
    </w:p>
    <w:p w14:paraId="484623DE" w14:textId="77777777" w:rsidR="00836A18" w:rsidRDefault="00836A18" w:rsidP="008F49C4">
      <w:pPr>
        <w:rPr>
          <w:lang w:val="en-GB" w:eastAsia="zh-CN"/>
        </w:rPr>
      </w:pPr>
      <w:r>
        <w:rPr>
          <w:lang w:val="en-GB" w:eastAsia="zh-CN"/>
        </w:rPr>
        <w:t>TR 38.889 captures the following aspects for channel access:</w:t>
      </w:r>
    </w:p>
    <w:tbl>
      <w:tblPr>
        <w:tblW w:w="0" w:type="auto"/>
        <w:shd w:val="clear" w:color="auto" w:fill="D9E2F3"/>
        <w:tblLook w:val="04A0" w:firstRow="1" w:lastRow="0" w:firstColumn="1" w:lastColumn="0" w:noHBand="0" w:noVBand="1"/>
      </w:tblPr>
      <w:tblGrid>
        <w:gridCol w:w="9533"/>
      </w:tblGrid>
      <w:tr w:rsidR="00836A18" w:rsidRPr="001155DF" w14:paraId="630B1E80" w14:textId="77777777" w:rsidTr="001155DF">
        <w:tc>
          <w:tcPr>
            <w:tcW w:w="9533" w:type="dxa"/>
            <w:shd w:val="clear" w:color="auto" w:fill="D9E2F3"/>
          </w:tcPr>
          <w:p w14:paraId="45DADF74" w14:textId="77777777" w:rsidR="00836A18" w:rsidRPr="00C64ECB" w:rsidRDefault="00836A18" w:rsidP="001155DF">
            <w:pPr>
              <w:widowControl w:val="0"/>
              <w:jc w:val="both"/>
            </w:pPr>
            <w:r w:rsidRPr="00C64ECB" w:rsidDel="00E80E78">
              <w:t xml:space="preserve">For channel access mechanism, LTE-LAA LBT mechanism </w:t>
            </w:r>
            <w:r w:rsidRPr="00C64ECB">
              <w:t>is adopted as baseline</w:t>
            </w:r>
            <w:r w:rsidRPr="00C64ECB" w:rsidDel="00E80E78">
              <w:t xml:space="preserve"> for 5GHz</w:t>
            </w:r>
            <w:r w:rsidRPr="00C64ECB">
              <w:t xml:space="preserve"> band and adopted as the starting point of the design for 6GHz band</w:t>
            </w:r>
            <w:r w:rsidRPr="00C64ECB" w:rsidDel="00E80E78">
              <w:t xml:space="preserve">. At least for band where absence of Wi-Fi cannot be guaranteed (e.g. by regulation), LBT can be performed in units of 20 MHz. </w:t>
            </w:r>
          </w:p>
          <w:p w14:paraId="78BB3CE1" w14:textId="77777777" w:rsidR="00836A18" w:rsidRPr="00C64ECB" w:rsidRDefault="00836A18" w:rsidP="001155DF">
            <w:pPr>
              <w:widowControl w:val="0"/>
              <w:jc w:val="both"/>
            </w:pPr>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997991">
              <w:rPr>
                <w:lang w:eastAsia="x-none"/>
              </w:rPr>
              <w:t xml:space="preserve"> </w:t>
            </w:r>
            <w:r w:rsidRPr="00C64ECB">
              <w:t>For initiation of a COT by the gNB (operating as an LBE device), the channel access schemes in Table 7.2.1.3.1-1 are used.</w:t>
            </w:r>
          </w:p>
          <w:p w14:paraId="421B787A" w14:textId="77777777" w:rsidR="00836A18" w:rsidRPr="00C64ECB" w:rsidRDefault="00836A18" w:rsidP="001155DF">
            <w:pPr>
              <w:widowControl w:val="0"/>
              <w:jc w:val="both"/>
              <w:rPr>
                <w:lang w:eastAsia="x-none"/>
              </w:rPr>
            </w:pPr>
            <w:r w:rsidRPr="00C64ECB">
              <w:rPr>
                <w:lang w:eastAsia="x-none"/>
              </w:rPr>
              <w:t>For initiation of a COT by the UE, the channel access schemes in Table 7.2.1.3.1-4 are used.</w:t>
            </w:r>
          </w:p>
          <w:p w14:paraId="32E9BA29" w14:textId="77777777" w:rsidR="00836A18" w:rsidRPr="00C64ECB" w:rsidRDefault="00836A18" w:rsidP="001155DF">
            <w:pPr>
              <w:pStyle w:val="TH"/>
              <w:widowControl w:val="0"/>
            </w:pPr>
            <w:r w:rsidRPr="00C64ECB">
              <w:t>Table 7.2.1.3.1-4</w:t>
            </w:r>
            <w:r>
              <w:t>:</w:t>
            </w:r>
            <w:r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836A18" w:rsidRPr="00C64ECB" w14:paraId="6CABC92B" w14:textId="77777777" w:rsidTr="001155DF">
              <w:trPr>
                <w:jc w:val="center"/>
              </w:trPr>
              <w:tc>
                <w:tcPr>
                  <w:tcW w:w="2678" w:type="dxa"/>
                  <w:shd w:val="clear" w:color="auto" w:fill="auto"/>
                </w:tcPr>
                <w:p w14:paraId="4B978891" w14:textId="77777777" w:rsidR="00836A18" w:rsidRPr="00C64ECB" w:rsidRDefault="00836A18" w:rsidP="00836A18">
                  <w:pPr>
                    <w:pStyle w:val="TAH"/>
                  </w:pPr>
                </w:p>
              </w:tc>
              <w:tc>
                <w:tcPr>
                  <w:tcW w:w="2087" w:type="dxa"/>
                  <w:shd w:val="clear" w:color="auto" w:fill="auto"/>
                </w:tcPr>
                <w:p w14:paraId="0F5EFC12" w14:textId="77777777" w:rsidR="00836A18" w:rsidRPr="00C64ECB" w:rsidRDefault="00836A18" w:rsidP="00836A18">
                  <w:pPr>
                    <w:pStyle w:val="TAH"/>
                  </w:pPr>
                  <w:r w:rsidRPr="00C64ECB">
                    <w:t>Cat 2 LBT</w:t>
                  </w:r>
                </w:p>
              </w:tc>
              <w:tc>
                <w:tcPr>
                  <w:tcW w:w="3074" w:type="dxa"/>
                  <w:shd w:val="clear" w:color="auto" w:fill="auto"/>
                </w:tcPr>
                <w:p w14:paraId="49F8E667" w14:textId="77777777" w:rsidR="00836A18" w:rsidRPr="00C64ECB" w:rsidRDefault="00836A18" w:rsidP="00836A18">
                  <w:pPr>
                    <w:pStyle w:val="TAH"/>
                  </w:pPr>
                  <w:r w:rsidRPr="00C64ECB">
                    <w:t>Cat 4 LBT</w:t>
                  </w:r>
                </w:p>
              </w:tc>
            </w:tr>
            <w:tr w:rsidR="00836A18" w:rsidRPr="00C64ECB" w14:paraId="33E94424" w14:textId="77777777" w:rsidTr="001155DF">
              <w:trPr>
                <w:jc w:val="center"/>
              </w:trPr>
              <w:tc>
                <w:tcPr>
                  <w:tcW w:w="2678" w:type="dxa"/>
                  <w:shd w:val="clear" w:color="auto" w:fill="auto"/>
                </w:tcPr>
                <w:p w14:paraId="155168F7" w14:textId="77777777" w:rsidR="00836A18" w:rsidRPr="00C64ECB" w:rsidRDefault="00836A18" w:rsidP="00836A18">
                  <w:pPr>
                    <w:pStyle w:val="TAL"/>
                  </w:pPr>
                  <w:r w:rsidRPr="00C64ECB">
                    <w:t>PUSCH (including at least UL-SCH with user plane data)</w:t>
                  </w:r>
                </w:p>
              </w:tc>
              <w:tc>
                <w:tcPr>
                  <w:tcW w:w="2087" w:type="dxa"/>
                  <w:shd w:val="clear" w:color="auto" w:fill="auto"/>
                </w:tcPr>
                <w:p w14:paraId="6F348666" w14:textId="77777777" w:rsidR="00836A18" w:rsidRPr="00C64ECB" w:rsidRDefault="00836A18" w:rsidP="00836A18">
                  <w:pPr>
                    <w:pStyle w:val="TAL"/>
                  </w:pPr>
                  <w:r w:rsidRPr="00C64ECB">
                    <w:t>N/A except for the cases discussed in Note 2 below</w:t>
                  </w:r>
                </w:p>
              </w:tc>
              <w:tc>
                <w:tcPr>
                  <w:tcW w:w="3074" w:type="dxa"/>
                  <w:shd w:val="clear" w:color="auto" w:fill="auto"/>
                </w:tcPr>
                <w:p w14:paraId="4D14D983" w14:textId="77777777" w:rsidR="00836A18" w:rsidRPr="00C64ECB" w:rsidRDefault="00836A18" w:rsidP="00836A18">
                  <w:pPr>
                    <w:pStyle w:val="TAL"/>
                  </w:pPr>
                  <w:r w:rsidRPr="00C64ECB">
                    <w:t>Channel access priority class is selected according to the data</w:t>
                  </w:r>
                </w:p>
              </w:tc>
            </w:tr>
            <w:tr w:rsidR="00836A18" w:rsidRPr="00C64ECB" w14:paraId="36E141FD" w14:textId="77777777" w:rsidTr="001155DF">
              <w:trPr>
                <w:jc w:val="center"/>
              </w:trPr>
              <w:tc>
                <w:tcPr>
                  <w:tcW w:w="2678" w:type="dxa"/>
                  <w:shd w:val="clear" w:color="auto" w:fill="auto"/>
                </w:tcPr>
                <w:p w14:paraId="16E7F2D8" w14:textId="77777777" w:rsidR="00836A18" w:rsidRPr="00C64ECB" w:rsidRDefault="00836A18" w:rsidP="00836A18">
                  <w:pPr>
                    <w:pStyle w:val="TAL"/>
                  </w:pPr>
                  <w:r w:rsidRPr="00C64ECB">
                    <w:t>SRS-only</w:t>
                  </w:r>
                </w:p>
              </w:tc>
              <w:tc>
                <w:tcPr>
                  <w:tcW w:w="2087" w:type="dxa"/>
                  <w:shd w:val="clear" w:color="auto" w:fill="auto"/>
                </w:tcPr>
                <w:p w14:paraId="5B5C132C" w14:textId="77777777" w:rsidR="00836A18" w:rsidRPr="00C64ECB" w:rsidRDefault="00836A18" w:rsidP="00836A18">
                  <w:pPr>
                    <w:pStyle w:val="TAL"/>
                  </w:pPr>
                  <w:r w:rsidRPr="00C64ECB">
                    <w:t>N/A</w:t>
                  </w:r>
                </w:p>
              </w:tc>
              <w:tc>
                <w:tcPr>
                  <w:tcW w:w="3074" w:type="dxa"/>
                  <w:shd w:val="clear" w:color="auto" w:fill="auto"/>
                </w:tcPr>
                <w:p w14:paraId="76585C7E" w14:textId="77777777" w:rsidR="00836A18" w:rsidRPr="00C64ECB" w:rsidRDefault="00836A18" w:rsidP="00836A18">
                  <w:pPr>
                    <w:pStyle w:val="TAL"/>
                  </w:pPr>
                  <w:r w:rsidRPr="00C64ECB">
                    <w:t>Cat4 with lowest channel access priority class value (as in LTE eLAA)</w:t>
                  </w:r>
                </w:p>
              </w:tc>
            </w:tr>
            <w:tr w:rsidR="00836A18" w:rsidRPr="00C64ECB" w14:paraId="1FB002B5" w14:textId="77777777" w:rsidTr="001155DF">
              <w:trPr>
                <w:jc w:val="center"/>
              </w:trPr>
              <w:tc>
                <w:tcPr>
                  <w:tcW w:w="2678" w:type="dxa"/>
                  <w:shd w:val="clear" w:color="auto" w:fill="auto"/>
                </w:tcPr>
                <w:p w14:paraId="7AAD5642" w14:textId="77777777" w:rsidR="00836A18" w:rsidRPr="00C64ECB" w:rsidRDefault="00836A18" w:rsidP="00836A18">
                  <w:pPr>
                    <w:pStyle w:val="TAL"/>
                  </w:pPr>
                  <w:r w:rsidRPr="00C64ECB">
                    <w:t>RACH-only</w:t>
                  </w:r>
                </w:p>
              </w:tc>
              <w:tc>
                <w:tcPr>
                  <w:tcW w:w="2087" w:type="dxa"/>
                  <w:shd w:val="clear" w:color="auto" w:fill="auto"/>
                </w:tcPr>
                <w:p w14:paraId="66D30987" w14:textId="77777777" w:rsidR="00836A18" w:rsidRPr="00C64ECB" w:rsidRDefault="00836A18" w:rsidP="00836A18">
                  <w:pPr>
                    <w:pStyle w:val="TAL"/>
                  </w:pPr>
                  <w:r w:rsidRPr="00C64ECB">
                    <w:t>(see Note 2)</w:t>
                  </w:r>
                </w:p>
              </w:tc>
              <w:tc>
                <w:tcPr>
                  <w:tcW w:w="3074" w:type="dxa"/>
                  <w:shd w:val="clear" w:color="auto" w:fill="auto"/>
                </w:tcPr>
                <w:p w14:paraId="49215B15" w14:textId="77777777" w:rsidR="00836A18" w:rsidRPr="00C64ECB" w:rsidRDefault="00836A18" w:rsidP="00836A18">
                  <w:pPr>
                    <w:pStyle w:val="TAL"/>
                  </w:pPr>
                  <w:r w:rsidRPr="00C64ECB">
                    <w:t>Cat4 with lowest channel access priority class value</w:t>
                  </w:r>
                </w:p>
              </w:tc>
            </w:tr>
            <w:tr w:rsidR="00836A18" w:rsidRPr="00C64ECB" w14:paraId="0F3E51BD" w14:textId="77777777" w:rsidTr="001155DF">
              <w:trPr>
                <w:jc w:val="center"/>
              </w:trPr>
              <w:tc>
                <w:tcPr>
                  <w:tcW w:w="2678" w:type="dxa"/>
                  <w:shd w:val="clear" w:color="auto" w:fill="auto"/>
                </w:tcPr>
                <w:p w14:paraId="3E649792" w14:textId="77777777" w:rsidR="00836A18" w:rsidRPr="00C64ECB" w:rsidRDefault="00836A18" w:rsidP="00836A18">
                  <w:pPr>
                    <w:pStyle w:val="TAL"/>
                  </w:pPr>
                  <w:r w:rsidRPr="00C64ECB">
                    <w:t>PUCCH-only</w:t>
                  </w:r>
                </w:p>
              </w:tc>
              <w:tc>
                <w:tcPr>
                  <w:tcW w:w="2087" w:type="dxa"/>
                  <w:shd w:val="clear" w:color="auto" w:fill="auto"/>
                </w:tcPr>
                <w:p w14:paraId="34179042" w14:textId="77777777" w:rsidR="00836A18" w:rsidRPr="00C64ECB" w:rsidRDefault="00836A18" w:rsidP="00836A18">
                  <w:pPr>
                    <w:pStyle w:val="TAL"/>
                  </w:pPr>
                  <w:r w:rsidRPr="00C64ECB">
                    <w:t>(see Note 2)</w:t>
                  </w:r>
                </w:p>
              </w:tc>
              <w:tc>
                <w:tcPr>
                  <w:tcW w:w="3074" w:type="dxa"/>
                  <w:shd w:val="clear" w:color="auto" w:fill="auto"/>
                </w:tcPr>
                <w:p w14:paraId="0706141D" w14:textId="77777777" w:rsidR="00836A18" w:rsidRPr="00C64ECB" w:rsidRDefault="00836A18" w:rsidP="00836A18">
                  <w:pPr>
                    <w:pStyle w:val="TAL"/>
                  </w:pPr>
                  <w:r w:rsidRPr="00C64ECB">
                    <w:t>Cat4 with lowest channel access priority class value</w:t>
                  </w:r>
                </w:p>
              </w:tc>
            </w:tr>
          </w:tbl>
          <w:p w14:paraId="64D271C9" w14:textId="77777777" w:rsidR="00836A18" w:rsidRPr="00C64ECB" w:rsidRDefault="00836A18" w:rsidP="001155DF">
            <w:pPr>
              <w:pStyle w:val="NO"/>
              <w:widowControl w:val="0"/>
              <w:jc w:val="both"/>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786419B6" w14:textId="77777777" w:rsidR="00836A18" w:rsidRPr="00C64ECB" w:rsidRDefault="00836A18" w:rsidP="001155DF">
            <w:pPr>
              <w:pStyle w:val="NO"/>
              <w:widowControl w:val="0"/>
              <w:jc w:val="both"/>
            </w:pPr>
            <w:r w:rsidRPr="00C64ECB">
              <w:t>Note 2: Applicability of a channel access scheme other than Cat 4 for</w:t>
            </w:r>
            <w:r w:rsidRPr="001155DF">
              <w:rPr>
                <w:i/>
              </w:rPr>
              <w:t xml:space="preserve"> </w:t>
            </w:r>
            <w:r w:rsidRPr="00C64ECB">
              <w:t>the following</w:t>
            </w:r>
            <w:r w:rsidRPr="001155DF">
              <w:rPr>
                <w:i/>
              </w:rPr>
              <w:t xml:space="preserve"> </w:t>
            </w:r>
            <w:r w:rsidRPr="00C64ECB">
              <w:t>signals / channels have been discussed and details are to be determined when the specifications are developed:</w:t>
            </w:r>
          </w:p>
          <w:p w14:paraId="333B5853" w14:textId="77777777" w:rsidR="00836A18" w:rsidRPr="00C64ECB" w:rsidRDefault="00836A18" w:rsidP="001155DF">
            <w:pPr>
              <w:pStyle w:val="B1"/>
              <w:widowControl w:val="0"/>
            </w:pPr>
            <w:r w:rsidRPr="00C64ECB">
              <w:t>-</w:t>
            </w:r>
            <w:r w:rsidRPr="00C64ECB">
              <w:tab/>
              <w:t>UL control information including UCI only on PUSCH, e.g. HARQ-ACK, Scheduling Request, and Channel State Information</w:t>
            </w:r>
          </w:p>
          <w:p w14:paraId="06B82FB6" w14:textId="77777777" w:rsidR="00836A18" w:rsidRDefault="00836A18" w:rsidP="001155DF">
            <w:pPr>
              <w:pStyle w:val="B1"/>
              <w:widowControl w:val="0"/>
            </w:pPr>
            <w:r w:rsidRPr="00C64ECB">
              <w:t>-</w:t>
            </w:r>
            <w:r w:rsidRPr="00C64ECB">
              <w:tab/>
              <w:t>Random Access</w:t>
            </w:r>
          </w:p>
        </w:tc>
      </w:tr>
    </w:tbl>
    <w:p w14:paraId="3C9DF5FB" w14:textId="77777777" w:rsidR="00836A18" w:rsidRDefault="00070051" w:rsidP="008F49C4">
      <w:pPr>
        <w:rPr>
          <w:lang w:val="en-GB" w:eastAsia="zh-CN"/>
        </w:rPr>
      </w:pPr>
      <w:r>
        <w:rPr>
          <w:lang w:val="en-GB" w:eastAsia="zh-CN"/>
        </w:rPr>
        <w:t>In this document, we show our views on channel access for RACH messages in the 4-step RACH procedure.</w:t>
      </w:r>
    </w:p>
    <w:p w14:paraId="12F28417" w14:textId="77777777" w:rsidR="00836A18" w:rsidRPr="00836A18" w:rsidRDefault="00836A18" w:rsidP="00836A18">
      <w:pPr>
        <w:pStyle w:val="Heading1"/>
        <w:rPr>
          <w:rFonts w:ascii="Arial" w:hAnsi="Arial" w:cs="Arial"/>
          <w:lang w:val="en-GB" w:eastAsia="zh-CN"/>
        </w:rPr>
      </w:pPr>
      <w:r w:rsidRPr="00836A18">
        <w:rPr>
          <w:rFonts w:ascii="Arial" w:hAnsi="Arial" w:cs="Arial"/>
          <w:lang w:val="en-GB" w:eastAsia="zh-CN"/>
        </w:rPr>
        <w:t>Discussion</w:t>
      </w:r>
    </w:p>
    <w:p w14:paraId="7CC21B07" w14:textId="77777777" w:rsidR="00836A18" w:rsidRDefault="00836A18" w:rsidP="00836A18">
      <w:pPr>
        <w:rPr>
          <w:lang w:val="en-GB" w:eastAsia="zh-CN"/>
        </w:rPr>
      </w:pPr>
      <w:r w:rsidRPr="00072EA5">
        <w:rPr>
          <w:lang w:val="en-GB" w:eastAsia="zh-CN"/>
        </w:rPr>
        <w:t xml:space="preserve">In LTE LAA, channel access supports the LBT functionality with basically two access types: a contention window based access (type 1) and a one-shot access (type 2). Since LTE supports only SCells for unlicensed carriers, there was no need to consider access types or contention window adaptation for messages exchanges in the random access procedure. However, for all NR-U scenarios where an </w:t>
      </w:r>
      <w:r w:rsidRPr="00072EA5">
        <w:rPr>
          <w:lang w:val="en-GB" w:eastAsia="zh-CN"/>
        </w:rPr>
        <w:lastRenderedPageBreak/>
        <w:t>unlicensed carrier is a PCell, we need not only support RACH transmissions but also consider the appropriate channel access rules.</w:t>
      </w:r>
      <w:r w:rsidR="001B448E">
        <w:rPr>
          <w:lang w:val="en-GB" w:eastAsia="zh-CN"/>
        </w:rPr>
        <w:t xml:space="preserve"> Additionally, NR-U should support the transmission on wideband carriers, where the LBT would still be performed on a subband-level. Therefore we also need to consider the ACK/NACK feedback corresponding to a wideband transmission for subband contention window adjustments.</w:t>
      </w:r>
    </w:p>
    <w:p w14:paraId="3D93CFFB" w14:textId="77777777" w:rsidR="00870A41" w:rsidRPr="00072EA5" w:rsidRDefault="00870A41" w:rsidP="00870A41">
      <w:pPr>
        <w:pStyle w:val="Heading2"/>
        <w:rPr>
          <w:lang w:val="en-GB" w:eastAsia="zh-CN"/>
        </w:rPr>
      </w:pPr>
      <w:r w:rsidRPr="00072EA5">
        <w:rPr>
          <w:lang w:val="en-GB" w:eastAsia="zh-CN"/>
        </w:rPr>
        <w:t>Msg 2</w:t>
      </w:r>
      <w:r w:rsidR="00B80EB0" w:rsidRPr="00072EA5">
        <w:rPr>
          <w:lang w:val="en-GB" w:eastAsia="zh-CN"/>
        </w:rPr>
        <w:t>/3</w:t>
      </w:r>
    </w:p>
    <w:p w14:paraId="720BAF7F" w14:textId="77777777" w:rsidR="000F7309" w:rsidRDefault="00870A41" w:rsidP="00870A41">
      <w:pPr>
        <w:rPr>
          <w:lang w:val="en-GB" w:eastAsia="zh-CN"/>
        </w:rPr>
      </w:pPr>
      <w:r w:rsidRPr="00072EA5">
        <w:rPr>
          <w:lang w:val="en-GB" w:eastAsia="zh-CN"/>
        </w:rPr>
        <w:t xml:space="preserve">Msg 2 </w:t>
      </w:r>
      <w:r w:rsidR="00B80EB0" w:rsidRPr="00072EA5">
        <w:rPr>
          <w:lang w:val="en-GB" w:eastAsia="zh-CN"/>
        </w:rPr>
        <w:t>is</w:t>
      </w:r>
      <w:r w:rsidRPr="00072EA5">
        <w:rPr>
          <w:lang w:val="en-GB" w:eastAsia="zh-CN"/>
        </w:rPr>
        <w:t xml:space="preserve"> basically </w:t>
      </w:r>
      <w:r w:rsidR="00B80EB0" w:rsidRPr="00072EA5">
        <w:rPr>
          <w:lang w:val="en-GB" w:eastAsia="zh-CN"/>
        </w:rPr>
        <w:t xml:space="preserve">an </w:t>
      </w:r>
      <w:r w:rsidRPr="00072EA5">
        <w:rPr>
          <w:lang w:val="en-GB" w:eastAsia="zh-CN"/>
        </w:rPr>
        <w:t>ordinary PDSCH messages</w:t>
      </w:r>
      <w:r w:rsidR="00B80EB0" w:rsidRPr="00072EA5">
        <w:rPr>
          <w:lang w:val="en-GB" w:eastAsia="zh-CN"/>
        </w:rPr>
        <w:t xml:space="preserve"> without HARQ</w:t>
      </w:r>
      <w:r w:rsidRPr="00072EA5">
        <w:rPr>
          <w:lang w:val="en-GB" w:eastAsia="zh-CN"/>
        </w:rPr>
        <w:t xml:space="preserve">, and Msg 3 is an ordinary PUSCH message. </w:t>
      </w:r>
      <w:r w:rsidR="000F7309">
        <w:rPr>
          <w:lang w:val="en-GB" w:eastAsia="zh-CN"/>
        </w:rPr>
        <w:t>Consequently, in RAN1#97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0F7309" w:rsidRPr="00C115BF" w14:paraId="3BA6933B" w14:textId="77777777" w:rsidTr="00C115BF">
        <w:tc>
          <w:tcPr>
            <w:tcW w:w="9533" w:type="dxa"/>
            <w:shd w:val="clear" w:color="auto" w:fill="auto"/>
          </w:tcPr>
          <w:p w14:paraId="4768C46D" w14:textId="77777777" w:rsidR="000F7309" w:rsidRPr="00C115BF" w:rsidRDefault="000F7309" w:rsidP="00C115BF">
            <w:pPr>
              <w:widowControl w:val="0"/>
              <w:jc w:val="both"/>
              <w:rPr>
                <w:b/>
                <w:lang w:val="en-GB" w:eastAsia="zh-CN"/>
              </w:rPr>
            </w:pPr>
            <w:r w:rsidRPr="00C115BF">
              <w:rPr>
                <w:b/>
                <w:highlight w:val="green"/>
                <w:lang w:val="en-GB" w:eastAsia="zh-CN"/>
              </w:rPr>
              <w:t>Agreement:</w:t>
            </w:r>
          </w:p>
          <w:p w14:paraId="2B8F8323" w14:textId="37FB86A2" w:rsidR="000F7309" w:rsidRPr="00C115BF" w:rsidRDefault="000F7309" w:rsidP="00C115BF">
            <w:pPr>
              <w:widowControl w:val="0"/>
              <w:ind w:left="425"/>
              <w:jc w:val="both"/>
              <w:rPr>
                <w:lang w:val="en-GB" w:eastAsia="zh-CN"/>
              </w:rPr>
            </w:pPr>
            <w:r w:rsidRPr="00C115BF">
              <w:rPr>
                <w:lang w:val="en-GB" w:eastAsia="zh-CN"/>
              </w:rPr>
              <w:t>LBT category for msg 3 initial transmission is provided to the UE in RAR.</w:t>
            </w:r>
          </w:p>
        </w:tc>
      </w:tr>
    </w:tbl>
    <w:p w14:paraId="3387990E" w14:textId="77777777" w:rsidR="000F7309" w:rsidRDefault="000F7309" w:rsidP="00870A41">
      <w:pPr>
        <w:rPr>
          <w:lang w:val="en-GB" w:eastAsia="zh-CN"/>
        </w:rPr>
      </w:pPr>
    </w:p>
    <w:p w14:paraId="6A9EB483" w14:textId="27F325A8" w:rsidR="00870A41" w:rsidRPr="00072EA5" w:rsidRDefault="000F7309" w:rsidP="00870A41">
      <w:pPr>
        <w:rPr>
          <w:lang w:val="en-GB" w:eastAsia="zh-CN"/>
        </w:rPr>
      </w:pPr>
      <w:r>
        <w:rPr>
          <w:lang w:val="en-GB" w:eastAsia="zh-CN"/>
        </w:rPr>
        <w:t xml:space="preserve">There are still follow-up issues to that agreement to be resolved. We assume that the LBT category only needs to indicate a Cat 2 or Cat 4 LBT, so a single bit should be sufficient for that purpose. Furthermore, in case of Cat 4 LBT there are different channel access priority classes. As Msg 3 can contain normal UL-SCH data, and might be followed </w:t>
      </w:r>
      <w:r w:rsidR="00563C0B">
        <w:rPr>
          <w:lang w:val="en-GB" w:eastAsia="zh-CN"/>
        </w:rPr>
        <w:t xml:space="preserve">immediately </w:t>
      </w:r>
      <w:r>
        <w:rPr>
          <w:lang w:val="en-GB" w:eastAsia="zh-CN"/>
        </w:rPr>
        <w:t xml:space="preserve">by regular PUSCH transmissions in case of contention-free random access, such an indication is beneficial. </w:t>
      </w:r>
      <w:r w:rsidR="006E033F" w:rsidRPr="00072EA5">
        <w:rPr>
          <w:lang w:val="en-GB" w:eastAsia="zh-CN"/>
        </w:rPr>
        <w:t>As a consequence, we think the following needs to be supported:</w:t>
      </w:r>
    </w:p>
    <w:p w14:paraId="657FE7BE" w14:textId="0E0CC157" w:rsidR="006E033F" w:rsidRPr="00072EA5" w:rsidRDefault="006E033F" w:rsidP="006E033F">
      <w:pPr>
        <w:numPr>
          <w:ilvl w:val="0"/>
          <w:numId w:val="40"/>
        </w:numPr>
        <w:rPr>
          <w:lang w:val="en-GB" w:eastAsia="zh-CN"/>
        </w:rPr>
      </w:pPr>
      <w:r w:rsidRPr="00072EA5">
        <w:rPr>
          <w:lang w:val="en-GB" w:eastAsia="zh-CN"/>
        </w:rPr>
        <w:t>The RAR include</w:t>
      </w:r>
      <w:r w:rsidR="000F7309">
        <w:rPr>
          <w:lang w:val="en-GB" w:eastAsia="zh-CN"/>
        </w:rPr>
        <w:t>s</w:t>
      </w:r>
      <w:r w:rsidRPr="00072EA5">
        <w:rPr>
          <w:lang w:val="en-GB" w:eastAsia="zh-CN"/>
        </w:rPr>
        <w:t xml:space="preserve"> an indicator for the channel access priority class</w:t>
      </w:r>
      <w:r w:rsidR="000F7309">
        <w:rPr>
          <w:lang w:val="en-GB" w:eastAsia="zh-CN"/>
        </w:rPr>
        <w:t>.</w:t>
      </w:r>
    </w:p>
    <w:p w14:paraId="76EA6246" w14:textId="5CE5BE4A" w:rsidR="006E033F" w:rsidRPr="00072EA5" w:rsidRDefault="006E033F" w:rsidP="006E033F">
      <w:pPr>
        <w:rPr>
          <w:lang w:val="en-GB" w:eastAsia="zh-CN"/>
        </w:rPr>
      </w:pPr>
      <w:r w:rsidRPr="00072EA5">
        <w:rPr>
          <w:lang w:val="en-GB" w:eastAsia="zh-CN"/>
        </w:rPr>
        <w:t xml:space="preserve">Obviously </w:t>
      </w:r>
      <w:r w:rsidR="00555CD2">
        <w:rPr>
          <w:lang w:val="en-GB" w:eastAsia="zh-CN"/>
        </w:rPr>
        <w:t>a contention-window based channel access</w:t>
      </w:r>
      <w:r w:rsidR="00555CD2" w:rsidRPr="00072EA5">
        <w:rPr>
          <w:lang w:val="en-GB" w:eastAsia="zh-CN"/>
        </w:rPr>
        <w:t xml:space="preserve"> </w:t>
      </w:r>
      <w:r w:rsidRPr="00072EA5">
        <w:rPr>
          <w:lang w:val="en-GB" w:eastAsia="zh-CN"/>
        </w:rPr>
        <w:t xml:space="preserve">may imply a longer waiting time before Msg 2/3 can be transmitted. To compensate for this drawback, we think that we need to consider extending RACH timers </w:t>
      </w:r>
      <w:r w:rsidR="00B80EB0" w:rsidRPr="00072EA5">
        <w:rPr>
          <w:lang w:val="en-GB" w:eastAsia="zh-CN"/>
        </w:rPr>
        <w:t xml:space="preserve">and windows </w:t>
      </w:r>
      <w:r w:rsidRPr="00072EA5">
        <w:rPr>
          <w:lang w:val="en-GB" w:eastAsia="zh-CN"/>
        </w:rPr>
        <w:t>as well as supporting multiple subframes for the transmission of Msg 3</w:t>
      </w:r>
      <w:r w:rsidR="00F40176" w:rsidRPr="00072EA5">
        <w:rPr>
          <w:lang w:val="en-GB" w:eastAsia="zh-CN"/>
        </w:rPr>
        <w:t>. For the timers</w:t>
      </w:r>
      <w:r w:rsidR="00B80EB0" w:rsidRPr="00072EA5">
        <w:rPr>
          <w:lang w:val="en-GB" w:eastAsia="zh-CN"/>
        </w:rPr>
        <w:t>/windows</w:t>
      </w:r>
      <w:r w:rsidR="00F40176" w:rsidRPr="00072EA5">
        <w:rPr>
          <w:lang w:val="en-GB" w:eastAsia="zh-CN"/>
        </w:rPr>
        <w:t>, it would be suitable to approach RAN2 to inform t</w:t>
      </w:r>
      <w:r w:rsidR="00B80EB0" w:rsidRPr="00072EA5">
        <w:rPr>
          <w:lang w:val="en-GB" w:eastAsia="zh-CN"/>
        </w:rPr>
        <w:t xml:space="preserve">hem </w:t>
      </w:r>
      <w:r w:rsidR="00555CD2">
        <w:rPr>
          <w:lang w:val="en-GB" w:eastAsia="zh-CN"/>
        </w:rPr>
        <w:t>that RAN1 sees a benefit</w:t>
      </w:r>
      <w:r w:rsidR="00B80EB0" w:rsidRPr="00072EA5">
        <w:rPr>
          <w:lang w:val="en-GB" w:eastAsia="zh-CN"/>
        </w:rPr>
        <w:t xml:space="preserve"> for extensions</w:t>
      </w:r>
      <w:r w:rsidR="00070051">
        <w:rPr>
          <w:lang w:val="en-GB" w:eastAsia="zh-CN"/>
        </w:rPr>
        <w:t xml:space="preserve"> e.g. of the </w:t>
      </w:r>
      <w:r w:rsidR="00070051" w:rsidRPr="00C64ECB">
        <w:rPr>
          <w:lang w:eastAsia="zh-CN"/>
        </w:rPr>
        <w:t>ra-ContentionResolutionTimer</w:t>
      </w:r>
      <w:r w:rsidR="00F40176" w:rsidRPr="00072EA5">
        <w:rPr>
          <w:lang w:val="en-GB" w:eastAsia="zh-CN"/>
        </w:rPr>
        <w:t xml:space="preserve">. For additional Msg 3 opportunities, the RAR Grant </w:t>
      </w:r>
      <w:r w:rsidR="00101956">
        <w:rPr>
          <w:lang w:val="en-GB" w:eastAsia="zh-CN"/>
        </w:rPr>
        <w:t xml:space="preserve">or the DCI assigning Msg 2 resources </w:t>
      </w:r>
      <w:r w:rsidR="00F40176" w:rsidRPr="00072EA5">
        <w:rPr>
          <w:lang w:val="en-GB" w:eastAsia="zh-CN"/>
        </w:rPr>
        <w:t>should additionally include an indicator for the number of Msg 3 transmission opportunities granted to the UE.</w:t>
      </w:r>
    </w:p>
    <w:p w14:paraId="18C91A1B" w14:textId="77777777" w:rsidR="00F40176" w:rsidRPr="00072EA5" w:rsidRDefault="00F40176" w:rsidP="006E033F">
      <w:pPr>
        <w:rPr>
          <w:b/>
          <w:lang w:val="en-GB" w:eastAsia="zh-CN"/>
        </w:rPr>
      </w:pPr>
      <w:r w:rsidRPr="00072EA5">
        <w:rPr>
          <w:b/>
          <w:lang w:val="en-GB" w:eastAsia="zh-CN"/>
        </w:rPr>
        <w:t>Proposal 2: Support the following:</w:t>
      </w:r>
    </w:p>
    <w:p w14:paraId="75FB4F41" w14:textId="1A61E207" w:rsidR="00F40176" w:rsidRPr="00072EA5" w:rsidRDefault="00F40176" w:rsidP="00F40176">
      <w:pPr>
        <w:numPr>
          <w:ilvl w:val="0"/>
          <w:numId w:val="41"/>
        </w:numPr>
        <w:rPr>
          <w:b/>
          <w:lang w:val="en-GB" w:eastAsia="zh-CN"/>
        </w:rPr>
      </w:pPr>
      <w:r w:rsidRPr="00072EA5">
        <w:rPr>
          <w:b/>
          <w:lang w:val="en-GB" w:eastAsia="zh-CN"/>
        </w:rPr>
        <w:t>The RAR include</w:t>
      </w:r>
      <w:r w:rsidR="00772E39">
        <w:rPr>
          <w:b/>
          <w:lang w:val="en-GB" w:eastAsia="zh-CN"/>
        </w:rPr>
        <w:t>s an indicator for the channel access priority class</w:t>
      </w:r>
    </w:p>
    <w:p w14:paraId="6BED989A" w14:textId="77777777" w:rsidR="00101956" w:rsidRPr="00072EA5" w:rsidRDefault="00101956" w:rsidP="00101956">
      <w:pPr>
        <w:numPr>
          <w:ilvl w:val="0"/>
          <w:numId w:val="41"/>
        </w:numPr>
        <w:rPr>
          <w:b/>
          <w:lang w:val="en-GB" w:eastAsia="zh-CN"/>
        </w:rPr>
      </w:pPr>
      <w:r>
        <w:rPr>
          <w:b/>
          <w:lang w:val="en-GB" w:eastAsia="zh-CN"/>
        </w:rPr>
        <w:t xml:space="preserve">The RAR grant or the DCI assigning Msg 2 resources should include </w:t>
      </w:r>
      <w:r w:rsidRPr="00072EA5">
        <w:rPr>
          <w:b/>
          <w:lang w:val="en-GB" w:eastAsia="zh-CN"/>
        </w:rPr>
        <w:t>an indicator for the number of Msg 3 transmission opportunities granted to the UE</w:t>
      </w:r>
    </w:p>
    <w:p w14:paraId="15044AE0" w14:textId="77777777" w:rsidR="00AA4E27" w:rsidRPr="00072EA5" w:rsidRDefault="00F40176" w:rsidP="008F49C4">
      <w:pPr>
        <w:pStyle w:val="NormalWeb"/>
        <w:spacing w:before="77" w:beforeAutospacing="0" w:after="120" w:afterAutospacing="0"/>
        <w:jc w:val="both"/>
        <w:rPr>
          <w:rFonts w:ascii="Times New Roman" w:eastAsia="+mn-ea" w:hAnsi="Times New Roman" w:cs="Times New Roman"/>
          <w:b/>
          <w:bCs/>
          <w:iCs/>
          <w:color w:val="000000"/>
          <w:kern w:val="24"/>
          <w:sz w:val="22"/>
          <w:szCs w:val="20"/>
          <w:lang w:val="en-GB"/>
        </w:rPr>
      </w:pPr>
      <w:r w:rsidRPr="00072EA5">
        <w:rPr>
          <w:rFonts w:ascii="Times New Roman" w:eastAsia="+mn-ea" w:hAnsi="Times New Roman" w:cs="Times New Roman"/>
          <w:b/>
          <w:bCs/>
          <w:iCs/>
          <w:color w:val="000000"/>
          <w:kern w:val="24"/>
          <w:sz w:val="22"/>
          <w:szCs w:val="20"/>
          <w:lang w:val="en-GB"/>
        </w:rPr>
        <w:t>Proposal 3: Send an LS to RAN2 to suggest increasing the timers</w:t>
      </w:r>
      <w:r w:rsidR="00B80EB0" w:rsidRPr="00072EA5">
        <w:rPr>
          <w:rFonts w:ascii="Times New Roman" w:eastAsia="+mn-ea" w:hAnsi="Times New Roman" w:cs="Times New Roman"/>
          <w:b/>
          <w:bCs/>
          <w:iCs/>
          <w:color w:val="000000"/>
          <w:kern w:val="24"/>
          <w:sz w:val="22"/>
          <w:szCs w:val="20"/>
          <w:lang w:val="en-GB"/>
        </w:rPr>
        <w:t>/windows</w:t>
      </w:r>
      <w:r w:rsidRPr="00072EA5">
        <w:rPr>
          <w:rFonts w:ascii="Times New Roman" w:eastAsia="+mn-ea" w:hAnsi="Times New Roman" w:cs="Times New Roman"/>
          <w:b/>
          <w:bCs/>
          <w:iCs/>
          <w:color w:val="000000"/>
          <w:kern w:val="24"/>
          <w:sz w:val="22"/>
          <w:szCs w:val="20"/>
          <w:lang w:val="en-GB"/>
        </w:rPr>
        <w:t xml:space="preserve"> involved in the random access procedure </w:t>
      </w:r>
      <w:r w:rsidR="00070051">
        <w:rPr>
          <w:rFonts w:ascii="Times New Roman" w:eastAsia="+mn-ea" w:hAnsi="Times New Roman" w:cs="Times New Roman"/>
          <w:b/>
          <w:bCs/>
          <w:iCs/>
          <w:color w:val="000000"/>
          <w:kern w:val="24"/>
          <w:sz w:val="22"/>
          <w:szCs w:val="20"/>
          <w:lang w:val="en-GB"/>
        </w:rPr>
        <w:t xml:space="preserve">(e.g. </w:t>
      </w:r>
      <w:r w:rsidR="00070051" w:rsidRPr="00070051">
        <w:rPr>
          <w:rFonts w:ascii="Times New Roman" w:eastAsia="+mn-ea" w:hAnsi="Times New Roman" w:cs="Times New Roman"/>
          <w:b/>
          <w:bCs/>
          <w:iCs/>
          <w:color w:val="000000"/>
          <w:kern w:val="24"/>
          <w:sz w:val="22"/>
          <w:szCs w:val="20"/>
          <w:lang w:val="en-GB"/>
        </w:rPr>
        <w:t>ra-ContentionResolutionTimer</w:t>
      </w:r>
      <w:r w:rsidR="00070051">
        <w:rPr>
          <w:rFonts w:ascii="Times New Roman" w:eastAsia="+mn-ea" w:hAnsi="Times New Roman" w:cs="Times New Roman"/>
          <w:b/>
          <w:bCs/>
          <w:iCs/>
          <w:color w:val="000000"/>
          <w:kern w:val="24"/>
          <w:sz w:val="22"/>
          <w:szCs w:val="20"/>
          <w:lang w:val="en-GB"/>
        </w:rPr>
        <w:t>)</w:t>
      </w:r>
      <w:r w:rsidR="00070051" w:rsidRPr="00070051">
        <w:rPr>
          <w:rFonts w:ascii="Times New Roman" w:eastAsia="+mn-ea" w:hAnsi="Times New Roman" w:cs="Times New Roman"/>
          <w:b/>
          <w:bCs/>
          <w:iCs/>
          <w:color w:val="000000"/>
          <w:kern w:val="24"/>
          <w:sz w:val="22"/>
          <w:szCs w:val="20"/>
          <w:lang w:val="en-GB"/>
        </w:rPr>
        <w:t xml:space="preserve"> </w:t>
      </w:r>
      <w:r w:rsidRPr="00072EA5">
        <w:rPr>
          <w:rFonts w:ascii="Times New Roman" w:eastAsia="+mn-ea" w:hAnsi="Times New Roman" w:cs="Times New Roman"/>
          <w:b/>
          <w:bCs/>
          <w:iCs/>
          <w:color w:val="000000"/>
          <w:kern w:val="24"/>
          <w:sz w:val="22"/>
          <w:szCs w:val="20"/>
          <w:lang w:val="en-GB"/>
        </w:rPr>
        <w:t>to compensate for channel access restrictions.</w:t>
      </w:r>
    </w:p>
    <w:p w14:paraId="60B941D3" w14:textId="77777777" w:rsidR="00070051" w:rsidRDefault="00070051" w:rsidP="00070051">
      <w:pPr>
        <w:pStyle w:val="Heading2"/>
        <w:rPr>
          <w:lang w:val="en-GB" w:eastAsia="zh-CN"/>
        </w:rPr>
      </w:pPr>
      <w:r>
        <w:rPr>
          <w:lang w:val="en-GB" w:eastAsia="zh-CN"/>
        </w:rPr>
        <w:t>Msg 4</w:t>
      </w:r>
    </w:p>
    <w:p w14:paraId="3E1F1C4F" w14:textId="77777777" w:rsidR="00070051" w:rsidRPr="00070051" w:rsidRDefault="00070051" w:rsidP="00070051">
      <w:pPr>
        <w:rPr>
          <w:lang w:val="en-GB" w:eastAsia="zh-CN"/>
        </w:rPr>
      </w:pPr>
      <w:r>
        <w:rPr>
          <w:lang w:val="en-GB" w:eastAsia="zh-CN"/>
        </w:rPr>
        <w:t>Msg 4 can be seen as a PDCCH transmission by the gNB carrying generally a regular resource indication. As such, for channel access purposes it should be treated like any other such resource indication (plus data transmission).</w:t>
      </w:r>
    </w:p>
    <w:p w14:paraId="4A8DE8AD" w14:textId="77777777" w:rsidR="00C51666" w:rsidRPr="00072EA5" w:rsidRDefault="00C51666" w:rsidP="00C51666">
      <w:pPr>
        <w:pStyle w:val="Heading2"/>
        <w:rPr>
          <w:lang w:val="en-GB" w:eastAsia="zh-CN"/>
        </w:rPr>
      </w:pPr>
      <w:r w:rsidRPr="00072EA5">
        <w:rPr>
          <w:lang w:val="en-GB" w:eastAsia="zh-CN"/>
        </w:rPr>
        <w:t>Contention Window Adjustments due to random access procedure transmissions</w:t>
      </w:r>
    </w:p>
    <w:p w14:paraId="412416DB" w14:textId="77777777" w:rsidR="00C51666" w:rsidRPr="00072EA5" w:rsidRDefault="00C51666" w:rsidP="00C51666">
      <w:pPr>
        <w:rPr>
          <w:lang w:val="en-GB" w:eastAsia="zh-CN"/>
        </w:rPr>
      </w:pPr>
      <w:r w:rsidRPr="00072EA5">
        <w:rPr>
          <w:lang w:val="en-GB" w:eastAsia="zh-CN"/>
        </w:rPr>
        <w:t>In LTE LAA, the contention window value is adjusted as a result of the successful/unsuccessful transmission status of TB(s) in a reference subframe, based e.g. on the received NDI in the DCI. At least for Msg 2 and Msg 3 however, there is no NDI included or applicable. Therefore we think that the contention window adjustment procedures need to be extended to include Msg 2 and Msg 3 transmissions.</w:t>
      </w:r>
    </w:p>
    <w:p w14:paraId="208D9984" w14:textId="77777777" w:rsidR="00C51666" w:rsidRDefault="00C51666" w:rsidP="00C51666">
      <w:pPr>
        <w:rPr>
          <w:b/>
          <w:lang w:val="en-GB" w:eastAsia="zh-CN"/>
        </w:rPr>
      </w:pPr>
      <w:r w:rsidRPr="00072EA5">
        <w:rPr>
          <w:b/>
          <w:lang w:val="en-GB" w:eastAsia="zh-CN"/>
        </w:rPr>
        <w:t>Proposal 4: Contention Window Adjustment procedures need to be extended to include at least successful/unsuccessful Msg 2 and Msg 3 transmissions of the random access procedure.</w:t>
      </w:r>
    </w:p>
    <w:p w14:paraId="73471B24" w14:textId="77777777" w:rsidR="00EA5965" w:rsidRPr="00072EA5" w:rsidRDefault="00EA5965" w:rsidP="00EA5965">
      <w:pPr>
        <w:pStyle w:val="Heading2"/>
        <w:rPr>
          <w:lang w:val="en-GB" w:eastAsia="zh-CN"/>
        </w:rPr>
      </w:pPr>
      <w:r w:rsidRPr="00072EA5">
        <w:rPr>
          <w:lang w:val="en-GB" w:eastAsia="zh-CN"/>
        </w:rPr>
        <w:lastRenderedPageBreak/>
        <w:t xml:space="preserve">Contention Window Adjustments </w:t>
      </w:r>
      <w:r>
        <w:rPr>
          <w:lang w:val="en-GB" w:eastAsia="zh-CN"/>
        </w:rPr>
        <w:t>for wideband transmissions</w:t>
      </w:r>
    </w:p>
    <w:p w14:paraId="09E92B25" w14:textId="2FB7FA88" w:rsidR="00EA5965" w:rsidRDefault="00EA5965" w:rsidP="00EA5965">
      <w:r>
        <w:t xml:space="preserve">Considering that LBT may be </w:t>
      </w:r>
      <w:r w:rsidRPr="00113B5C" w:rsidDel="00E80E78">
        <w:t>performed</w:t>
      </w:r>
      <w:r w:rsidDel="00E80E78">
        <w:t xml:space="preserve"> in units of 20 MHz</w:t>
      </w:r>
      <w:r>
        <w:t xml:space="preserve"> at least on 5GHz, it is preferred to maintain the CWS per subband of the wideband carrier</w:t>
      </w:r>
      <w:r w:rsidDel="00E80E78">
        <w:t>.</w:t>
      </w:r>
      <w:r>
        <w:t xml:space="preserve"> If CBG-ACK is used for a wideband transmission, it would be easiest for CW adjustments </w:t>
      </w:r>
      <w:r w:rsidR="00802050">
        <w:t xml:space="preserve">if </w:t>
      </w:r>
      <w:r>
        <w:t xml:space="preserve">one subband includes complete code blocks, since then the corresponding CBG-ACKs can be used directly. </w:t>
      </w:r>
      <w:r>
        <w:rPr>
          <w:rFonts w:hint="eastAsia"/>
          <w:lang w:eastAsia="zh-CN"/>
        </w:rPr>
        <w:t>However,</w:t>
      </w:r>
      <w:r>
        <w:t xml:space="preserve"> if only HARQ-ACK for a wideband TB</w:t>
      </w:r>
      <w:r w:rsidR="00802050">
        <w:t xml:space="preserve"> (wideband TB-ACK)</w:t>
      </w:r>
      <w:r>
        <w:t xml:space="preserve"> is available, </w:t>
      </w:r>
      <w:r w:rsidR="00802050">
        <w:t>it is not straight-forward</w:t>
      </w:r>
      <w:r>
        <w:t xml:space="preserve"> how to </w:t>
      </w:r>
      <w:r w:rsidR="00802050">
        <w:t xml:space="preserve">accurately </w:t>
      </w:r>
      <w:r>
        <w:t xml:space="preserve">reflect TB-level ACK/NACK for subband CW adjustments. One specific issue arises if one or more of the subbands </w:t>
      </w:r>
      <w:r w:rsidR="00802050">
        <w:t xml:space="preserve">were </w:t>
      </w:r>
      <w:r>
        <w:t>not available for transmission due to LBT if only TB-ACK is available; in such a case, due to puncturing of the unavailable subbands, the feedback for the TB is likely NACK even though no collision may have occurred on any of the transmitted subbands. This issue needs to be addressed for subband CW adjustments.</w:t>
      </w:r>
    </w:p>
    <w:p w14:paraId="5128CFAE" w14:textId="1E0BF353" w:rsidR="00EA5965" w:rsidRDefault="00EA5965" w:rsidP="00EA5965">
      <w:r>
        <w:t xml:space="preserve">Since LTE-LAA already includes a </w:t>
      </w:r>
      <w:r w:rsidR="00802050">
        <w:t xml:space="preserve">threshold </w:t>
      </w:r>
      <w:r>
        <w:t xml:space="preserve">of </w:t>
      </w:r>
      <w:r w:rsidR="00802050">
        <w:t>80% NACK</w:t>
      </w:r>
      <w:r>
        <w:t xml:space="preserve"> feedback </w:t>
      </w:r>
      <w:r w:rsidR="00802050">
        <w:t xml:space="preserve">ratio </w:t>
      </w:r>
      <w:r>
        <w:t>for CW adjustment aspects</w:t>
      </w:r>
      <w:r w:rsidR="001B448E">
        <w:t>, we think it is most useful to extend this approach for subband CW adjustments. For example, a TB-level NACK for a subband should be counted with less weight than a CBG-level NACK received for a transmission on the subband, since the TB-level NACK could be the result of LBT failures on any of the other subbands where the same TB was mapped.</w:t>
      </w:r>
    </w:p>
    <w:p w14:paraId="7CFBA0A2" w14:textId="77777777" w:rsidR="00802050" w:rsidRPr="00802050" w:rsidRDefault="00802050" w:rsidP="00802050">
      <w:r w:rsidRPr="00802050">
        <w:rPr>
          <w:rFonts w:hint="eastAsia"/>
        </w:rPr>
        <w:t>Let</w:t>
      </w:r>
      <w:r w:rsidRPr="00802050">
        <w:t xml:space="preserve">’s take the downlink case shown </w:t>
      </w:r>
      <w:r w:rsidRPr="00802050">
        <w:rPr>
          <w:rFonts w:hint="eastAsia"/>
        </w:rPr>
        <w:t>in</w:t>
      </w:r>
      <w:r w:rsidRPr="00802050">
        <w:t xml:space="preserve"> </w:t>
      </w:r>
      <w:r w:rsidRPr="00802050">
        <w:rPr>
          <w:rFonts w:hint="eastAsia"/>
        </w:rPr>
        <w:t>the</w:t>
      </w:r>
      <w:r w:rsidRPr="00802050">
        <w:t xml:space="preserve"> </w:t>
      </w:r>
      <w:r w:rsidRPr="00802050">
        <w:rPr>
          <w:rFonts w:hint="eastAsia"/>
        </w:rPr>
        <w:t>Fig</w:t>
      </w:r>
      <w:r w:rsidRPr="00802050">
        <w:t>.1 for example, assuming that:</w:t>
      </w:r>
    </w:p>
    <w:p w14:paraId="5C4E579E" w14:textId="77A66D6B" w:rsidR="00802050" w:rsidRPr="00802050" w:rsidRDefault="00802050" w:rsidP="00802050">
      <w:pPr>
        <w:numPr>
          <w:ilvl w:val="0"/>
          <w:numId w:val="42"/>
        </w:numPr>
        <w:rPr>
          <w:lang w:val="x-none"/>
        </w:rPr>
      </w:pPr>
      <w:r w:rsidRPr="00802050">
        <w:rPr>
          <w:lang w:val="x-none"/>
        </w:rPr>
        <w:t xml:space="preserve">due to LBT failure on subband 1, </w:t>
      </w:r>
      <w:bookmarkStart w:id="1" w:name="OLE_LINK1"/>
      <w:r w:rsidRPr="00802050">
        <w:rPr>
          <w:lang w:val="x-none"/>
        </w:rPr>
        <w:t>the HARQ-ACK corresponding to</w:t>
      </w:r>
      <w:bookmarkEnd w:id="1"/>
      <w:r w:rsidRPr="00802050">
        <w:rPr>
          <w:lang w:val="x-none"/>
        </w:rPr>
        <w:t xml:space="preserve"> UE1-TB, UE2-TB, UE3-TB, UE4-TB is NACK</w:t>
      </w:r>
      <w:r>
        <w:rPr>
          <w:lang w:val="en-GB"/>
        </w:rPr>
        <w:t>;</w:t>
      </w:r>
    </w:p>
    <w:p w14:paraId="44843079" w14:textId="46C090B1" w:rsidR="00802050" w:rsidRPr="00802050" w:rsidRDefault="00802050" w:rsidP="00802050">
      <w:pPr>
        <w:numPr>
          <w:ilvl w:val="0"/>
          <w:numId w:val="42"/>
        </w:numPr>
        <w:rPr>
          <w:lang w:val="x-none"/>
        </w:rPr>
      </w:pPr>
      <w:r w:rsidRPr="00802050">
        <w:rPr>
          <w:lang w:val="x-none"/>
        </w:rPr>
        <w:t>the HARQ-ACK corresponding to UE0-CBG0 is ACK</w:t>
      </w:r>
      <w:r w:rsidRPr="00802050">
        <w:rPr>
          <w:lang w:val="en-GB"/>
        </w:rPr>
        <w:t xml:space="preserve"> (and for UE0-CBG1 is NACK)</w:t>
      </w:r>
      <w:r>
        <w:rPr>
          <w:lang w:val="en-GB"/>
        </w:rPr>
        <w:t>.</w:t>
      </w:r>
    </w:p>
    <w:p w14:paraId="4A6590E2" w14:textId="6C7674BC" w:rsidR="00802050" w:rsidRDefault="0085092D" w:rsidP="00802050">
      <w:pPr>
        <w:ind w:left="415"/>
        <w:jc w:val="center"/>
      </w:pPr>
      <w:r>
        <w:rPr>
          <w:noProof/>
          <w:lang w:val="en-GB" w:eastAsia="en-GB"/>
        </w:rPr>
        <w:pict w14:anchorId="646E0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20.85pt;height:301.3pt;visibility:visible;mso-wrap-style:square">
            <v:imagedata r:id="rId8" o:title=""/>
          </v:shape>
        </w:pict>
      </w:r>
    </w:p>
    <w:p w14:paraId="35740B63" w14:textId="77777777" w:rsidR="00802050" w:rsidRDefault="00802050" w:rsidP="00802050">
      <w:pPr>
        <w:ind w:left="415"/>
        <w:jc w:val="center"/>
        <w:rPr>
          <w:lang w:eastAsia="zh-CN"/>
        </w:rPr>
      </w:pPr>
      <w:r>
        <w:rPr>
          <w:rFonts w:hint="eastAsia"/>
          <w:lang w:eastAsia="zh-CN"/>
        </w:rPr>
        <w:t>F</w:t>
      </w:r>
      <w:r>
        <w:rPr>
          <w:lang w:eastAsia="zh-CN"/>
        </w:rPr>
        <w:t>ig. 1</w:t>
      </w:r>
    </w:p>
    <w:p w14:paraId="1E447743" w14:textId="77777777" w:rsidR="00802050" w:rsidRPr="00802050" w:rsidRDefault="00802050" w:rsidP="00802050"/>
    <w:p w14:paraId="3304DA25" w14:textId="77777777" w:rsidR="00802050" w:rsidRPr="00802050" w:rsidRDefault="00802050" w:rsidP="00802050">
      <w:r w:rsidRPr="00802050">
        <w:t>Applying the LTE LAA CWS adjustment approach directly, we get:</w:t>
      </w:r>
    </w:p>
    <w:p w14:paraId="469D8735" w14:textId="77777777" w:rsidR="00802050" w:rsidRDefault="00802050" w:rsidP="00802050">
      <w:pPr>
        <w:ind w:left="425"/>
      </w:pPr>
      <w:r>
        <w:t xml:space="preserve">Case </w:t>
      </w:r>
      <w:r w:rsidRPr="00802050">
        <w:t xml:space="preserve">1-0: </w:t>
      </w:r>
      <w:r w:rsidRPr="00802050">
        <w:rPr>
          <w:rFonts w:hint="eastAsia"/>
        </w:rPr>
        <w:t xml:space="preserve">For </w:t>
      </w:r>
      <w:r w:rsidRPr="00802050">
        <w:t>subband 0 with CWS0, the NACK ratio can be calculated as</w:t>
      </w:r>
    </w:p>
    <w:p w14:paraId="5C318D9D" w14:textId="4DAB7B14" w:rsidR="00802050" w:rsidRPr="00802050" w:rsidRDefault="0085092D" w:rsidP="00802050">
      <w:pPr>
        <w:ind w:left="425" w:firstLine="425"/>
      </w:pPr>
      <w:r>
        <w:pict w14:anchorId="66869693">
          <v:shape id="_x0000_i1026" type="#_x0000_t75" style="width:119.55pt;height:24.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3869&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Pr=&quot;00493869&quot; wsp:rsidRDefault=&quot;00493869&quot; wsp:rsidP=&quot;00493869&quot;&gt;&lt;m:oMathPara&gt;&lt;m:oMath&gt;&lt;m:f&gt;&lt;m:fPr&gt;&lt;m:ctrlPr&gt;&lt;aml:annotation aml:id=&quot;0&quot; w:type=&quot;Word.Insertion&quot; aml:author=&quot;Alexander Golitschek&quot; aml:createdate=&quot;2019-08-14T11:58:00Z&quot;&gt;&lt;aml:content&gt;&lt;w:rPr&gt;&lt;w:rFonts w:ascii=&quot;Cambria Math&quot; w:h-ansi=&quot;Cambria Math&quot;/&gt;&lt;wx:font wx:val=&quot;Cambria Math&quot;/&gt;&lt;/w:rPr&gt;&lt;/aml:content&gt;&lt;/aml:annotation&gt;&lt;/m:ctrlPr&gt;&lt;/m:fPr&gt;&lt;m:num&gt;&lt;m:r&gt;&lt;aml:annotation aml:id=&quot;1&quot; w:type=&quot;Word.Insertion&quot; aml:author=&quot;Alexander Golitschek&quot; aml:createdate=&quot;2019-08-14T11:58:00Z&quot;&gt;&lt;aml:content&gt;&lt;w:rPr&gt;&lt;w:rFonts w:ascii=&quot;Cambria Math&quot; w:h-ansi=&quot;Cambria Math&quot;/&gt;&lt;wx:font wx:val=&quot;Cambria Math&quot;/&gt;&lt;w:i/&gt;&lt;/w:rPr&gt;&lt;m:t&gt;1+1+1+1&lt;/m:t&gt;&lt;/aml:content&gt;&lt;/aml:annotation&gt;&lt;/m:r&gt;&lt;/m:num&gt;&lt;m:den&gt;&lt;m:r&gt;&lt;aml:annotation aml:id=&quot;2&quot; w:type=&quot;Word.Insertion&quot; aml:author=&quot;Alexander Golitschek&quot; aml:createdate=&quot;2019-08-14T11:58:00Z&quot;&gt;&lt;aml:content&gt;&lt;w:rPr&gt;&lt;w:rFonts w:ascii=&quot;Cambria Math&quot; w:h-ansi=&quot;Cambria Math&quot;/&gt;&lt;wx:font wx:val=&quot;Cambria Math&quot;/&gt;&lt;w:i/&gt;&lt;/w:rPr&gt;&lt;m:t&gt;1+1+1+1+1&lt;/m:t&gt;&lt;/aml:content&gt;&lt;/aml:annotation&gt;&lt;/m:r&gt;&lt;/m:den&gt;&lt;/m:f&gt;&lt;m:r&gt;&lt;aml:annotation aml:id=&quot;3&quot; w:type=&quot;Word.Insertion&quot; aml:author=&quot;Alexander Golitschek&quot; aml:createdate=&quot;2019-08-14T11:58:00Z&quot;&gt;&lt;aml:content&gt;&lt;w:rPr&gt;&lt;w:rFonts w:ascii=&quot;Cambria Math&quot; w:h-ansi=&quot;Cambria Math&quot;/&gt;&lt;wx:font wx:val=&quot;Cambria Math&quot;/&gt;&lt;w:i/&gt;&lt;/w:rPr&gt;&lt;m:t&gt;=80%&lt;/m:t&gt;&lt;/aml:content&gt;&lt;/aml:annotation&gt;&lt;/m:r&gt;&lt;/m:oMath&gt;&lt;/m:oMathPara&gt;&lt;/w:p&gt;&lt;w:sectPr wsp:rsidR=&quot;00000000&quot; wsp:rsidRPr=&quot;00493869&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14:paraId="7412A782" w14:textId="6D2F610F" w:rsidR="00802050" w:rsidRPr="00802050" w:rsidRDefault="00802050" w:rsidP="00802050">
      <w:pPr>
        <w:ind w:left="425"/>
      </w:pPr>
    </w:p>
    <w:p w14:paraId="0AB12083" w14:textId="54D82D2A" w:rsidR="00802050" w:rsidRDefault="00802050" w:rsidP="00802050">
      <w:pPr>
        <w:ind w:left="425"/>
      </w:pPr>
      <w:r>
        <w:t xml:space="preserve">Case </w:t>
      </w:r>
      <w:r w:rsidRPr="00802050">
        <w:t>1-1</w:t>
      </w:r>
      <w:r w:rsidRPr="00802050">
        <w:rPr>
          <w:rFonts w:hint="eastAsia"/>
        </w:rPr>
        <w:t>:</w:t>
      </w:r>
      <w:r w:rsidRPr="00802050">
        <w:t xml:space="preserve"> </w:t>
      </w:r>
      <w:r w:rsidRPr="00802050">
        <w:rPr>
          <w:rFonts w:hint="eastAsia"/>
        </w:rPr>
        <w:t>For subband 1, the CWS</w:t>
      </w:r>
      <w:r w:rsidRPr="00802050">
        <w:t xml:space="preserve">1 </w:t>
      </w:r>
      <w:r w:rsidRPr="00802050">
        <w:rPr>
          <w:rFonts w:hint="eastAsia"/>
        </w:rPr>
        <w:t xml:space="preserve">will not </w:t>
      </w:r>
      <w:r w:rsidRPr="00802050">
        <w:t xml:space="preserve">be </w:t>
      </w:r>
      <w:r w:rsidRPr="00802050">
        <w:rPr>
          <w:rFonts w:hint="eastAsia"/>
        </w:rPr>
        <w:t>adjust</w:t>
      </w:r>
      <w:r w:rsidRPr="00802050">
        <w:t>ed</w:t>
      </w:r>
      <w:r w:rsidRPr="00802050">
        <w:rPr>
          <w:rFonts w:hint="eastAsia"/>
        </w:rPr>
        <w:t xml:space="preserve"> </w:t>
      </w:r>
      <w:r w:rsidRPr="00802050">
        <w:t>since there was</w:t>
      </w:r>
      <w:r w:rsidRPr="00802050">
        <w:rPr>
          <w:rFonts w:hint="eastAsia"/>
        </w:rPr>
        <w:t xml:space="preserve"> </w:t>
      </w:r>
      <w:r w:rsidRPr="00802050">
        <w:t>no transmission (</w:t>
      </w:r>
      <w:r w:rsidRPr="00802050">
        <w:rPr>
          <w:rFonts w:hint="eastAsia"/>
        </w:rPr>
        <w:t>unsuccessful LBT</w:t>
      </w:r>
      <w:r w:rsidRPr="00802050">
        <w:t>)</w:t>
      </w:r>
      <w:r>
        <w:t>.</w:t>
      </w:r>
    </w:p>
    <w:p w14:paraId="0449964D" w14:textId="77777777" w:rsidR="00802050" w:rsidRPr="00802050" w:rsidRDefault="00802050" w:rsidP="00802050"/>
    <w:p w14:paraId="483905D9" w14:textId="02981837" w:rsidR="00802050" w:rsidRPr="00802050" w:rsidRDefault="00802050" w:rsidP="00802050">
      <w:pPr>
        <w:rPr>
          <w:lang w:val="en-GB"/>
        </w:rPr>
      </w:pPr>
      <w:r>
        <w:t>Thus, t</w:t>
      </w:r>
      <w:r w:rsidRPr="00802050">
        <w:t>he gNB need</w:t>
      </w:r>
      <w:r>
        <w:t>s</w:t>
      </w:r>
      <w:r w:rsidRPr="00802050">
        <w:t xml:space="preserve"> to increase CWS0 to the next higher allowed value. </w:t>
      </w:r>
      <w:r w:rsidRPr="00802050">
        <w:rPr>
          <w:rFonts w:hint="eastAsia"/>
        </w:rPr>
        <w:t xml:space="preserve">Obviously, </w:t>
      </w:r>
      <w:r w:rsidRPr="00802050">
        <w:t xml:space="preserve">the result of 1-0 may be imprecise, because the TB-level NACK from UE1, UE2, UE3 and UE4, resulting from the LBT failure on subband 1, taint the NACK ratio of related subbands. However, as there was no collision on subband 0,  CWS0 could have been </w:t>
      </w:r>
      <w:r>
        <w:t>re</w:t>
      </w:r>
      <w:r w:rsidRPr="00802050">
        <w:t xml:space="preserve">set to </w:t>
      </w:r>
      <w:r w:rsidRPr="00802050">
        <w:fldChar w:fldCharType="begin"/>
      </w:r>
      <w:r w:rsidRPr="00802050">
        <w:instrText xml:space="preserve"> QUOTE </w:instrText>
      </w:r>
      <w:r w:rsidR="0085092D">
        <w:pict w14:anchorId="506348EF">
          <v:shape id="_x0000_i1027" type="#_x0000_t75" style="width:38.15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0F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EB30F8&quot; wsp:rsidP=&quot;00EB30F8&quot;&gt;&lt;m:oMathPara&gt;&lt;m:oMath&gt;&lt;m:sSub&gt;&lt;m:sSubPr&gt;&lt;m:ctrlPr&gt;&lt;aml:annotation aml:id=&quot;0&quot; w:type=&quot;Word.Insertion&quot; aml:author=&quot;Alexander Golitschek&quot; aml:createdate=&quot;2019-08-14T11:58:00Z&quot;&gt;&lt;aml:content&gt;&lt;w:rPr&gt;&lt;w:rFonts w:ascii=&quot;Cambria Math&quot; w:h-ansi=&quot;Cambria Math&quot;/&gt;&lt;wx:font wx:val=&quot;Cambria Math&quot;/&gt;&lt;/w:rPr&gt;&lt;/aml:content&gt;&lt;/aml:annotation&gt;&lt;/m:ctrlPr&gt;&lt;/m:sSubPr&gt;&lt;m:e&gt;&lt;m:r&gt;&lt;aml:annotation aml:id=&quot;1&quot; w:type=&quot;Word.Insertion&quot; aml:author=&quot;Alexander Golitschek&quot; aml:createdate=&quot;2019-08-14T11:58:00Z&quot;&gt;&lt;aml:content&gt;&lt;w:rPr&gt;&lt;w:rFonts w:ascii=&quot;Cambria Math&quot; w:h-ansi=&quot;Cambria Math&quot;/&gt;&lt;wx:font wx:val=&quot;Cambria Math&quot;/&gt;&lt;w:i/&gt;&lt;/w:rPr&gt;&lt;m:t&gt;CW&lt;/m:t&gt;&lt;/aml:content&gt;&lt;/aml:annotation&gt;&lt;/m:r&gt;&lt;/m:e&gt;&lt;m:sub&gt;&lt;m:r&gt;&lt;aml:annotation aml:id=&quot;2&quot; w:type=&quot;Word.Insertion&quot; aml:author=&quot;Alexander Golitschek&quot; aml:createdate=&quot;2019-08-14T11:58:00Z&quot;&gt;&lt;aml:content&gt;&lt;w:rPr&gt;&lt;w:rFonts w:ascii=&quot;Cambria Math&quot; w:h-ansi=&quot;Cambria Math&quot;/&gt;&lt;wx:font wx:val=&quot;Cambria Math&quot;/&gt;&lt;w:i/&gt;&lt;/w:rPr&gt;&lt;m:t&gt;min,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02050">
        <w:instrText xml:space="preserve"> </w:instrText>
      </w:r>
      <w:r w:rsidRPr="00802050">
        <w:fldChar w:fldCharType="separate"/>
      </w:r>
      <w:r w:rsidR="0085092D">
        <w:pict w14:anchorId="60D3175A">
          <v:shape id="_x0000_i1028" type="#_x0000_t75" style="width:38.15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0F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EB30F8&quot; wsp:rsidP=&quot;00EB30F8&quot;&gt;&lt;m:oMathPara&gt;&lt;m:oMath&gt;&lt;m:sSub&gt;&lt;m:sSubPr&gt;&lt;m:ctrlPr&gt;&lt;aml:annotation aml:id=&quot;0&quot; w:type=&quot;Word.Insertion&quot; aml:author=&quot;Alexander Golitschek&quot; aml:createdate=&quot;2019-08-14T11:58:00Z&quot;&gt;&lt;aml:content&gt;&lt;w:rPr&gt;&lt;w:rFonts w:ascii=&quot;Cambria Math&quot; w:h-ansi=&quot;Cambria Math&quot;/&gt;&lt;wx:font wx:val=&quot;Cambria Math&quot;/&gt;&lt;/w:rPr&gt;&lt;/aml:content&gt;&lt;/aml:annotation&gt;&lt;/m:ctrlPr&gt;&lt;/m:sSubPr&gt;&lt;m:e&gt;&lt;m:r&gt;&lt;aml:annotation aml:id=&quot;1&quot; w:type=&quot;Word.Insertion&quot; aml:author=&quot;Alexander Golitschek&quot; aml:createdate=&quot;2019-08-14T11:58:00Z&quot;&gt;&lt;aml:content&gt;&lt;w:rPr&gt;&lt;w:rFonts w:ascii=&quot;Cambria Math&quot; w:h-ansi=&quot;Cambria Math&quot;/&gt;&lt;wx:font wx:val=&quot;Cambria Math&quot;/&gt;&lt;w:i/&gt;&lt;/w:rPr&gt;&lt;m:t&gt;CW&lt;/m:t&gt;&lt;/aml:content&gt;&lt;/aml:annotation&gt;&lt;/m:r&gt;&lt;/m:e&gt;&lt;m:sub&gt;&lt;m:r&gt;&lt;aml:annotation aml:id=&quot;2&quot; w:type=&quot;Word.Insertion&quot; aml:author=&quot;Alexander Golitschek&quot; aml:createdate=&quot;2019-08-14T11:58:00Z&quot;&gt;&lt;aml:content&gt;&lt;w:rPr&gt;&lt;w:rFonts w:ascii=&quot;Cambria Math&quot; w:h-ansi=&quot;Cambria Math&quot;/&gt;&lt;wx:font wx:val=&quot;Cambria Math&quot;/&gt;&lt;w:i/&gt;&lt;/w:rPr&gt;&lt;m:t&gt;min,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02050">
        <w:fldChar w:fldCharType="end"/>
      </w:r>
      <w:r w:rsidRPr="00802050">
        <w:t>.</w:t>
      </w:r>
    </w:p>
    <w:p w14:paraId="4EA241E1" w14:textId="612C5F0C" w:rsidR="00802050" w:rsidRDefault="00802050" w:rsidP="00802050">
      <w:pPr>
        <w:rPr>
          <w:lang w:val="en-GB"/>
        </w:rPr>
      </w:pPr>
      <w:r w:rsidRPr="00802050">
        <w:t xml:space="preserve">In order to improve the CWS adjustment rule per subband, for a wideband TB-ACK, </w:t>
      </w:r>
      <w:r w:rsidRPr="00802050">
        <w:rPr>
          <w:lang w:val="en-GB"/>
        </w:rPr>
        <w:t>a</w:t>
      </w:r>
      <w:r w:rsidRPr="00802050">
        <w:t xml:space="preserve"> scaling factor </w:t>
      </w:r>
      <w:r w:rsidRPr="00802050">
        <w:fldChar w:fldCharType="begin"/>
      </w:r>
      <w:r w:rsidRPr="00802050">
        <w:instrText xml:space="preserve"> QUOTE </w:instrText>
      </w:r>
      <w:r w:rsidR="0085092D">
        <w:pict w14:anchorId="6F04A12A">
          <v:shape id="_x0000_i1029" type="#_x0000_t75" style="width:6.4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1826&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161826&quot; wsp:rsidP=&quot;00161826&quot;&gt;&lt;m:oMathPara&gt;&lt;m:oMath&gt;&lt;m:r&gt;&lt;aml:annotation aml:id=&quot;0&quot; w:type=&quot;Word.Insertion&quot; aml:author=&quot;Alexander Golitschek&quot; aml:createdate=&quot;2019-08-14T11:58:00Z&quot;&gt;&lt;aml:content&gt;&lt;m:rPr&gt;&lt;m:sty m:val=&quot;p&quot;/&gt;&lt;/m:rPr&gt;&lt;w:rPr&gt;&lt;w:rFonts w:ascii=&quot;Cambria Math&quot; w:h-ansi=&quot;Cambria Math&quot;/&gt;&lt;wx:font wx:val=&quot;Cambria Math&quot;/&gt;&lt;/w:rPr&gt;&lt;m:t&gt;Î±&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02050">
        <w:instrText xml:space="preserve"> </w:instrText>
      </w:r>
      <w:r w:rsidRPr="00802050">
        <w:fldChar w:fldCharType="separate"/>
      </w:r>
      <w:r w:rsidR="00EC0AD1">
        <w:pict w14:anchorId="4C1D2CC6">
          <v:shape id="_x0000_i1030" type="#_x0000_t75" style="width:6.4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1826&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161826&quot; wsp:rsidP=&quot;00161826&quot;&gt;&lt;m:oMathPara&gt;&lt;m:oMath&gt;&lt;m:r&gt;&lt;aml:annotation aml:id=&quot;0&quot; w:type=&quot;Word.Insertion&quot; aml:author=&quot;Alexander Golitschek&quot; aml:createdate=&quot;2019-08-14T11:58:00Z&quot;&gt;&lt;aml:content&gt;&lt;m:rPr&gt;&lt;m:sty m:val=&quot;p&quot;/&gt;&lt;/m:rPr&gt;&lt;w:rPr&gt;&lt;w:rFonts w:ascii=&quot;Cambria Math&quot; w:h-ansi=&quot;Cambria Math&quot;/&gt;&lt;wx:font wx:val=&quot;Cambria Math&quot;/&gt;&lt;/w:rPr&gt;&lt;m:t&gt;Î±&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02050">
        <w:fldChar w:fldCharType="end"/>
      </w:r>
      <w:r w:rsidRPr="00802050">
        <w:t xml:space="preserve"> can be applied when we calculate the NACK ratio of the feedbacks for a subband, where </w:t>
      </w:r>
      <w:r w:rsidRPr="00802050">
        <w:fldChar w:fldCharType="begin"/>
      </w:r>
      <w:r w:rsidRPr="00802050">
        <w:instrText xml:space="preserve"> QUOTE </w:instrText>
      </w:r>
      <w:r w:rsidR="0085092D">
        <w:pict w14:anchorId="5B44B466">
          <v:shape id="_x0000_i1031" type="#_x0000_t75" style="width:41.55pt;height:1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5DB&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EF75DB&quot; wsp:rsidP=&quot;00EF75DB&quot;&gt;&lt;m:oMathPara&gt;&lt;m:oMath&gt;&lt;m:r&gt;&lt;aml:annotation aml:id=&quot;0&quot; w:type=&quot;Word.Insertion&quot; aml:author=&quot;Alexander Golitschek&quot; aml:createdate=&quot;2019-08-14T11:58:00Z&quot;&gt;&lt;aml:content&gt;&lt;m:rPr&gt;&lt;m:sty m:val=&quot;p&quot;/&gt;&lt;/m:rPr&gt;&lt;w:rPr&gt;&lt;w:rFonts w:ascii=&quot;Cambria Math&quot; w:h-ansi=&quot;Cambria Math&quot;/&gt;&lt;wx:font wx:val=&quot;Cambria Math&quot;/&gt;&lt;/w:rPr&gt;&lt;m:t&gt;Î±âˆˆ[0,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02050">
        <w:instrText xml:space="preserve"> </w:instrText>
      </w:r>
      <w:r w:rsidRPr="00802050">
        <w:fldChar w:fldCharType="separate"/>
      </w:r>
      <w:r w:rsidR="00EC0AD1">
        <w:pict w14:anchorId="153255E5">
          <v:shape id="_x0000_i1032" type="#_x0000_t75" style="width:41.55pt;height:1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5DB&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EF75DB&quot; wsp:rsidP=&quot;00EF75DB&quot;&gt;&lt;m:oMathPara&gt;&lt;m:oMath&gt;&lt;m:r&gt;&lt;aml:annotation aml:id=&quot;0&quot; w:type=&quot;Word.Insertion&quot; aml:author=&quot;Alexander Golitschek&quot; aml:createdate=&quot;2019-08-14T11:58:00Z&quot;&gt;&lt;aml:content&gt;&lt;m:rPr&gt;&lt;m:sty m:val=&quot;p&quot;/&gt;&lt;/m:rPr&gt;&lt;w:rPr&gt;&lt;w:rFonts w:ascii=&quot;Cambria Math&quot; w:h-ansi=&quot;Cambria Math&quot;/&gt;&lt;wx:font wx:val=&quot;Cambria Math&quot;/&gt;&lt;/w:rPr&gt;&lt;m:t&gt;Î±âˆˆ[0,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02050">
        <w:fldChar w:fldCharType="end"/>
      </w:r>
      <w:r w:rsidRPr="00802050">
        <w:t xml:space="preserve">. For obtaining the NACK ratio for a subband, the scaling factor will be accounted for in the numerator as well as in the denominator. This guarantees that the NACK ratio is still 100% if all TB/CBG on the subband return NACK. </w:t>
      </w:r>
      <w:r w:rsidRPr="00802050">
        <w:rPr>
          <w:rFonts w:hint="eastAsia"/>
        </w:rPr>
        <w:t>By means of the scaling</w:t>
      </w:r>
      <w:r w:rsidRPr="00802050">
        <w:t xml:space="preserve"> factor,</w:t>
      </w:r>
      <w:r w:rsidRPr="00802050">
        <w:rPr>
          <w:lang w:val="en-GB"/>
        </w:rPr>
        <w:t xml:space="preserve"> the wideband TB-ACK will not affect the result of feedback ratio calculation as much as the CBG-ACKs that are </w:t>
      </w:r>
      <w:r>
        <w:rPr>
          <w:lang w:val="en-GB"/>
        </w:rPr>
        <w:t>accurately</w:t>
      </w:r>
      <w:r w:rsidRPr="00802050">
        <w:rPr>
          <w:lang w:val="en-GB"/>
        </w:rPr>
        <w:t xml:space="preserve"> corresponding to the target subband.</w:t>
      </w:r>
    </w:p>
    <w:p w14:paraId="243C2750" w14:textId="3E56D6B2" w:rsidR="00802050" w:rsidRPr="00802050" w:rsidRDefault="00802050" w:rsidP="00802050">
      <w:r w:rsidRPr="00802050">
        <w:t xml:space="preserve">Scaling factor </w:t>
      </w:r>
      <w:r w:rsidRPr="00802050">
        <w:fldChar w:fldCharType="begin"/>
      </w:r>
      <w:r w:rsidRPr="00802050">
        <w:instrText xml:space="preserve"> QUOTE </w:instrText>
      </w:r>
      <w:r w:rsidR="0085092D">
        <w:pict w14:anchorId="0D1B0326">
          <v:shape id="_x0000_i1033" type="#_x0000_t75" style="width:6.4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93C&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DB793C&quot; wsp:rsidP=&quot;00DB793C&quot;&gt;&lt;m:oMathPara&gt;&lt;m:oMath&gt;&lt;m:r&gt;&lt;aml:annotation aml:id=&quot;0&quot; w:type=&quot;Word.Insertion&quot; aml:author=&quot;Alexander Golitschek&quot; aml:createdate=&quot;2019-08-14T11:58:00Z&quot;&gt;&lt;aml:content&gt;&lt;m:rPr&gt;&lt;m:sty m:val=&quot;p&quot;/&gt;&lt;/m:rPr&gt;&lt;w:rPr&gt;&lt;w:rFonts w:ascii=&quot;Cambria Math&quot; w:h-ansi=&quot;Cambria Math&quot;/&gt;&lt;wx:font wx:val=&quot;Cambria Math&quot;/&gt;&lt;/w:rPr&gt;&lt;m:t&gt;Î±&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02050">
        <w:instrText xml:space="preserve"> </w:instrText>
      </w:r>
      <w:r w:rsidRPr="00802050">
        <w:fldChar w:fldCharType="separate"/>
      </w:r>
      <w:r w:rsidR="00EC0AD1">
        <w:pict w14:anchorId="60547C94">
          <v:shape id="_x0000_i1034" type="#_x0000_t75" style="width:6.4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93C&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DB793C&quot; wsp:rsidP=&quot;00DB793C&quot;&gt;&lt;m:oMathPara&gt;&lt;m:oMath&gt;&lt;m:r&gt;&lt;aml:annotation aml:id=&quot;0&quot; w:type=&quot;Word.Insertion&quot; aml:author=&quot;Alexander Golitschek&quot; aml:createdate=&quot;2019-08-14T11:58:00Z&quot;&gt;&lt;aml:content&gt;&lt;m:rPr&gt;&lt;m:sty m:val=&quot;p&quot;/&gt;&lt;/m:rPr&gt;&lt;w:rPr&gt;&lt;w:rFonts w:ascii=&quot;Cambria Math&quot; w:h-ansi=&quot;Cambria Math&quot;/&gt;&lt;wx:font wx:val=&quot;Cambria Math&quot;/&gt;&lt;/w:rPr&gt;&lt;m:t&gt;Î±&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02050">
        <w:fldChar w:fldCharType="end"/>
      </w:r>
      <w:r w:rsidRPr="00802050">
        <w:t xml:space="preserve"> could be a configurable value</w:t>
      </w:r>
      <w:r>
        <w:t xml:space="preserve">, </w:t>
      </w:r>
      <w:r w:rsidRPr="00802050">
        <w:t xml:space="preserve">or </w:t>
      </w:r>
      <w:r w:rsidR="00164027">
        <w:t>it can be determined by</w:t>
      </w:r>
      <w:r w:rsidRPr="00802050">
        <w:t xml:space="preserve"> the specification, which at least should be related to the number of failed LBT subbands in the reference resource. </w:t>
      </w:r>
    </w:p>
    <w:p w14:paraId="7E473722" w14:textId="77777777" w:rsidR="00802050" w:rsidRPr="00802050" w:rsidRDefault="00802050" w:rsidP="00802050">
      <w:pPr>
        <w:rPr>
          <w:lang w:val="en-GB"/>
        </w:rPr>
      </w:pPr>
    </w:p>
    <w:p w14:paraId="41C62BBB" w14:textId="792FC9E5" w:rsidR="00802050" w:rsidRPr="00802050" w:rsidRDefault="00802050" w:rsidP="00802050">
      <w:r>
        <w:t>With the</w:t>
      </w:r>
      <w:r w:rsidRPr="00802050">
        <w:t xml:space="preserve"> improved </w:t>
      </w:r>
      <w:r>
        <w:t xml:space="preserve">rule, assuming in the example a scaling factor of 50% (since one out of two subbands was not transmitted due to LBT), the </w:t>
      </w:r>
      <w:r w:rsidRPr="00802050">
        <w:t>NACK ratio changes to</w:t>
      </w:r>
      <w:r>
        <w:t xml:space="preserve"> the following cases</w:t>
      </w:r>
      <w:r w:rsidRPr="00802050">
        <w:t>:</w:t>
      </w:r>
    </w:p>
    <w:p w14:paraId="6A887A59" w14:textId="4FB9213B" w:rsidR="00802050" w:rsidRPr="00802050" w:rsidRDefault="00802050" w:rsidP="00802050">
      <w:r>
        <w:t xml:space="preserve">Case </w:t>
      </w:r>
      <w:r w:rsidRPr="00802050">
        <w:t>2</w:t>
      </w:r>
      <w:r w:rsidRPr="00802050">
        <w:rPr>
          <w:rFonts w:hint="eastAsia"/>
        </w:rPr>
        <w:t>-</w:t>
      </w:r>
      <w:r w:rsidRPr="00802050">
        <w:t xml:space="preserve">0: </w:t>
      </w:r>
      <w:r w:rsidRPr="00802050">
        <w:rPr>
          <w:rFonts w:hint="eastAsia"/>
        </w:rPr>
        <w:t xml:space="preserve">For </w:t>
      </w:r>
      <w:r w:rsidRPr="00802050">
        <w:t>subband 0 with CWS0, the NACK ratio can be calculated as</w:t>
      </w:r>
    </w:p>
    <w:bookmarkStart w:id="2" w:name="_MON_1627296053"/>
    <w:bookmarkEnd w:id="2"/>
    <w:p w14:paraId="10CAAB3C" w14:textId="5812297E" w:rsidR="00802050" w:rsidRPr="00802050" w:rsidRDefault="00164027" w:rsidP="00802050">
      <w:r>
        <w:object w:dxaOrig="9317" w:dyaOrig="626" w14:anchorId="24D39F8D">
          <v:shape id="_x0000_i1035" type="#_x0000_t75" style="width:465.85pt;height:31.3pt" o:ole="">
            <v:imagedata r:id="rId13" o:title=""/>
          </v:shape>
          <o:OLEObject Type="Embed" ProgID="Word.Document.12" ShapeID="_x0000_i1035" DrawAspect="Content" ObjectID="_1627506463" r:id="rId14">
            <o:FieldCodes>\s</o:FieldCodes>
          </o:OLEObject>
        </w:object>
      </w:r>
    </w:p>
    <w:p w14:paraId="4A17DCC9" w14:textId="69F753DE" w:rsidR="00802050" w:rsidRPr="00802050" w:rsidRDefault="00164027" w:rsidP="00802050">
      <w:r>
        <w:t xml:space="preserve">Case </w:t>
      </w:r>
      <w:r w:rsidR="00802050" w:rsidRPr="00802050">
        <w:t xml:space="preserve">2-1: </w:t>
      </w:r>
      <w:r w:rsidR="00802050" w:rsidRPr="00802050">
        <w:rPr>
          <w:rFonts w:hint="eastAsia"/>
        </w:rPr>
        <w:t>For subband 1, the CWS</w:t>
      </w:r>
      <w:r w:rsidR="00802050" w:rsidRPr="00802050">
        <w:t xml:space="preserve">1 </w:t>
      </w:r>
      <w:r w:rsidR="00802050" w:rsidRPr="00802050">
        <w:rPr>
          <w:rFonts w:hint="eastAsia"/>
        </w:rPr>
        <w:t xml:space="preserve">will not </w:t>
      </w:r>
      <w:r w:rsidR="00802050" w:rsidRPr="00802050">
        <w:t xml:space="preserve">be </w:t>
      </w:r>
      <w:r w:rsidR="00802050" w:rsidRPr="00802050">
        <w:rPr>
          <w:rFonts w:hint="eastAsia"/>
        </w:rPr>
        <w:t>adjust</w:t>
      </w:r>
      <w:r w:rsidR="00802050" w:rsidRPr="00802050">
        <w:t>ed</w:t>
      </w:r>
      <w:r w:rsidR="00802050" w:rsidRPr="00802050">
        <w:rPr>
          <w:rFonts w:hint="eastAsia"/>
        </w:rPr>
        <w:t xml:space="preserve"> due to unsuccessful LBT</w:t>
      </w:r>
      <w:r w:rsidR="00802050" w:rsidRPr="00802050">
        <w:t>.</w:t>
      </w:r>
    </w:p>
    <w:p w14:paraId="4973D593" w14:textId="4B82871A" w:rsidR="00802050" w:rsidRPr="00802050" w:rsidRDefault="00802050" w:rsidP="00802050">
      <w:pPr>
        <w:rPr>
          <w:b/>
        </w:rPr>
      </w:pPr>
      <w:r w:rsidRPr="00802050">
        <w:rPr>
          <w:rFonts w:hint="eastAsia"/>
          <w:b/>
        </w:rPr>
        <w:t xml:space="preserve">Proposal </w:t>
      </w:r>
      <w:r w:rsidRPr="00802050">
        <w:rPr>
          <w:b/>
        </w:rPr>
        <w:t>5</w:t>
      </w:r>
      <w:r w:rsidRPr="00802050">
        <w:rPr>
          <w:rFonts w:hint="eastAsia"/>
          <w:b/>
        </w:rPr>
        <w:t>:</w:t>
      </w:r>
      <w:r w:rsidRPr="00802050">
        <w:rPr>
          <w:b/>
        </w:rPr>
        <w:t xml:space="preserve"> </w:t>
      </w:r>
      <w:r w:rsidR="00164027" w:rsidRPr="00802050">
        <w:rPr>
          <w:b/>
        </w:rPr>
        <w:t xml:space="preserve">Maintaining the CWS per subband of the wideband carrier is supported in NR-U, and for a HARQ-ACK corresponding to a wideband TB, </w:t>
      </w:r>
      <w:r w:rsidR="00164027" w:rsidRPr="00802050">
        <w:rPr>
          <w:b/>
          <w:lang w:val="en-GB"/>
        </w:rPr>
        <w:t>a</w:t>
      </w:r>
      <w:r w:rsidR="00164027" w:rsidRPr="00802050">
        <w:rPr>
          <w:b/>
        </w:rPr>
        <w:t xml:space="preserve"> scaling factor </w:t>
      </w:r>
      <w:r w:rsidR="00164027" w:rsidRPr="00802050">
        <w:rPr>
          <w:b/>
        </w:rPr>
        <w:fldChar w:fldCharType="begin"/>
      </w:r>
      <w:r w:rsidR="00164027" w:rsidRPr="00802050">
        <w:rPr>
          <w:b/>
        </w:rPr>
        <w:instrText xml:space="preserve"> QUOTE </w:instrText>
      </w:r>
      <w:r w:rsidR="0085092D">
        <w:pict w14:anchorId="7CB72EF4">
          <v:shape id="_x0000_i1036" type="#_x0000_t75" style="width:6.8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85B&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C9685B&quot; wsp:rsidP=&quot;00C9685B&quot;&gt;&lt;m:oMathPara&gt;&lt;m:oMath&gt;&lt;m:r&gt;&lt;aml:annotation aml:id=&quot;0&quot; w:type=&quot;Word.Insertion&quot; aml:author=&quot;Alexander Golitschek&quot; aml:createdate=&quot;2019-08-14T11:58:00Z&quot;&gt;&lt;aml:content&gt;&lt;m:rPr&gt;&lt;m:sty m:val=&quot;b&quot;/&gt;&lt;/m:rPr&gt;&lt;w:rPr&gt;&lt;w:rFonts w:ascii=&quot;Cambria Math&quot; w:h-ansi=&quot;Cambria Math&quot;/&gt;&lt;wx:font wx:val=&quot;Cambria Math&quot;/&gt;&lt;w:b/&gt;&lt;/w:rPr&gt;&lt;m:t&gt;Î±&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164027" w:rsidRPr="00802050">
        <w:rPr>
          <w:b/>
        </w:rPr>
        <w:instrText xml:space="preserve"> </w:instrText>
      </w:r>
      <w:r w:rsidR="00164027" w:rsidRPr="00802050">
        <w:rPr>
          <w:b/>
        </w:rPr>
        <w:fldChar w:fldCharType="separate"/>
      </w:r>
      <w:r w:rsidR="00EC0AD1">
        <w:pict w14:anchorId="1A91444C">
          <v:shape id="_x0000_i1037" type="#_x0000_t75" style="width:6.8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85B&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C9685B&quot; wsp:rsidP=&quot;00C9685B&quot;&gt;&lt;m:oMathPara&gt;&lt;m:oMath&gt;&lt;m:r&gt;&lt;aml:annotation aml:id=&quot;0&quot; w:type=&quot;Word.Insertion&quot; aml:author=&quot;Alexander Golitschek&quot; aml:createdate=&quot;2019-08-14T11:58:00Z&quot;&gt;&lt;aml:content&gt;&lt;m:rPr&gt;&lt;m:sty m:val=&quot;b&quot;/&gt;&lt;/m:rPr&gt;&lt;w:rPr&gt;&lt;w:rFonts w:ascii=&quot;Cambria Math&quot; w:h-ansi=&quot;Cambria Math&quot;/&gt;&lt;wx:font wx:val=&quot;Cambria Math&quot;/&gt;&lt;w:b/&gt;&lt;/w:rPr&gt;&lt;m:t&gt;Î±&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164027" w:rsidRPr="00802050">
        <w:fldChar w:fldCharType="end"/>
      </w:r>
      <w:r w:rsidR="00164027" w:rsidRPr="00802050">
        <w:rPr>
          <w:b/>
        </w:rPr>
        <w:fldChar w:fldCharType="begin"/>
      </w:r>
      <w:r w:rsidR="00164027" w:rsidRPr="00802050">
        <w:rPr>
          <w:b/>
        </w:rPr>
        <w:instrText xml:space="preserve"> QUOTE </w:instrText>
      </w:r>
      <w:r w:rsidR="0085092D">
        <w:pict w14:anchorId="51F5E29D">
          <v:shape id="_x0000_i1038" type="#_x0000_t75" style="width:6.85pt;height:1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4A&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6932&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1F48&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6F1F48&quot; wsp:rsidP=&quot;006F1F48&quot;&gt;&lt;m:oMathPara&gt;&lt;m:oMath&gt;&lt;m:r&gt;&lt;aml:annotation aml:id=&quot;0&quot; w:type=&quot;Word.Insertion&quot; aml:author=&quot;Yu Yu70 Zhang&quot; aml:createdate=&quot;2019-08-12T09:25:00Z&quot;&gt;&lt;aml:content&gt;&lt;m:rPr&gt;&lt;m:sty m:val=&quot;b&quot;/&gt;&lt;/m:rPr&gt;&lt;w:rPr&gt;&lt;w:rFonts w:ascii=&quot;Cambria Math&quot; w:h-ansi=&quot;Cambria Math&quot;/&gt;&lt;wx:font wx:val=&quot;Cambria Math&quot;/&gt;&lt;w:b/&gt;&lt;/w:rPr&gt;&lt;m:t&gt;?&lt;/m:t&gt;&lt;/aml:content&gt;&lt;/aml:annotation&gt;&lt;/m:r&gt;&lt;/m:oMath&gt;&lt;/m:oMathPara&gt;&lt;/w:p&gt;&lt;w:sectPr wsp:rsidR=&quot;00000000&quot;t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164027" w:rsidRPr="00802050">
        <w:rPr>
          <w:b/>
        </w:rPr>
        <w:instrText xml:space="preserve"> </w:instrText>
      </w:r>
      <w:r w:rsidR="00164027" w:rsidRPr="00802050">
        <w:fldChar w:fldCharType="end"/>
      </w:r>
      <w:r w:rsidR="00164027" w:rsidRPr="00802050">
        <w:rPr>
          <w:b/>
        </w:rPr>
        <w:t xml:space="preserve"> </w:t>
      </w:r>
      <w:r w:rsidR="00164027">
        <w:rPr>
          <w:b/>
        </w:rPr>
        <w:t>is</w:t>
      </w:r>
      <w:r w:rsidR="00164027" w:rsidRPr="00802050">
        <w:rPr>
          <w:b/>
        </w:rPr>
        <w:t xml:space="preserve"> applied when the NACK ratio of the feedback for a subband</w:t>
      </w:r>
      <w:r w:rsidR="00164027">
        <w:rPr>
          <w:b/>
        </w:rPr>
        <w:t xml:space="preserve"> is determined</w:t>
      </w:r>
      <w:r w:rsidR="00164027" w:rsidRPr="00802050">
        <w:rPr>
          <w:rFonts w:hint="eastAsia"/>
          <w:b/>
        </w:rPr>
        <w:t>.</w:t>
      </w:r>
    </w:p>
    <w:p w14:paraId="20CB9DAB" w14:textId="77777777" w:rsidR="00802050" w:rsidRDefault="00802050" w:rsidP="00EA5965"/>
    <w:p w14:paraId="0BD3B22A" w14:textId="77777777" w:rsidR="003F40FC" w:rsidRPr="00072EA5" w:rsidRDefault="003F40FC" w:rsidP="003F40FC">
      <w:pPr>
        <w:pStyle w:val="Heading2"/>
        <w:rPr>
          <w:lang w:val="en-GB" w:eastAsia="zh-CN"/>
        </w:rPr>
      </w:pPr>
      <w:r>
        <w:rPr>
          <w:lang w:val="en-GB" w:eastAsia="zh-CN"/>
        </w:rPr>
        <w:t>Reference subframe for Contention Window Adjustments</w:t>
      </w:r>
    </w:p>
    <w:p w14:paraId="5366A2AA" w14:textId="77777777" w:rsidR="003F40FC" w:rsidRPr="003F40FC" w:rsidRDefault="003F40FC" w:rsidP="003F40FC">
      <w:pPr>
        <w:rPr>
          <w:lang w:val="en-GB" w:eastAsia="zh-CN"/>
        </w:rPr>
      </w:pPr>
      <w:r w:rsidRPr="003F40FC">
        <w:rPr>
          <w:lang w:val="en-GB" w:eastAsia="zh-CN"/>
        </w:rPr>
        <w:t>In L</w:t>
      </w:r>
      <w:r>
        <w:rPr>
          <w:lang w:val="en-GB" w:eastAsia="zh-CN"/>
        </w:rPr>
        <w:t xml:space="preserve">TE-LAA, DL reference subframe </w:t>
      </w:r>
      <w:r w:rsidRPr="003F40FC">
        <w:rPr>
          <w:lang w:val="en-GB" w:eastAsia="zh-CN"/>
        </w:rPr>
        <w:t xml:space="preserve">is defined as the starting subframe(s) of the most recent burst on the carrier made by the eNB, for which at least some HARQ-ACK feedback is expected to be available. </w:t>
      </w:r>
      <w:r>
        <w:rPr>
          <w:lang w:val="en-GB" w:eastAsia="zh-CN"/>
        </w:rPr>
        <w:t>A</w:t>
      </w:r>
      <w:r w:rsidRPr="003F40FC">
        <w:rPr>
          <w:lang w:val="en-GB" w:eastAsia="zh-CN"/>
        </w:rPr>
        <w:t xml:space="preserve"> similar mechanism can be reused in NR-U, like</w:t>
      </w:r>
      <w:r>
        <w:rPr>
          <w:lang w:val="en-GB" w:eastAsia="zh-CN"/>
        </w:rPr>
        <w:t xml:space="preserve"> that the reference slot for CW</w:t>
      </w:r>
      <w:r w:rsidRPr="003F40FC">
        <w:rPr>
          <w:lang w:val="en-GB" w:eastAsia="zh-CN"/>
        </w:rPr>
        <w:t xml:space="preserve"> adjustment should also be defined as the first slot or the first and second slot of the latest DL burst for NR-U. However, NR-U may support multiple switching points within a COT, which means that there may be more than one DL burst within a </w:t>
      </w:r>
      <w:r>
        <w:rPr>
          <w:lang w:val="en-GB" w:eastAsia="zh-CN"/>
        </w:rPr>
        <w:t>channel occupancy</w:t>
      </w:r>
      <w:r w:rsidRPr="003F40FC">
        <w:rPr>
          <w:lang w:val="en-GB" w:eastAsia="zh-CN"/>
        </w:rPr>
        <w:t xml:space="preserve">. The gNB may use LBT Cat1 or Cat 2 before transmitting the DL bursts except the starting burst, </w:t>
      </w:r>
      <w:r>
        <w:rPr>
          <w:lang w:val="en-GB" w:eastAsia="zh-CN"/>
        </w:rPr>
        <w:t xml:space="preserve">and </w:t>
      </w:r>
      <w:r w:rsidRPr="003F40FC">
        <w:rPr>
          <w:lang w:val="en-GB" w:eastAsia="zh-CN"/>
        </w:rPr>
        <w:t xml:space="preserve">the HARQ-ACK corresponding to </w:t>
      </w:r>
      <w:r>
        <w:rPr>
          <w:lang w:val="en-GB" w:eastAsia="zh-CN"/>
        </w:rPr>
        <w:t>those later bursts do</w:t>
      </w:r>
      <w:r w:rsidRPr="003F40FC">
        <w:rPr>
          <w:lang w:val="en-GB" w:eastAsia="zh-CN"/>
        </w:rPr>
        <w:t xml:space="preserve"> not reflect the channel </w:t>
      </w:r>
      <w:r>
        <w:rPr>
          <w:lang w:val="en-GB" w:eastAsia="zh-CN"/>
        </w:rPr>
        <w:t xml:space="preserve">collision </w:t>
      </w:r>
      <w:r w:rsidRPr="003F40FC">
        <w:rPr>
          <w:lang w:val="en-GB" w:eastAsia="zh-CN"/>
        </w:rPr>
        <w:t xml:space="preserve">conditions. So the reference resource in time domain </w:t>
      </w:r>
      <w:r>
        <w:rPr>
          <w:lang w:val="en-GB" w:eastAsia="zh-CN"/>
        </w:rPr>
        <w:t>should</w:t>
      </w:r>
      <w:r w:rsidRPr="003F40FC">
        <w:rPr>
          <w:lang w:val="en-GB" w:eastAsia="zh-CN"/>
        </w:rPr>
        <w:t xml:space="preserve"> be the starting slot</w:t>
      </w:r>
      <w:r w:rsidR="00D65D70">
        <w:rPr>
          <w:lang w:val="en-GB" w:eastAsia="zh-CN"/>
        </w:rPr>
        <w:t>(s)</w:t>
      </w:r>
      <w:r w:rsidRPr="003F40FC">
        <w:rPr>
          <w:lang w:val="en-GB" w:eastAsia="zh-CN"/>
        </w:rPr>
        <w:t xml:space="preserve"> of the most recent </w:t>
      </w:r>
      <w:r>
        <w:rPr>
          <w:lang w:val="en-GB" w:eastAsia="zh-CN"/>
        </w:rPr>
        <w:t>channel occupancy</w:t>
      </w:r>
      <w:r w:rsidRPr="003F40FC">
        <w:rPr>
          <w:lang w:val="en-GB" w:eastAsia="zh-CN"/>
        </w:rPr>
        <w:t>.</w:t>
      </w:r>
    </w:p>
    <w:p w14:paraId="237B3072" w14:textId="77777777" w:rsidR="00EA5965" w:rsidRPr="00072EA5" w:rsidRDefault="003F40FC" w:rsidP="003F40FC">
      <w:pPr>
        <w:rPr>
          <w:b/>
          <w:lang w:val="en-GB" w:eastAsia="zh-CN"/>
        </w:rPr>
      </w:pPr>
      <w:r>
        <w:rPr>
          <w:b/>
          <w:lang w:val="en-GB" w:eastAsia="zh-CN"/>
        </w:rPr>
        <w:t>Proposal 6</w:t>
      </w:r>
      <w:r w:rsidRPr="003F40FC">
        <w:rPr>
          <w:b/>
          <w:lang w:val="en-GB" w:eastAsia="zh-CN"/>
        </w:rPr>
        <w:t xml:space="preserve">: In NR-U DL, the reference resource in time domain </w:t>
      </w:r>
      <w:r>
        <w:rPr>
          <w:b/>
          <w:lang w:val="en-GB" w:eastAsia="zh-CN"/>
        </w:rPr>
        <w:t>should</w:t>
      </w:r>
      <w:r w:rsidRPr="003F40FC">
        <w:rPr>
          <w:b/>
          <w:lang w:val="en-GB" w:eastAsia="zh-CN"/>
        </w:rPr>
        <w:t xml:space="preserve"> be the starting slot(s) of the most recent </w:t>
      </w:r>
      <w:r>
        <w:rPr>
          <w:b/>
          <w:lang w:val="en-GB" w:eastAsia="zh-CN"/>
        </w:rPr>
        <w:t>channel occupancy</w:t>
      </w:r>
      <w:r w:rsidRPr="003F40FC">
        <w:rPr>
          <w:b/>
          <w:lang w:val="en-GB" w:eastAsia="zh-CN"/>
        </w:rPr>
        <w:t xml:space="preserve"> on the subband </w:t>
      </w:r>
      <w:r w:rsidR="00B36088">
        <w:rPr>
          <w:b/>
          <w:lang w:val="en-GB" w:eastAsia="zh-CN"/>
        </w:rPr>
        <w:t xml:space="preserve">where </w:t>
      </w:r>
      <w:r w:rsidRPr="003F40FC">
        <w:rPr>
          <w:b/>
          <w:lang w:val="en-GB" w:eastAsia="zh-CN"/>
        </w:rPr>
        <w:t>the gNB</w:t>
      </w:r>
      <w:r w:rsidR="00B36088">
        <w:rPr>
          <w:b/>
          <w:lang w:val="en-GB" w:eastAsia="zh-CN"/>
        </w:rPr>
        <w:t xml:space="preserve"> obtained the channel by Cat4 LBT</w:t>
      </w:r>
      <w:r w:rsidRPr="003F40FC">
        <w:rPr>
          <w:b/>
          <w:lang w:val="en-GB" w:eastAsia="zh-CN"/>
        </w:rPr>
        <w:t>.</w:t>
      </w:r>
    </w:p>
    <w:p w14:paraId="47FE5357" w14:textId="77777777" w:rsidR="0082623E" w:rsidRPr="00072EA5" w:rsidRDefault="0082623E" w:rsidP="002A5A92">
      <w:pPr>
        <w:pStyle w:val="Heading1"/>
        <w:rPr>
          <w:rFonts w:ascii="Arial" w:hAnsi="Arial" w:cs="Arial"/>
          <w:lang w:val="en-GB" w:eastAsia="zh-CN"/>
        </w:rPr>
      </w:pPr>
      <w:r w:rsidRPr="00072EA5">
        <w:rPr>
          <w:rFonts w:ascii="Arial" w:hAnsi="Arial" w:cs="Arial"/>
          <w:lang w:val="en-GB" w:eastAsia="zh-CN"/>
        </w:rPr>
        <w:t>Conclusion</w:t>
      </w:r>
    </w:p>
    <w:p w14:paraId="02D006DA" w14:textId="77777777" w:rsidR="007C4D79" w:rsidRPr="00072EA5" w:rsidRDefault="00C51666" w:rsidP="007C4D79">
      <w:pPr>
        <w:rPr>
          <w:sz w:val="20"/>
          <w:szCs w:val="20"/>
          <w:lang w:val="en-GB" w:eastAsia="zh-CN"/>
        </w:rPr>
      </w:pPr>
      <w:r w:rsidRPr="00072EA5">
        <w:rPr>
          <w:sz w:val="20"/>
          <w:szCs w:val="20"/>
          <w:lang w:val="en-GB" w:eastAsia="zh-CN"/>
        </w:rPr>
        <w:t>We propose the following channel access procedure amendments motivated by the random access procedure:</w:t>
      </w:r>
    </w:p>
    <w:p w14:paraId="01A38F4C" w14:textId="77777777" w:rsidR="00C51666" w:rsidRPr="00072EA5" w:rsidRDefault="00C51666" w:rsidP="00C51666">
      <w:pPr>
        <w:rPr>
          <w:b/>
          <w:lang w:val="en-GB" w:eastAsia="zh-CN"/>
        </w:rPr>
      </w:pPr>
      <w:r w:rsidRPr="00072EA5">
        <w:rPr>
          <w:b/>
          <w:lang w:val="en-GB" w:eastAsia="zh-CN"/>
        </w:rPr>
        <w:t xml:space="preserve">Proposal 1: </w:t>
      </w:r>
      <w:r w:rsidR="00020A58" w:rsidRPr="00072EA5">
        <w:rPr>
          <w:b/>
          <w:lang w:val="en-GB" w:eastAsia="zh-CN"/>
        </w:rPr>
        <w:t>PRACH should be designed for using channel access type 2 or no LBT.</w:t>
      </w:r>
    </w:p>
    <w:p w14:paraId="32989B8B" w14:textId="77777777" w:rsidR="0085092D" w:rsidRPr="00072EA5" w:rsidRDefault="0085092D" w:rsidP="0085092D">
      <w:pPr>
        <w:rPr>
          <w:b/>
          <w:lang w:val="en-GB" w:eastAsia="zh-CN"/>
        </w:rPr>
      </w:pPr>
      <w:r w:rsidRPr="00072EA5">
        <w:rPr>
          <w:b/>
          <w:lang w:val="en-GB" w:eastAsia="zh-CN"/>
        </w:rPr>
        <w:t>Proposal 2: Support the following:</w:t>
      </w:r>
    </w:p>
    <w:p w14:paraId="239404C1" w14:textId="77777777" w:rsidR="0085092D" w:rsidRPr="00072EA5" w:rsidRDefault="0085092D" w:rsidP="0085092D">
      <w:pPr>
        <w:numPr>
          <w:ilvl w:val="0"/>
          <w:numId w:val="41"/>
        </w:numPr>
        <w:rPr>
          <w:b/>
          <w:lang w:val="en-GB" w:eastAsia="zh-CN"/>
        </w:rPr>
      </w:pPr>
      <w:r w:rsidRPr="00072EA5">
        <w:rPr>
          <w:b/>
          <w:lang w:val="en-GB" w:eastAsia="zh-CN"/>
        </w:rPr>
        <w:lastRenderedPageBreak/>
        <w:t>The RAR include</w:t>
      </w:r>
      <w:r>
        <w:rPr>
          <w:b/>
          <w:lang w:val="en-GB" w:eastAsia="zh-CN"/>
        </w:rPr>
        <w:t>s an indicator for the channel access priority class</w:t>
      </w:r>
    </w:p>
    <w:p w14:paraId="0087311D" w14:textId="77777777" w:rsidR="0085092D" w:rsidRPr="00072EA5" w:rsidRDefault="0085092D" w:rsidP="0085092D">
      <w:pPr>
        <w:numPr>
          <w:ilvl w:val="0"/>
          <w:numId w:val="41"/>
        </w:numPr>
        <w:rPr>
          <w:b/>
          <w:lang w:val="en-GB" w:eastAsia="zh-CN"/>
        </w:rPr>
      </w:pPr>
      <w:r>
        <w:rPr>
          <w:b/>
          <w:lang w:val="en-GB" w:eastAsia="zh-CN"/>
        </w:rPr>
        <w:t xml:space="preserve">The RAR grant or the DCI assigning Msg 2 resources should include </w:t>
      </w:r>
      <w:r w:rsidRPr="00072EA5">
        <w:rPr>
          <w:b/>
          <w:lang w:val="en-GB" w:eastAsia="zh-CN"/>
        </w:rPr>
        <w:t>an indicator for the number of Msg 3 transmission opportunities granted to the UE</w:t>
      </w:r>
    </w:p>
    <w:p w14:paraId="5D73E692" w14:textId="77777777" w:rsidR="0085092D" w:rsidRPr="00072EA5" w:rsidRDefault="0085092D" w:rsidP="0085092D">
      <w:pPr>
        <w:pStyle w:val="NormalWeb"/>
        <w:spacing w:before="77" w:beforeAutospacing="0" w:after="120" w:afterAutospacing="0"/>
        <w:jc w:val="both"/>
        <w:rPr>
          <w:rFonts w:ascii="Times New Roman" w:eastAsia="+mn-ea" w:hAnsi="Times New Roman" w:cs="Times New Roman"/>
          <w:b/>
          <w:bCs/>
          <w:iCs/>
          <w:color w:val="000000"/>
          <w:kern w:val="24"/>
          <w:sz w:val="22"/>
          <w:szCs w:val="20"/>
          <w:lang w:val="en-GB"/>
        </w:rPr>
      </w:pPr>
      <w:r w:rsidRPr="00072EA5">
        <w:rPr>
          <w:rFonts w:ascii="Times New Roman" w:eastAsia="+mn-ea" w:hAnsi="Times New Roman" w:cs="Times New Roman"/>
          <w:b/>
          <w:bCs/>
          <w:iCs/>
          <w:color w:val="000000"/>
          <w:kern w:val="24"/>
          <w:sz w:val="22"/>
          <w:szCs w:val="20"/>
          <w:lang w:val="en-GB"/>
        </w:rPr>
        <w:t xml:space="preserve">Proposal 3: Send an LS to RAN2 to suggest increasing the timers/windows involved in the random access procedure </w:t>
      </w:r>
      <w:r>
        <w:rPr>
          <w:rFonts w:ascii="Times New Roman" w:eastAsia="+mn-ea" w:hAnsi="Times New Roman" w:cs="Times New Roman"/>
          <w:b/>
          <w:bCs/>
          <w:iCs/>
          <w:color w:val="000000"/>
          <w:kern w:val="24"/>
          <w:sz w:val="22"/>
          <w:szCs w:val="20"/>
          <w:lang w:val="en-GB"/>
        </w:rPr>
        <w:t xml:space="preserve">(e.g. </w:t>
      </w:r>
      <w:r w:rsidRPr="00070051">
        <w:rPr>
          <w:rFonts w:ascii="Times New Roman" w:eastAsia="+mn-ea" w:hAnsi="Times New Roman" w:cs="Times New Roman"/>
          <w:b/>
          <w:bCs/>
          <w:iCs/>
          <w:color w:val="000000"/>
          <w:kern w:val="24"/>
          <w:sz w:val="22"/>
          <w:szCs w:val="20"/>
          <w:lang w:val="en-GB"/>
        </w:rPr>
        <w:t>ra-ContentionResolutionTimer</w:t>
      </w:r>
      <w:r>
        <w:rPr>
          <w:rFonts w:ascii="Times New Roman" w:eastAsia="+mn-ea" w:hAnsi="Times New Roman" w:cs="Times New Roman"/>
          <w:b/>
          <w:bCs/>
          <w:iCs/>
          <w:color w:val="000000"/>
          <w:kern w:val="24"/>
          <w:sz w:val="22"/>
          <w:szCs w:val="20"/>
          <w:lang w:val="en-GB"/>
        </w:rPr>
        <w:t>)</w:t>
      </w:r>
      <w:r w:rsidRPr="00070051">
        <w:rPr>
          <w:rFonts w:ascii="Times New Roman" w:eastAsia="+mn-ea" w:hAnsi="Times New Roman" w:cs="Times New Roman"/>
          <w:b/>
          <w:bCs/>
          <w:iCs/>
          <w:color w:val="000000"/>
          <w:kern w:val="24"/>
          <w:sz w:val="22"/>
          <w:szCs w:val="20"/>
          <w:lang w:val="en-GB"/>
        </w:rPr>
        <w:t xml:space="preserve"> </w:t>
      </w:r>
      <w:r w:rsidRPr="00072EA5">
        <w:rPr>
          <w:rFonts w:ascii="Times New Roman" w:eastAsia="+mn-ea" w:hAnsi="Times New Roman" w:cs="Times New Roman"/>
          <w:b/>
          <w:bCs/>
          <w:iCs/>
          <w:color w:val="000000"/>
          <w:kern w:val="24"/>
          <w:sz w:val="22"/>
          <w:szCs w:val="20"/>
          <w:lang w:val="en-GB"/>
        </w:rPr>
        <w:t>to compensate for channel access restrictions.</w:t>
      </w:r>
    </w:p>
    <w:p w14:paraId="4187C549" w14:textId="77777777" w:rsidR="00C51666" w:rsidRDefault="00C51666" w:rsidP="007C4D79">
      <w:pPr>
        <w:rPr>
          <w:b/>
          <w:lang w:val="en-GB" w:eastAsia="zh-CN"/>
        </w:rPr>
      </w:pPr>
      <w:r w:rsidRPr="00072EA5">
        <w:rPr>
          <w:b/>
          <w:lang w:val="en-GB" w:eastAsia="zh-CN"/>
        </w:rPr>
        <w:t>Proposal 4: Contention Window Adjustment procedures need to be extended to include at least successful/unsuccessful Msg 2 and Msg 3 transmissions of the random access procedure.</w:t>
      </w:r>
    </w:p>
    <w:p w14:paraId="10A847F5" w14:textId="2D1F12B8" w:rsidR="001B448E" w:rsidRDefault="001B448E" w:rsidP="007C4D79">
      <w:pPr>
        <w:rPr>
          <w:b/>
          <w:lang w:val="en-GB" w:eastAsia="zh-CN"/>
        </w:rPr>
      </w:pPr>
      <w:r w:rsidRPr="00072EA5">
        <w:rPr>
          <w:b/>
          <w:lang w:val="en-GB" w:eastAsia="zh-CN"/>
        </w:rPr>
        <w:t xml:space="preserve">Proposal </w:t>
      </w:r>
      <w:r>
        <w:rPr>
          <w:b/>
          <w:lang w:val="en-GB" w:eastAsia="zh-CN"/>
        </w:rPr>
        <w:t>5</w:t>
      </w:r>
      <w:r w:rsidRPr="00072EA5">
        <w:rPr>
          <w:b/>
          <w:lang w:val="en-GB" w:eastAsia="zh-CN"/>
        </w:rPr>
        <w:t xml:space="preserve">: </w:t>
      </w:r>
      <w:r w:rsidR="00164027" w:rsidRPr="00802050">
        <w:rPr>
          <w:b/>
        </w:rPr>
        <w:t xml:space="preserve">Maintaining the CWS per subband of the wideband carrier is supported in NR-U, and for a HARQ-ACK corresponding to a wideband TB, </w:t>
      </w:r>
      <w:r w:rsidR="00164027" w:rsidRPr="00802050">
        <w:rPr>
          <w:b/>
          <w:lang w:val="en-GB"/>
        </w:rPr>
        <w:t>a</w:t>
      </w:r>
      <w:r w:rsidR="00164027" w:rsidRPr="00802050">
        <w:rPr>
          <w:b/>
        </w:rPr>
        <w:t xml:space="preserve"> scaling factor </w:t>
      </w:r>
      <w:r w:rsidR="00164027" w:rsidRPr="00802050">
        <w:rPr>
          <w:b/>
        </w:rPr>
        <w:fldChar w:fldCharType="begin"/>
      </w:r>
      <w:r w:rsidR="00164027" w:rsidRPr="00802050">
        <w:rPr>
          <w:b/>
        </w:rPr>
        <w:instrText xml:space="preserve"> QUOTE </w:instrText>
      </w:r>
      <w:r w:rsidR="0085092D">
        <w:pict w14:anchorId="10F46CD0">
          <v:shape id="_x0000_i1040" type="#_x0000_t75" style="width:6.8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85B&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C9685B&quot; wsp:rsidP=&quot;00C9685B&quot;&gt;&lt;m:oMathPara&gt;&lt;m:oMath&gt;&lt;m:r&gt;&lt;aml:annotation aml:id=&quot;0&quot; w:type=&quot;Word.Insertion&quot; aml:author=&quot;Alexander Golitschek&quot; aml:createdate=&quot;2019-08-14T11:58:00Z&quot;&gt;&lt;aml:content&gt;&lt;m:rPr&gt;&lt;m:sty m:val=&quot;b&quot;/&gt;&lt;/m:rPr&gt;&lt;w:rPr&gt;&lt;w:rFonts w:ascii=&quot;Cambria Math&quot; w:h-ansi=&quot;Cambria Math&quot;/&gt;&lt;wx:font wx:val=&quot;Cambria Math&quot;/&gt;&lt;w:b/&gt;&lt;/w:rPr&gt;&lt;m:t&gt;Î±&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164027" w:rsidRPr="00802050">
        <w:rPr>
          <w:b/>
        </w:rPr>
        <w:instrText xml:space="preserve"> </w:instrText>
      </w:r>
      <w:r w:rsidR="00164027" w:rsidRPr="00802050">
        <w:rPr>
          <w:b/>
        </w:rPr>
        <w:fldChar w:fldCharType="separate"/>
      </w:r>
      <w:r w:rsidR="00EC0AD1">
        <w:pict w14:anchorId="0BFF1D11">
          <v:shape id="_x0000_i1041" type="#_x0000_t75" style="width:6.8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85B&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C9685B&quot; wsp:rsidP=&quot;00C9685B&quot;&gt;&lt;m:oMathPara&gt;&lt;m:oMath&gt;&lt;m:r&gt;&lt;aml:annotation aml:id=&quot;0&quot; w:type=&quot;Word.Insertion&quot; aml:author=&quot;Alexander Golitschek&quot; aml:createdate=&quot;2019-08-14T11:58:00Z&quot;&gt;&lt;aml:content&gt;&lt;m:rPr&gt;&lt;m:sty m:val=&quot;b&quot;/&gt;&lt;/m:rPr&gt;&lt;w:rPr&gt;&lt;w:rFonts w:ascii=&quot;Cambria Math&quot; w:h-ansi=&quot;Cambria Math&quot;/&gt;&lt;wx:font wx:val=&quot;Cambria Math&quot;/&gt;&lt;w:b/&gt;&lt;/w:rPr&gt;&lt;m:t&gt;Î±&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164027" w:rsidRPr="00802050">
        <w:fldChar w:fldCharType="end"/>
      </w:r>
      <w:r w:rsidR="00164027" w:rsidRPr="00802050">
        <w:rPr>
          <w:b/>
        </w:rPr>
        <w:fldChar w:fldCharType="begin"/>
      </w:r>
      <w:r w:rsidR="00164027" w:rsidRPr="00802050">
        <w:rPr>
          <w:b/>
        </w:rPr>
        <w:instrText xml:space="preserve"> QUOTE </w:instrText>
      </w:r>
      <w:r w:rsidR="0085092D">
        <w:pict w14:anchorId="550AD3D1">
          <v:shape id="_x0000_i1042" type="#_x0000_t75" style="width:6.85pt;height:1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4A&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6932&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1F48&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6F1F48&quot; wsp:rsidP=&quot;006F1F48&quot;&gt;&lt;m:oMathPara&gt;&lt;m:oMath&gt;&lt;m:r&gt;&lt;aml:annotation aml:id=&quot;0&quot; w:type=&quot;Word.Insertion&quot; aml:author=&quot;Yu Yu70 Zhang&quot; aml:createdate=&quot;2019-08-12T09:25:00Z&quot;&gt;&lt;aml:content&gt;&lt;m:rPr&gt;&lt;m:sty m:val=&quot;b&quot;/&gt;&lt;/m:rPr&gt;&lt;w:rPr&gt;&lt;w:rFonts w:ascii=&quot;Cambria Math&quot; w:h-ansi=&quot;Cambria Math&quot;/&gt;&lt;wx:font wx:val=&quot;Cambria Math&quot;/&gt;&lt;w:b/&gt;&lt;/w:rPr&gt;&lt;m:t&gt;?&lt;/m:t&gt;&lt;/aml:content&gt;&lt;/aml:annotation&gt;&lt;/m:r&gt;&lt;/m:oMath&gt;&lt;/m:oMathPara&gt;&lt;/w:p&gt;&lt;w:sectPr wsp:rsidR=&quot;00000000&quot;t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164027" w:rsidRPr="00802050">
        <w:rPr>
          <w:b/>
        </w:rPr>
        <w:instrText xml:space="preserve"> </w:instrText>
      </w:r>
      <w:r w:rsidR="00164027" w:rsidRPr="00802050">
        <w:fldChar w:fldCharType="end"/>
      </w:r>
      <w:r w:rsidR="00164027" w:rsidRPr="00802050">
        <w:rPr>
          <w:b/>
        </w:rPr>
        <w:t xml:space="preserve"> </w:t>
      </w:r>
      <w:r w:rsidR="00164027">
        <w:rPr>
          <w:b/>
        </w:rPr>
        <w:t>is</w:t>
      </w:r>
      <w:r w:rsidR="00164027" w:rsidRPr="00802050">
        <w:rPr>
          <w:b/>
        </w:rPr>
        <w:t xml:space="preserve"> applied when the NACK ratio of the feedback for a subband</w:t>
      </w:r>
      <w:r w:rsidR="00164027">
        <w:rPr>
          <w:b/>
        </w:rPr>
        <w:t xml:space="preserve"> is determined</w:t>
      </w:r>
      <w:r w:rsidR="00164027" w:rsidRPr="00802050">
        <w:rPr>
          <w:rFonts w:hint="eastAsia"/>
          <w:b/>
        </w:rPr>
        <w:t>.</w:t>
      </w:r>
    </w:p>
    <w:p w14:paraId="22DD2B97" w14:textId="77777777" w:rsidR="00D65D70" w:rsidRPr="00072EA5" w:rsidRDefault="00D65D70" w:rsidP="00D65D70">
      <w:pPr>
        <w:rPr>
          <w:b/>
          <w:lang w:val="en-GB" w:eastAsia="zh-CN"/>
        </w:rPr>
      </w:pPr>
      <w:r>
        <w:rPr>
          <w:b/>
          <w:lang w:val="en-GB" w:eastAsia="zh-CN"/>
        </w:rPr>
        <w:t>Proposal 6</w:t>
      </w:r>
      <w:r w:rsidRPr="003F40FC">
        <w:rPr>
          <w:b/>
          <w:lang w:val="en-GB" w:eastAsia="zh-CN"/>
        </w:rPr>
        <w:t xml:space="preserve">: In NR-U DL, the reference resource in time domain </w:t>
      </w:r>
      <w:r>
        <w:rPr>
          <w:b/>
          <w:lang w:val="en-GB" w:eastAsia="zh-CN"/>
        </w:rPr>
        <w:t>should</w:t>
      </w:r>
      <w:r w:rsidRPr="003F40FC">
        <w:rPr>
          <w:b/>
          <w:lang w:val="en-GB" w:eastAsia="zh-CN"/>
        </w:rPr>
        <w:t xml:space="preserve"> be the starting slot(s) of the most recent </w:t>
      </w:r>
      <w:r>
        <w:rPr>
          <w:b/>
          <w:lang w:val="en-GB" w:eastAsia="zh-CN"/>
        </w:rPr>
        <w:t>channel occupancy</w:t>
      </w:r>
      <w:r w:rsidRPr="003F40FC">
        <w:rPr>
          <w:b/>
          <w:lang w:val="en-GB" w:eastAsia="zh-CN"/>
        </w:rPr>
        <w:t xml:space="preserve"> on the subband </w:t>
      </w:r>
      <w:r>
        <w:rPr>
          <w:b/>
          <w:lang w:val="en-GB" w:eastAsia="zh-CN"/>
        </w:rPr>
        <w:t xml:space="preserve">where </w:t>
      </w:r>
      <w:r w:rsidRPr="003F40FC">
        <w:rPr>
          <w:b/>
          <w:lang w:val="en-GB" w:eastAsia="zh-CN"/>
        </w:rPr>
        <w:t>the gNB</w:t>
      </w:r>
      <w:r>
        <w:rPr>
          <w:b/>
          <w:lang w:val="en-GB" w:eastAsia="zh-CN"/>
        </w:rPr>
        <w:t xml:space="preserve"> obtained the channel by Cat4 LBT</w:t>
      </w:r>
      <w:r w:rsidRPr="003F40FC">
        <w:rPr>
          <w:b/>
          <w:lang w:val="en-GB" w:eastAsia="zh-CN"/>
        </w:rPr>
        <w:t>.</w:t>
      </w:r>
    </w:p>
    <w:p w14:paraId="19DE126E" w14:textId="77777777" w:rsidR="00D65D70" w:rsidRPr="00D65D70" w:rsidRDefault="00D65D70" w:rsidP="007C4D79">
      <w:pPr>
        <w:rPr>
          <w:b/>
          <w:lang w:val="en-GB" w:eastAsia="zh-CN"/>
        </w:rPr>
      </w:pPr>
    </w:p>
    <w:sectPr w:rsidR="00D65D70" w:rsidRPr="00D65D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8501A" w14:textId="77777777" w:rsidR="00EC0AD1" w:rsidRDefault="00EC0AD1">
      <w:r>
        <w:separator/>
      </w:r>
    </w:p>
  </w:endnote>
  <w:endnote w:type="continuationSeparator" w:id="0">
    <w:p w14:paraId="3DB70CEE" w14:textId="77777777" w:rsidR="00EC0AD1" w:rsidRDefault="00EC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E43B5" w14:textId="77777777" w:rsidR="00EC0AD1" w:rsidRDefault="00EC0AD1">
      <w:r>
        <w:separator/>
      </w:r>
    </w:p>
  </w:footnote>
  <w:footnote w:type="continuationSeparator" w:id="0">
    <w:p w14:paraId="0A703AF1" w14:textId="77777777" w:rsidR="00EC0AD1" w:rsidRDefault="00EC0A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D0EB6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F504C2"/>
    <w:multiLevelType w:val="hybridMultilevel"/>
    <w:tmpl w:val="5DBEDB04"/>
    <w:lvl w:ilvl="0" w:tplc="A2B0E76E">
      <w:start w:val="1"/>
      <w:numFmt w:val="bullet"/>
      <w:lvlText w:val="–"/>
      <w:lvlJc w:val="left"/>
      <w:pPr>
        <w:tabs>
          <w:tab w:val="num" w:pos="720"/>
        </w:tabs>
        <w:ind w:left="720" w:hanging="360"/>
      </w:pPr>
      <w:rPr>
        <w:rFonts w:ascii="Arial" w:hAnsi="Arial" w:hint="default"/>
      </w:rPr>
    </w:lvl>
    <w:lvl w:ilvl="1" w:tplc="250471F6">
      <w:start w:val="1"/>
      <w:numFmt w:val="bullet"/>
      <w:lvlText w:val="–"/>
      <w:lvlJc w:val="left"/>
      <w:pPr>
        <w:tabs>
          <w:tab w:val="num" w:pos="1440"/>
        </w:tabs>
        <w:ind w:left="1440" w:hanging="360"/>
      </w:pPr>
      <w:rPr>
        <w:rFonts w:ascii="Arial" w:hAnsi="Arial" w:hint="default"/>
      </w:rPr>
    </w:lvl>
    <w:lvl w:ilvl="2" w:tplc="754EB4EA" w:tentative="1">
      <w:start w:val="1"/>
      <w:numFmt w:val="bullet"/>
      <w:lvlText w:val="–"/>
      <w:lvlJc w:val="left"/>
      <w:pPr>
        <w:tabs>
          <w:tab w:val="num" w:pos="2160"/>
        </w:tabs>
        <w:ind w:left="2160" w:hanging="360"/>
      </w:pPr>
      <w:rPr>
        <w:rFonts w:ascii="Arial" w:hAnsi="Arial" w:hint="default"/>
      </w:rPr>
    </w:lvl>
    <w:lvl w:ilvl="3" w:tplc="176AABAE" w:tentative="1">
      <w:start w:val="1"/>
      <w:numFmt w:val="bullet"/>
      <w:lvlText w:val="–"/>
      <w:lvlJc w:val="left"/>
      <w:pPr>
        <w:tabs>
          <w:tab w:val="num" w:pos="2880"/>
        </w:tabs>
        <w:ind w:left="2880" w:hanging="360"/>
      </w:pPr>
      <w:rPr>
        <w:rFonts w:ascii="Arial" w:hAnsi="Arial" w:hint="default"/>
      </w:rPr>
    </w:lvl>
    <w:lvl w:ilvl="4" w:tplc="A21C830A" w:tentative="1">
      <w:start w:val="1"/>
      <w:numFmt w:val="bullet"/>
      <w:lvlText w:val="–"/>
      <w:lvlJc w:val="left"/>
      <w:pPr>
        <w:tabs>
          <w:tab w:val="num" w:pos="3600"/>
        </w:tabs>
        <w:ind w:left="3600" w:hanging="360"/>
      </w:pPr>
      <w:rPr>
        <w:rFonts w:ascii="Arial" w:hAnsi="Arial" w:hint="default"/>
      </w:rPr>
    </w:lvl>
    <w:lvl w:ilvl="5" w:tplc="8F485BF2" w:tentative="1">
      <w:start w:val="1"/>
      <w:numFmt w:val="bullet"/>
      <w:lvlText w:val="–"/>
      <w:lvlJc w:val="left"/>
      <w:pPr>
        <w:tabs>
          <w:tab w:val="num" w:pos="4320"/>
        </w:tabs>
        <w:ind w:left="4320" w:hanging="360"/>
      </w:pPr>
      <w:rPr>
        <w:rFonts w:ascii="Arial" w:hAnsi="Arial" w:hint="default"/>
      </w:rPr>
    </w:lvl>
    <w:lvl w:ilvl="6" w:tplc="B7687F0A" w:tentative="1">
      <w:start w:val="1"/>
      <w:numFmt w:val="bullet"/>
      <w:lvlText w:val="–"/>
      <w:lvlJc w:val="left"/>
      <w:pPr>
        <w:tabs>
          <w:tab w:val="num" w:pos="5040"/>
        </w:tabs>
        <w:ind w:left="5040" w:hanging="360"/>
      </w:pPr>
      <w:rPr>
        <w:rFonts w:ascii="Arial" w:hAnsi="Arial" w:hint="default"/>
      </w:rPr>
    </w:lvl>
    <w:lvl w:ilvl="7" w:tplc="0032DC36" w:tentative="1">
      <w:start w:val="1"/>
      <w:numFmt w:val="bullet"/>
      <w:lvlText w:val="–"/>
      <w:lvlJc w:val="left"/>
      <w:pPr>
        <w:tabs>
          <w:tab w:val="num" w:pos="5760"/>
        </w:tabs>
        <w:ind w:left="5760" w:hanging="360"/>
      </w:pPr>
      <w:rPr>
        <w:rFonts w:ascii="Arial" w:hAnsi="Arial" w:hint="default"/>
      </w:rPr>
    </w:lvl>
    <w:lvl w:ilvl="8" w:tplc="B374E1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507E9"/>
    <w:multiLevelType w:val="hybridMultilevel"/>
    <w:tmpl w:val="A2ECB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3787C"/>
    <w:multiLevelType w:val="hybridMultilevel"/>
    <w:tmpl w:val="F086CAC6"/>
    <w:lvl w:ilvl="0" w:tplc="93EC28DC">
      <w:start w:val="1"/>
      <w:numFmt w:val="bullet"/>
      <w:lvlText w:val="•"/>
      <w:lvlJc w:val="left"/>
      <w:pPr>
        <w:tabs>
          <w:tab w:val="num" w:pos="720"/>
        </w:tabs>
        <w:ind w:left="720" w:hanging="360"/>
      </w:pPr>
      <w:rPr>
        <w:rFonts w:ascii="Arial" w:hAnsi="Arial" w:hint="default"/>
      </w:rPr>
    </w:lvl>
    <w:lvl w:ilvl="1" w:tplc="CCFC92EA" w:tentative="1">
      <w:start w:val="1"/>
      <w:numFmt w:val="bullet"/>
      <w:lvlText w:val="•"/>
      <w:lvlJc w:val="left"/>
      <w:pPr>
        <w:tabs>
          <w:tab w:val="num" w:pos="1440"/>
        </w:tabs>
        <w:ind w:left="1440" w:hanging="360"/>
      </w:pPr>
      <w:rPr>
        <w:rFonts w:ascii="Arial" w:hAnsi="Arial" w:hint="default"/>
      </w:rPr>
    </w:lvl>
    <w:lvl w:ilvl="2" w:tplc="7EBA3044" w:tentative="1">
      <w:start w:val="1"/>
      <w:numFmt w:val="bullet"/>
      <w:lvlText w:val="•"/>
      <w:lvlJc w:val="left"/>
      <w:pPr>
        <w:tabs>
          <w:tab w:val="num" w:pos="2160"/>
        </w:tabs>
        <w:ind w:left="2160" w:hanging="360"/>
      </w:pPr>
      <w:rPr>
        <w:rFonts w:ascii="Arial" w:hAnsi="Arial" w:hint="default"/>
      </w:rPr>
    </w:lvl>
    <w:lvl w:ilvl="3" w:tplc="19CAD5CE" w:tentative="1">
      <w:start w:val="1"/>
      <w:numFmt w:val="bullet"/>
      <w:lvlText w:val="•"/>
      <w:lvlJc w:val="left"/>
      <w:pPr>
        <w:tabs>
          <w:tab w:val="num" w:pos="2880"/>
        </w:tabs>
        <w:ind w:left="2880" w:hanging="360"/>
      </w:pPr>
      <w:rPr>
        <w:rFonts w:ascii="Arial" w:hAnsi="Arial" w:hint="default"/>
      </w:rPr>
    </w:lvl>
    <w:lvl w:ilvl="4" w:tplc="DF008EDC" w:tentative="1">
      <w:start w:val="1"/>
      <w:numFmt w:val="bullet"/>
      <w:lvlText w:val="•"/>
      <w:lvlJc w:val="left"/>
      <w:pPr>
        <w:tabs>
          <w:tab w:val="num" w:pos="3600"/>
        </w:tabs>
        <w:ind w:left="3600" w:hanging="360"/>
      </w:pPr>
      <w:rPr>
        <w:rFonts w:ascii="Arial" w:hAnsi="Arial" w:hint="default"/>
      </w:rPr>
    </w:lvl>
    <w:lvl w:ilvl="5" w:tplc="23D621EA" w:tentative="1">
      <w:start w:val="1"/>
      <w:numFmt w:val="bullet"/>
      <w:lvlText w:val="•"/>
      <w:lvlJc w:val="left"/>
      <w:pPr>
        <w:tabs>
          <w:tab w:val="num" w:pos="4320"/>
        </w:tabs>
        <w:ind w:left="4320" w:hanging="360"/>
      </w:pPr>
      <w:rPr>
        <w:rFonts w:ascii="Arial" w:hAnsi="Arial" w:hint="default"/>
      </w:rPr>
    </w:lvl>
    <w:lvl w:ilvl="6" w:tplc="8E502EDC" w:tentative="1">
      <w:start w:val="1"/>
      <w:numFmt w:val="bullet"/>
      <w:lvlText w:val="•"/>
      <w:lvlJc w:val="left"/>
      <w:pPr>
        <w:tabs>
          <w:tab w:val="num" w:pos="5040"/>
        </w:tabs>
        <w:ind w:left="5040" w:hanging="360"/>
      </w:pPr>
      <w:rPr>
        <w:rFonts w:ascii="Arial" w:hAnsi="Arial" w:hint="default"/>
      </w:rPr>
    </w:lvl>
    <w:lvl w:ilvl="7" w:tplc="FCB0B3F0" w:tentative="1">
      <w:start w:val="1"/>
      <w:numFmt w:val="bullet"/>
      <w:lvlText w:val="•"/>
      <w:lvlJc w:val="left"/>
      <w:pPr>
        <w:tabs>
          <w:tab w:val="num" w:pos="5760"/>
        </w:tabs>
        <w:ind w:left="5760" w:hanging="360"/>
      </w:pPr>
      <w:rPr>
        <w:rFonts w:ascii="Arial" w:hAnsi="Arial" w:hint="default"/>
      </w:rPr>
    </w:lvl>
    <w:lvl w:ilvl="8" w:tplc="B01211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8EC6B1C"/>
    <w:multiLevelType w:val="hybridMultilevel"/>
    <w:tmpl w:val="D33A00BC"/>
    <w:lvl w:ilvl="0" w:tplc="8C18187C">
      <w:start w:val="1"/>
      <w:numFmt w:val="bullet"/>
      <w:lvlText w:val="•"/>
      <w:lvlJc w:val="left"/>
      <w:pPr>
        <w:tabs>
          <w:tab w:val="num" w:pos="720"/>
        </w:tabs>
        <w:ind w:left="720" w:hanging="360"/>
      </w:pPr>
      <w:rPr>
        <w:rFonts w:ascii="Arial" w:hAnsi="Arial" w:hint="default"/>
      </w:rPr>
    </w:lvl>
    <w:lvl w:ilvl="1" w:tplc="C6F4F5C0">
      <w:start w:val="36"/>
      <w:numFmt w:val="bullet"/>
      <w:lvlText w:val="–"/>
      <w:lvlJc w:val="left"/>
      <w:pPr>
        <w:tabs>
          <w:tab w:val="num" w:pos="1440"/>
        </w:tabs>
        <w:ind w:left="1440" w:hanging="360"/>
      </w:pPr>
      <w:rPr>
        <w:rFonts w:ascii="Arial" w:hAnsi="Arial" w:hint="default"/>
      </w:rPr>
    </w:lvl>
    <w:lvl w:ilvl="2" w:tplc="65583DD4">
      <w:start w:val="36"/>
      <w:numFmt w:val="bullet"/>
      <w:lvlText w:val="-"/>
      <w:lvlJc w:val="left"/>
      <w:pPr>
        <w:tabs>
          <w:tab w:val="num" w:pos="2160"/>
        </w:tabs>
        <w:ind w:left="2160" w:hanging="360"/>
      </w:pPr>
      <w:rPr>
        <w:rFonts w:ascii="Arial" w:hAnsi="Arial" w:hint="default"/>
      </w:rPr>
    </w:lvl>
    <w:lvl w:ilvl="3" w:tplc="44FE573C" w:tentative="1">
      <w:start w:val="1"/>
      <w:numFmt w:val="bullet"/>
      <w:lvlText w:val="•"/>
      <w:lvlJc w:val="left"/>
      <w:pPr>
        <w:tabs>
          <w:tab w:val="num" w:pos="2880"/>
        </w:tabs>
        <w:ind w:left="2880" w:hanging="360"/>
      </w:pPr>
      <w:rPr>
        <w:rFonts w:ascii="Arial" w:hAnsi="Arial" w:hint="default"/>
      </w:rPr>
    </w:lvl>
    <w:lvl w:ilvl="4" w:tplc="27F06610" w:tentative="1">
      <w:start w:val="1"/>
      <w:numFmt w:val="bullet"/>
      <w:lvlText w:val="•"/>
      <w:lvlJc w:val="left"/>
      <w:pPr>
        <w:tabs>
          <w:tab w:val="num" w:pos="3600"/>
        </w:tabs>
        <w:ind w:left="3600" w:hanging="360"/>
      </w:pPr>
      <w:rPr>
        <w:rFonts w:ascii="Arial" w:hAnsi="Arial" w:hint="default"/>
      </w:rPr>
    </w:lvl>
    <w:lvl w:ilvl="5" w:tplc="D0FCEDB0" w:tentative="1">
      <w:start w:val="1"/>
      <w:numFmt w:val="bullet"/>
      <w:lvlText w:val="•"/>
      <w:lvlJc w:val="left"/>
      <w:pPr>
        <w:tabs>
          <w:tab w:val="num" w:pos="4320"/>
        </w:tabs>
        <w:ind w:left="4320" w:hanging="360"/>
      </w:pPr>
      <w:rPr>
        <w:rFonts w:ascii="Arial" w:hAnsi="Arial" w:hint="default"/>
      </w:rPr>
    </w:lvl>
    <w:lvl w:ilvl="6" w:tplc="37F62E20" w:tentative="1">
      <w:start w:val="1"/>
      <w:numFmt w:val="bullet"/>
      <w:lvlText w:val="•"/>
      <w:lvlJc w:val="left"/>
      <w:pPr>
        <w:tabs>
          <w:tab w:val="num" w:pos="5040"/>
        </w:tabs>
        <w:ind w:left="5040" w:hanging="360"/>
      </w:pPr>
      <w:rPr>
        <w:rFonts w:ascii="Arial" w:hAnsi="Arial" w:hint="default"/>
      </w:rPr>
    </w:lvl>
    <w:lvl w:ilvl="7" w:tplc="030C27B0" w:tentative="1">
      <w:start w:val="1"/>
      <w:numFmt w:val="bullet"/>
      <w:lvlText w:val="•"/>
      <w:lvlJc w:val="left"/>
      <w:pPr>
        <w:tabs>
          <w:tab w:val="num" w:pos="5760"/>
        </w:tabs>
        <w:ind w:left="5760" w:hanging="360"/>
      </w:pPr>
      <w:rPr>
        <w:rFonts w:ascii="Arial" w:hAnsi="Arial" w:hint="default"/>
      </w:rPr>
    </w:lvl>
    <w:lvl w:ilvl="8" w:tplc="EED4D4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B5C7157"/>
    <w:multiLevelType w:val="hybridMultilevel"/>
    <w:tmpl w:val="ADD4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FD58C4"/>
    <w:multiLevelType w:val="hybridMultilevel"/>
    <w:tmpl w:val="1BA29BD0"/>
    <w:lvl w:ilvl="0" w:tplc="1F64B862">
      <w:start w:val="1"/>
      <w:numFmt w:val="bullet"/>
      <w:lvlText w:val="•"/>
      <w:lvlJc w:val="left"/>
      <w:pPr>
        <w:tabs>
          <w:tab w:val="num" w:pos="720"/>
        </w:tabs>
        <w:ind w:left="720" w:hanging="360"/>
      </w:pPr>
      <w:rPr>
        <w:rFonts w:ascii="Arial" w:hAnsi="Arial" w:hint="default"/>
      </w:rPr>
    </w:lvl>
    <w:lvl w:ilvl="1" w:tplc="36886E44" w:tentative="1">
      <w:start w:val="1"/>
      <w:numFmt w:val="bullet"/>
      <w:lvlText w:val="•"/>
      <w:lvlJc w:val="left"/>
      <w:pPr>
        <w:tabs>
          <w:tab w:val="num" w:pos="1440"/>
        </w:tabs>
        <w:ind w:left="1440" w:hanging="360"/>
      </w:pPr>
      <w:rPr>
        <w:rFonts w:ascii="Arial" w:hAnsi="Arial" w:hint="default"/>
      </w:rPr>
    </w:lvl>
    <w:lvl w:ilvl="2" w:tplc="9D6E1570" w:tentative="1">
      <w:start w:val="1"/>
      <w:numFmt w:val="bullet"/>
      <w:lvlText w:val="•"/>
      <w:lvlJc w:val="left"/>
      <w:pPr>
        <w:tabs>
          <w:tab w:val="num" w:pos="2160"/>
        </w:tabs>
        <w:ind w:left="2160" w:hanging="360"/>
      </w:pPr>
      <w:rPr>
        <w:rFonts w:ascii="Arial" w:hAnsi="Arial" w:hint="default"/>
      </w:rPr>
    </w:lvl>
    <w:lvl w:ilvl="3" w:tplc="D1623712" w:tentative="1">
      <w:start w:val="1"/>
      <w:numFmt w:val="bullet"/>
      <w:lvlText w:val="•"/>
      <w:lvlJc w:val="left"/>
      <w:pPr>
        <w:tabs>
          <w:tab w:val="num" w:pos="2880"/>
        </w:tabs>
        <w:ind w:left="2880" w:hanging="360"/>
      </w:pPr>
      <w:rPr>
        <w:rFonts w:ascii="Arial" w:hAnsi="Arial" w:hint="default"/>
      </w:rPr>
    </w:lvl>
    <w:lvl w:ilvl="4" w:tplc="2F56732A" w:tentative="1">
      <w:start w:val="1"/>
      <w:numFmt w:val="bullet"/>
      <w:lvlText w:val="•"/>
      <w:lvlJc w:val="left"/>
      <w:pPr>
        <w:tabs>
          <w:tab w:val="num" w:pos="3600"/>
        </w:tabs>
        <w:ind w:left="3600" w:hanging="360"/>
      </w:pPr>
      <w:rPr>
        <w:rFonts w:ascii="Arial" w:hAnsi="Arial" w:hint="default"/>
      </w:rPr>
    </w:lvl>
    <w:lvl w:ilvl="5" w:tplc="89A60B18" w:tentative="1">
      <w:start w:val="1"/>
      <w:numFmt w:val="bullet"/>
      <w:lvlText w:val="•"/>
      <w:lvlJc w:val="left"/>
      <w:pPr>
        <w:tabs>
          <w:tab w:val="num" w:pos="4320"/>
        </w:tabs>
        <w:ind w:left="4320" w:hanging="360"/>
      </w:pPr>
      <w:rPr>
        <w:rFonts w:ascii="Arial" w:hAnsi="Arial" w:hint="default"/>
      </w:rPr>
    </w:lvl>
    <w:lvl w:ilvl="6" w:tplc="D91C9DD0" w:tentative="1">
      <w:start w:val="1"/>
      <w:numFmt w:val="bullet"/>
      <w:lvlText w:val="•"/>
      <w:lvlJc w:val="left"/>
      <w:pPr>
        <w:tabs>
          <w:tab w:val="num" w:pos="5040"/>
        </w:tabs>
        <w:ind w:left="5040" w:hanging="360"/>
      </w:pPr>
      <w:rPr>
        <w:rFonts w:ascii="Arial" w:hAnsi="Arial" w:hint="default"/>
      </w:rPr>
    </w:lvl>
    <w:lvl w:ilvl="7" w:tplc="AE020D2A" w:tentative="1">
      <w:start w:val="1"/>
      <w:numFmt w:val="bullet"/>
      <w:lvlText w:val="•"/>
      <w:lvlJc w:val="left"/>
      <w:pPr>
        <w:tabs>
          <w:tab w:val="num" w:pos="5760"/>
        </w:tabs>
        <w:ind w:left="5760" w:hanging="360"/>
      </w:pPr>
      <w:rPr>
        <w:rFonts w:ascii="Arial" w:hAnsi="Arial" w:hint="default"/>
      </w:rPr>
    </w:lvl>
    <w:lvl w:ilvl="8" w:tplc="6B2615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F936CC"/>
    <w:multiLevelType w:val="hybridMultilevel"/>
    <w:tmpl w:val="40B01AF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E5412"/>
    <w:multiLevelType w:val="hybridMultilevel"/>
    <w:tmpl w:val="F8127A00"/>
    <w:lvl w:ilvl="0" w:tplc="B590FCE2">
      <w:start w:val="1"/>
      <w:numFmt w:val="bullet"/>
      <w:lvlText w:val="–"/>
      <w:lvlJc w:val="left"/>
      <w:pPr>
        <w:tabs>
          <w:tab w:val="num" w:pos="720"/>
        </w:tabs>
        <w:ind w:left="720" w:hanging="360"/>
      </w:pPr>
      <w:rPr>
        <w:rFonts w:ascii="Arial" w:hAnsi="Arial" w:hint="default"/>
      </w:rPr>
    </w:lvl>
    <w:lvl w:ilvl="1" w:tplc="12C8D01A">
      <w:start w:val="1"/>
      <w:numFmt w:val="bullet"/>
      <w:lvlText w:val="–"/>
      <w:lvlJc w:val="left"/>
      <w:pPr>
        <w:tabs>
          <w:tab w:val="num" w:pos="1440"/>
        </w:tabs>
        <w:ind w:left="1440" w:hanging="360"/>
      </w:pPr>
      <w:rPr>
        <w:rFonts w:ascii="Arial" w:hAnsi="Arial" w:hint="default"/>
      </w:rPr>
    </w:lvl>
    <w:lvl w:ilvl="2" w:tplc="163C4062" w:tentative="1">
      <w:start w:val="1"/>
      <w:numFmt w:val="bullet"/>
      <w:lvlText w:val="–"/>
      <w:lvlJc w:val="left"/>
      <w:pPr>
        <w:tabs>
          <w:tab w:val="num" w:pos="2160"/>
        </w:tabs>
        <w:ind w:left="2160" w:hanging="360"/>
      </w:pPr>
      <w:rPr>
        <w:rFonts w:ascii="Arial" w:hAnsi="Arial" w:hint="default"/>
      </w:rPr>
    </w:lvl>
    <w:lvl w:ilvl="3" w:tplc="701C60AA" w:tentative="1">
      <w:start w:val="1"/>
      <w:numFmt w:val="bullet"/>
      <w:lvlText w:val="–"/>
      <w:lvlJc w:val="left"/>
      <w:pPr>
        <w:tabs>
          <w:tab w:val="num" w:pos="2880"/>
        </w:tabs>
        <w:ind w:left="2880" w:hanging="360"/>
      </w:pPr>
      <w:rPr>
        <w:rFonts w:ascii="Arial" w:hAnsi="Arial" w:hint="default"/>
      </w:rPr>
    </w:lvl>
    <w:lvl w:ilvl="4" w:tplc="EE361D4E" w:tentative="1">
      <w:start w:val="1"/>
      <w:numFmt w:val="bullet"/>
      <w:lvlText w:val="–"/>
      <w:lvlJc w:val="left"/>
      <w:pPr>
        <w:tabs>
          <w:tab w:val="num" w:pos="3600"/>
        </w:tabs>
        <w:ind w:left="3600" w:hanging="360"/>
      </w:pPr>
      <w:rPr>
        <w:rFonts w:ascii="Arial" w:hAnsi="Arial" w:hint="default"/>
      </w:rPr>
    </w:lvl>
    <w:lvl w:ilvl="5" w:tplc="7930A200" w:tentative="1">
      <w:start w:val="1"/>
      <w:numFmt w:val="bullet"/>
      <w:lvlText w:val="–"/>
      <w:lvlJc w:val="left"/>
      <w:pPr>
        <w:tabs>
          <w:tab w:val="num" w:pos="4320"/>
        </w:tabs>
        <w:ind w:left="4320" w:hanging="360"/>
      </w:pPr>
      <w:rPr>
        <w:rFonts w:ascii="Arial" w:hAnsi="Arial" w:hint="default"/>
      </w:rPr>
    </w:lvl>
    <w:lvl w:ilvl="6" w:tplc="5D70FB78" w:tentative="1">
      <w:start w:val="1"/>
      <w:numFmt w:val="bullet"/>
      <w:lvlText w:val="–"/>
      <w:lvlJc w:val="left"/>
      <w:pPr>
        <w:tabs>
          <w:tab w:val="num" w:pos="5040"/>
        </w:tabs>
        <w:ind w:left="5040" w:hanging="360"/>
      </w:pPr>
      <w:rPr>
        <w:rFonts w:ascii="Arial" w:hAnsi="Arial" w:hint="default"/>
      </w:rPr>
    </w:lvl>
    <w:lvl w:ilvl="7" w:tplc="D9542CDC" w:tentative="1">
      <w:start w:val="1"/>
      <w:numFmt w:val="bullet"/>
      <w:lvlText w:val="–"/>
      <w:lvlJc w:val="left"/>
      <w:pPr>
        <w:tabs>
          <w:tab w:val="num" w:pos="5760"/>
        </w:tabs>
        <w:ind w:left="5760" w:hanging="360"/>
      </w:pPr>
      <w:rPr>
        <w:rFonts w:ascii="Arial" w:hAnsi="Arial" w:hint="default"/>
      </w:rPr>
    </w:lvl>
    <w:lvl w:ilvl="8" w:tplc="6E145E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40C7E"/>
    <w:multiLevelType w:val="hybridMultilevel"/>
    <w:tmpl w:val="DDF6C198"/>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68AC4BF5"/>
    <w:multiLevelType w:val="hybridMultilevel"/>
    <w:tmpl w:val="80189414"/>
    <w:lvl w:ilvl="0" w:tplc="5F7C9A42">
      <w:start w:val="1"/>
      <w:numFmt w:val="bullet"/>
      <w:lvlText w:val="•"/>
      <w:lvlJc w:val="left"/>
      <w:pPr>
        <w:tabs>
          <w:tab w:val="num" w:pos="720"/>
        </w:tabs>
        <w:ind w:left="720" w:hanging="360"/>
      </w:pPr>
      <w:rPr>
        <w:rFonts w:ascii="Arial" w:hAnsi="Arial" w:hint="default"/>
      </w:rPr>
    </w:lvl>
    <w:lvl w:ilvl="1" w:tplc="6584150C" w:tentative="1">
      <w:start w:val="1"/>
      <w:numFmt w:val="bullet"/>
      <w:lvlText w:val="•"/>
      <w:lvlJc w:val="left"/>
      <w:pPr>
        <w:tabs>
          <w:tab w:val="num" w:pos="1440"/>
        </w:tabs>
        <w:ind w:left="1440" w:hanging="360"/>
      </w:pPr>
      <w:rPr>
        <w:rFonts w:ascii="Arial" w:hAnsi="Arial" w:hint="default"/>
      </w:rPr>
    </w:lvl>
    <w:lvl w:ilvl="2" w:tplc="D354FD18" w:tentative="1">
      <w:start w:val="1"/>
      <w:numFmt w:val="bullet"/>
      <w:lvlText w:val="•"/>
      <w:lvlJc w:val="left"/>
      <w:pPr>
        <w:tabs>
          <w:tab w:val="num" w:pos="2160"/>
        </w:tabs>
        <w:ind w:left="2160" w:hanging="360"/>
      </w:pPr>
      <w:rPr>
        <w:rFonts w:ascii="Arial" w:hAnsi="Arial" w:hint="default"/>
      </w:rPr>
    </w:lvl>
    <w:lvl w:ilvl="3" w:tplc="325414B8" w:tentative="1">
      <w:start w:val="1"/>
      <w:numFmt w:val="bullet"/>
      <w:lvlText w:val="•"/>
      <w:lvlJc w:val="left"/>
      <w:pPr>
        <w:tabs>
          <w:tab w:val="num" w:pos="2880"/>
        </w:tabs>
        <w:ind w:left="2880" w:hanging="360"/>
      </w:pPr>
      <w:rPr>
        <w:rFonts w:ascii="Arial" w:hAnsi="Arial" w:hint="default"/>
      </w:rPr>
    </w:lvl>
    <w:lvl w:ilvl="4" w:tplc="3B3CE126" w:tentative="1">
      <w:start w:val="1"/>
      <w:numFmt w:val="bullet"/>
      <w:lvlText w:val="•"/>
      <w:lvlJc w:val="left"/>
      <w:pPr>
        <w:tabs>
          <w:tab w:val="num" w:pos="3600"/>
        </w:tabs>
        <w:ind w:left="3600" w:hanging="360"/>
      </w:pPr>
      <w:rPr>
        <w:rFonts w:ascii="Arial" w:hAnsi="Arial" w:hint="default"/>
      </w:rPr>
    </w:lvl>
    <w:lvl w:ilvl="5" w:tplc="3028F150" w:tentative="1">
      <w:start w:val="1"/>
      <w:numFmt w:val="bullet"/>
      <w:lvlText w:val="•"/>
      <w:lvlJc w:val="left"/>
      <w:pPr>
        <w:tabs>
          <w:tab w:val="num" w:pos="4320"/>
        </w:tabs>
        <w:ind w:left="4320" w:hanging="360"/>
      </w:pPr>
      <w:rPr>
        <w:rFonts w:ascii="Arial" w:hAnsi="Arial" w:hint="default"/>
      </w:rPr>
    </w:lvl>
    <w:lvl w:ilvl="6" w:tplc="3C9E0932" w:tentative="1">
      <w:start w:val="1"/>
      <w:numFmt w:val="bullet"/>
      <w:lvlText w:val="•"/>
      <w:lvlJc w:val="left"/>
      <w:pPr>
        <w:tabs>
          <w:tab w:val="num" w:pos="5040"/>
        </w:tabs>
        <w:ind w:left="5040" w:hanging="360"/>
      </w:pPr>
      <w:rPr>
        <w:rFonts w:ascii="Arial" w:hAnsi="Arial" w:hint="default"/>
      </w:rPr>
    </w:lvl>
    <w:lvl w:ilvl="7" w:tplc="021C5CB4" w:tentative="1">
      <w:start w:val="1"/>
      <w:numFmt w:val="bullet"/>
      <w:lvlText w:val="•"/>
      <w:lvlJc w:val="left"/>
      <w:pPr>
        <w:tabs>
          <w:tab w:val="num" w:pos="5760"/>
        </w:tabs>
        <w:ind w:left="5760" w:hanging="360"/>
      </w:pPr>
      <w:rPr>
        <w:rFonts w:ascii="Arial" w:hAnsi="Arial" w:hint="default"/>
      </w:rPr>
    </w:lvl>
    <w:lvl w:ilvl="8" w:tplc="C944C1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F83773"/>
    <w:multiLevelType w:val="hybridMultilevel"/>
    <w:tmpl w:val="F496DAB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7" w15:restartNumberingAfterBreak="0">
    <w:nsid w:val="73E56F14"/>
    <w:multiLevelType w:val="hybridMultilevel"/>
    <w:tmpl w:val="D66A3F00"/>
    <w:lvl w:ilvl="0" w:tplc="F4341A64">
      <w:start w:val="1"/>
      <w:numFmt w:val="decimal"/>
      <w:pStyle w:val="Reference"/>
      <w:lvlText w:val="[%1]"/>
      <w:lvlJc w:val="left"/>
      <w:pPr>
        <w:tabs>
          <w:tab w:val="num" w:pos="420"/>
        </w:tabs>
        <w:ind w:left="420" w:hanging="420"/>
      </w:pPr>
      <w:rPr>
        <w:rFonts w:hint="eastAsia"/>
      </w:rPr>
    </w:lvl>
    <w:lvl w:ilvl="1" w:tplc="CF06CBCE" w:tentative="1">
      <w:start w:val="1"/>
      <w:numFmt w:val="lowerLetter"/>
      <w:lvlText w:val="%2)"/>
      <w:lvlJc w:val="left"/>
      <w:pPr>
        <w:tabs>
          <w:tab w:val="num" w:pos="840"/>
        </w:tabs>
        <w:ind w:left="840" w:hanging="420"/>
      </w:pPr>
    </w:lvl>
    <w:lvl w:ilvl="2" w:tplc="553663AE" w:tentative="1">
      <w:start w:val="1"/>
      <w:numFmt w:val="lowerRoman"/>
      <w:lvlText w:val="%3."/>
      <w:lvlJc w:val="right"/>
      <w:pPr>
        <w:tabs>
          <w:tab w:val="num" w:pos="1260"/>
        </w:tabs>
        <w:ind w:left="1260" w:hanging="420"/>
      </w:pPr>
    </w:lvl>
    <w:lvl w:ilvl="3" w:tplc="96C23B42" w:tentative="1">
      <w:start w:val="1"/>
      <w:numFmt w:val="decimal"/>
      <w:lvlText w:val="%4."/>
      <w:lvlJc w:val="left"/>
      <w:pPr>
        <w:tabs>
          <w:tab w:val="num" w:pos="1680"/>
        </w:tabs>
        <w:ind w:left="1680" w:hanging="420"/>
      </w:pPr>
    </w:lvl>
    <w:lvl w:ilvl="4" w:tplc="A3EAE90C" w:tentative="1">
      <w:start w:val="1"/>
      <w:numFmt w:val="lowerLetter"/>
      <w:lvlText w:val="%5)"/>
      <w:lvlJc w:val="left"/>
      <w:pPr>
        <w:tabs>
          <w:tab w:val="num" w:pos="2100"/>
        </w:tabs>
        <w:ind w:left="2100" w:hanging="420"/>
      </w:pPr>
    </w:lvl>
    <w:lvl w:ilvl="5" w:tplc="2710D5C0" w:tentative="1">
      <w:start w:val="1"/>
      <w:numFmt w:val="lowerRoman"/>
      <w:lvlText w:val="%6."/>
      <w:lvlJc w:val="right"/>
      <w:pPr>
        <w:tabs>
          <w:tab w:val="num" w:pos="2520"/>
        </w:tabs>
        <w:ind w:left="2520" w:hanging="420"/>
      </w:pPr>
    </w:lvl>
    <w:lvl w:ilvl="6" w:tplc="D76C0204" w:tentative="1">
      <w:start w:val="1"/>
      <w:numFmt w:val="decimal"/>
      <w:lvlText w:val="%7."/>
      <w:lvlJc w:val="left"/>
      <w:pPr>
        <w:tabs>
          <w:tab w:val="num" w:pos="2940"/>
        </w:tabs>
        <w:ind w:left="2940" w:hanging="420"/>
      </w:pPr>
    </w:lvl>
    <w:lvl w:ilvl="7" w:tplc="BDC4BC4A" w:tentative="1">
      <w:start w:val="1"/>
      <w:numFmt w:val="lowerLetter"/>
      <w:lvlText w:val="%8)"/>
      <w:lvlJc w:val="left"/>
      <w:pPr>
        <w:tabs>
          <w:tab w:val="num" w:pos="3360"/>
        </w:tabs>
        <w:ind w:left="3360" w:hanging="420"/>
      </w:pPr>
    </w:lvl>
    <w:lvl w:ilvl="8" w:tplc="0860C434" w:tentative="1">
      <w:start w:val="1"/>
      <w:numFmt w:val="lowerRoman"/>
      <w:lvlText w:val="%9."/>
      <w:lvlJc w:val="right"/>
      <w:pPr>
        <w:tabs>
          <w:tab w:val="num" w:pos="3780"/>
        </w:tabs>
        <w:ind w:left="3780" w:hanging="420"/>
      </w:p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CE521E"/>
    <w:multiLevelType w:val="hybridMultilevel"/>
    <w:tmpl w:val="DAFC7E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38"/>
  </w:num>
  <w:num w:numId="3">
    <w:abstractNumId w:val="37"/>
  </w:num>
  <w:num w:numId="4">
    <w:abstractNumId w:val="15"/>
  </w:num>
  <w:num w:numId="5">
    <w:abstractNumId w:val="25"/>
  </w:num>
  <w:num w:numId="6">
    <w:abstractNumId w:val="24"/>
  </w:num>
  <w:num w:numId="7">
    <w:abstractNumId w:val="13"/>
  </w:num>
  <w:num w:numId="8">
    <w:abstractNumId w:val="14"/>
  </w:num>
  <w:num w:numId="9">
    <w:abstractNumId w:val="7"/>
  </w:num>
  <w:num w:numId="10">
    <w:abstractNumId w:val="27"/>
  </w:num>
  <w:num w:numId="11">
    <w:abstractNumId w:val="11"/>
  </w:num>
  <w:num w:numId="12">
    <w:abstractNumId w:val="16"/>
  </w:num>
  <w:num w:numId="13">
    <w:abstractNumId w:val="10"/>
  </w:num>
  <w:num w:numId="14">
    <w:abstractNumId w:val="32"/>
  </w:num>
  <w:num w:numId="15">
    <w:abstractNumId w:val="22"/>
  </w:num>
  <w:num w:numId="16">
    <w:abstractNumId w:val="30"/>
  </w:num>
  <w:num w:numId="17">
    <w:abstractNumId w:val="21"/>
  </w:num>
  <w:num w:numId="18">
    <w:abstractNumId w:val="33"/>
  </w:num>
  <w:num w:numId="1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num>
  <w:num w:numId="21">
    <w:abstractNumId w:val="34"/>
  </w:num>
  <w:num w:numId="22">
    <w:abstractNumId w:val="9"/>
  </w:num>
  <w:num w:numId="23">
    <w:abstractNumId w:val="39"/>
  </w:num>
  <w:num w:numId="24">
    <w:abstractNumId w:val="29"/>
  </w:num>
  <w:num w:numId="25">
    <w:abstractNumId w:val="31"/>
  </w:num>
  <w:num w:numId="26">
    <w:abstractNumId w:val="0"/>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
  </w:num>
  <w:num w:numId="30">
    <w:abstractNumId w:val="18"/>
  </w:num>
  <w:num w:numId="31">
    <w:abstractNumId w:val="6"/>
  </w:num>
  <w:num w:numId="32">
    <w:abstractNumId w:val="23"/>
  </w:num>
  <w:num w:numId="33">
    <w:abstractNumId w:val="35"/>
  </w:num>
  <w:num w:numId="34">
    <w:abstractNumId w:val="4"/>
  </w:num>
  <w:num w:numId="35">
    <w:abstractNumId w:val="8"/>
  </w:num>
  <w:num w:numId="36">
    <w:abstractNumId w:val="17"/>
  </w:num>
  <w:num w:numId="37">
    <w:abstractNumId w:val="5"/>
  </w:num>
  <w:num w:numId="38">
    <w:abstractNumId w:val="2"/>
  </w:num>
  <w:num w:numId="39">
    <w:abstractNumId w:val="26"/>
  </w:num>
  <w:num w:numId="40">
    <w:abstractNumId w:val="19"/>
  </w:num>
  <w:num w:numId="41">
    <w:abstractNumId w:val="20"/>
  </w:num>
  <w:num w:numId="42">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D8"/>
    <w:rsid w:val="00017D8A"/>
    <w:rsid w:val="0002077D"/>
    <w:rsid w:val="000209F4"/>
    <w:rsid w:val="00020A58"/>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407"/>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A10"/>
    <w:rsid w:val="00063F27"/>
    <w:rsid w:val="00064060"/>
    <w:rsid w:val="00065B30"/>
    <w:rsid w:val="00065D38"/>
    <w:rsid w:val="00065F19"/>
    <w:rsid w:val="0006640F"/>
    <w:rsid w:val="000668E2"/>
    <w:rsid w:val="0006703A"/>
    <w:rsid w:val="000670CF"/>
    <w:rsid w:val="000672BF"/>
    <w:rsid w:val="0006756E"/>
    <w:rsid w:val="00067DA2"/>
    <w:rsid w:val="00067DD1"/>
    <w:rsid w:val="00070051"/>
    <w:rsid w:val="00070447"/>
    <w:rsid w:val="00070480"/>
    <w:rsid w:val="000706E7"/>
    <w:rsid w:val="00070B2C"/>
    <w:rsid w:val="00070EF8"/>
    <w:rsid w:val="00071192"/>
    <w:rsid w:val="000713A7"/>
    <w:rsid w:val="00071961"/>
    <w:rsid w:val="00071CAD"/>
    <w:rsid w:val="00071D7D"/>
    <w:rsid w:val="00072872"/>
    <w:rsid w:val="00072A80"/>
    <w:rsid w:val="00072BB4"/>
    <w:rsid w:val="00072EA5"/>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43D2"/>
    <w:rsid w:val="000E454E"/>
    <w:rsid w:val="000E5091"/>
    <w:rsid w:val="000E579F"/>
    <w:rsid w:val="000E59A0"/>
    <w:rsid w:val="000E5B5B"/>
    <w:rsid w:val="000E61E7"/>
    <w:rsid w:val="000E6320"/>
    <w:rsid w:val="000E63AA"/>
    <w:rsid w:val="000E661D"/>
    <w:rsid w:val="000E6728"/>
    <w:rsid w:val="000E6B02"/>
    <w:rsid w:val="000E6C8C"/>
    <w:rsid w:val="000E7A84"/>
    <w:rsid w:val="000E7B39"/>
    <w:rsid w:val="000F09F9"/>
    <w:rsid w:val="000F0D75"/>
    <w:rsid w:val="000F15BC"/>
    <w:rsid w:val="000F1746"/>
    <w:rsid w:val="000F180A"/>
    <w:rsid w:val="000F1C92"/>
    <w:rsid w:val="000F27A4"/>
    <w:rsid w:val="000F2EEE"/>
    <w:rsid w:val="000F3697"/>
    <w:rsid w:val="000F3825"/>
    <w:rsid w:val="000F3D73"/>
    <w:rsid w:val="000F3E2D"/>
    <w:rsid w:val="000F41EF"/>
    <w:rsid w:val="000F44E3"/>
    <w:rsid w:val="000F4F82"/>
    <w:rsid w:val="000F505E"/>
    <w:rsid w:val="000F522C"/>
    <w:rsid w:val="000F598A"/>
    <w:rsid w:val="000F5FEA"/>
    <w:rsid w:val="000F6FCE"/>
    <w:rsid w:val="000F7152"/>
    <w:rsid w:val="000F7309"/>
    <w:rsid w:val="000F77B7"/>
    <w:rsid w:val="000F7F58"/>
    <w:rsid w:val="00100128"/>
    <w:rsid w:val="00100347"/>
    <w:rsid w:val="00100DDD"/>
    <w:rsid w:val="00100FF3"/>
    <w:rsid w:val="0010172A"/>
    <w:rsid w:val="00101753"/>
    <w:rsid w:val="00101956"/>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557B"/>
    <w:rsid w:val="001155DF"/>
    <w:rsid w:val="001173CC"/>
    <w:rsid w:val="0011740B"/>
    <w:rsid w:val="00117B9B"/>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D67"/>
    <w:rsid w:val="00157FC3"/>
    <w:rsid w:val="00160361"/>
    <w:rsid w:val="00160739"/>
    <w:rsid w:val="00161480"/>
    <w:rsid w:val="001617AE"/>
    <w:rsid w:val="0016271E"/>
    <w:rsid w:val="00162AB4"/>
    <w:rsid w:val="00162D7A"/>
    <w:rsid w:val="00163053"/>
    <w:rsid w:val="001633B1"/>
    <w:rsid w:val="00164027"/>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D4B"/>
    <w:rsid w:val="00177FC1"/>
    <w:rsid w:val="00180194"/>
    <w:rsid w:val="001805C9"/>
    <w:rsid w:val="00180FD3"/>
    <w:rsid w:val="0018142D"/>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4C11"/>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55BB"/>
    <w:rsid w:val="001A623D"/>
    <w:rsid w:val="001A642A"/>
    <w:rsid w:val="001A673E"/>
    <w:rsid w:val="001A6772"/>
    <w:rsid w:val="001A7763"/>
    <w:rsid w:val="001B0BD9"/>
    <w:rsid w:val="001B2249"/>
    <w:rsid w:val="001B334C"/>
    <w:rsid w:val="001B3964"/>
    <w:rsid w:val="001B3E4B"/>
    <w:rsid w:val="001B4452"/>
    <w:rsid w:val="001B448E"/>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827"/>
    <w:rsid w:val="001F3911"/>
    <w:rsid w:val="001F3CCB"/>
    <w:rsid w:val="001F3F1A"/>
    <w:rsid w:val="001F405B"/>
    <w:rsid w:val="001F4101"/>
    <w:rsid w:val="001F482A"/>
    <w:rsid w:val="001F4B00"/>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C4D"/>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270"/>
    <w:rsid w:val="002D286B"/>
    <w:rsid w:val="002D2962"/>
    <w:rsid w:val="002D2F4E"/>
    <w:rsid w:val="002D3163"/>
    <w:rsid w:val="002D3AFA"/>
    <w:rsid w:val="002D3BBC"/>
    <w:rsid w:val="002D438A"/>
    <w:rsid w:val="002D5738"/>
    <w:rsid w:val="002D58A1"/>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EE3"/>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069"/>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FDD"/>
    <w:rsid w:val="00343198"/>
    <w:rsid w:val="0034429B"/>
    <w:rsid w:val="003442FF"/>
    <w:rsid w:val="00344866"/>
    <w:rsid w:val="00344F9B"/>
    <w:rsid w:val="00345F14"/>
    <w:rsid w:val="003462FD"/>
    <w:rsid w:val="0034638C"/>
    <w:rsid w:val="0034666E"/>
    <w:rsid w:val="0034673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C33"/>
    <w:rsid w:val="003C4878"/>
    <w:rsid w:val="003C4882"/>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514"/>
    <w:rsid w:val="003F3D4E"/>
    <w:rsid w:val="003F3E38"/>
    <w:rsid w:val="003F40FC"/>
    <w:rsid w:val="003F469E"/>
    <w:rsid w:val="003F477E"/>
    <w:rsid w:val="003F4900"/>
    <w:rsid w:val="003F4BEB"/>
    <w:rsid w:val="003F4E3A"/>
    <w:rsid w:val="003F545D"/>
    <w:rsid w:val="003F5888"/>
    <w:rsid w:val="003F6798"/>
    <w:rsid w:val="003F6CD2"/>
    <w:rsid w:val="003F71C7"/>
    <w:rsid w:val="003F7511"/>
    <w:rsid w:val="003F788D"/>
    <w:rsid w:val="003F7D6A"/>
    <w:rsid w:val="00400475"/>
    <w:rsid w:val="0040061C"/>
    <w:rsid w:val="00400E2B"/>
    <w:rsid w:val="0040126E"/>
    <w:rsid w:val="0040209D"/>
    <w:rsid w:val="004020D4"/>
    <w:rsid w:val="004021B6"/>
    <w:rsid w:val="004021C9"/>
    <w:rsid w:val="0040227F"/>
    <w:rsid w:val="00402661"/>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8C5"/>
    <w:rsid w:val="00451C74"/>
    <w:rsid w:val="00451C7E"/>
    <w:rsid w:val="004524A5"/>
    <w:rsid w:val="00453413"/>
    <w:rsid w:val="00453797"/>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32E"/>
    <w:rsid w:val="004B1685"/>
    <w:rsid w:val="004B1A20"/>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CD8"/>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3D1B"/>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5CD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3C0B"/>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27E"/>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396"/>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5E24"/>
    <w:rsid w:val="006062B8"/>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4B8F"/>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7240"/>
    <w:rsid w:val="006377CE"/>
    <w:rsid w:val="006406B0"/>
    <w:rsid w:val="00640776"/>
    <w:rsid w:val="0064080C"/>
    <w:rsid w:val="00640EB6"/>
    <w:rsid w:val="006411C4"/>
    <w:rsid w:val="00641787"/>
    <w:rsid w:val="006424FE"/>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74C"/>
    <w:rsid w:val="006648B0"/>
    <w:rsid w:val="00664B28"/>
    <w:rsid w:val="00664F9C"/>
    <w:rsid w:val="0066507A"/>
    <w:rsid w:val="00665229"/>
    <w:rsid w:val="00666DE2"/>
    <w:rsid w:val="00667028"/>
    <w:rsid w:val="0066732C"/>
    <w:rsid w:val="006679F5"/>
    <w:rsid w:val="00667B77"/>
    <w:rsid w:val="00670179"/>
    <w:rsid w:val="00670388"/>
    <w:rsid w:val="006704C7"/>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2D9"/>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13"/>
    <w:rsid w:val="006C065B"/>
    <w:rsid w:val="006C0A77"/>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445"/>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33F"/>
    <w:rsid w:val="006E0573"/>
    <w:rsid w:val="006E061A"/>
    <w:rsid w:val="006E0BB0"/>
    <w:rsid w:val="006E12C3"/>
    <w:rsid w:val="006E1935"/>
    <w:rsid w:val="006E1AC0"/>
    <w:rsid w:val="006E1B6F"/>
    <w:rsid w:val="006E2529"/>
    <w:rsid w:val="006E2A73"/>
    <w:rsid w:val="006E2B53"/>
    <w:rsid w:val="006E2F86"/>
    <w:rsid w:val="006E3334"/>
    <w:rsid w:val="006E34BF"/>
    <w:rsid w:val="006E34E1"/>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4E8A"/>
    <w:rsid w:val="007051F0"/>
    <w:rsid w:val="00705C38"/>
    <w:rsid w:val="007060BE"/>
    <w:rsid w:val="007063E3"/>
    <w:rsid w:val="00706465"/>
    <w:rsid w:val="0070695A"/>
    <w:rsid w:val="00706FFB"/>
    <w:rsid w:val="0070782D"/>
    <w:rsid w:val="00707AD1"/>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B0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162"/>
    <w:rsid w:val="00770704"/>
    <w:rsid w:val="0077175C"/>
    <w:rsid w:val="00771870"/>
    <w:rsid w:val="00771BF9"/>
    <w:rsid w:val="00771D41"/>
    <w:rsid w:val="00771D51"/>
    <w:rsid w:val="00772204"/>
    <w:rsid w:val="0077230A"/>
    <w:rsid w:val="007724A2"/>
    <w:rsid w:val="00772E39"/>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070"/>
    <w:rsid w:val="007A69D6"/>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413F"/>
    <w:rsid w:val="007D4178"/>
    <w:rsid w:val="007D41C6"/>
    <w:rsid w:val="007D4D33"/>
    <w:rsid w:val="007D4FAD"/>
    <w:rsid w:val="007D5B81"/>
    <w:rsid w:val="007D5E3C"/>
    <w:rsid w:val="007D7175"/>
    <w:rsid w:val="007D7814"/>
    <w:rsid w:val="007D7A9A"/>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050"/>
    <w:rsid w:val="008022AE"/>
    <w:rsid w:val="00802E74"/>
    <w:rsid w:val="008034B2"/>
    <w:rsid w:val="008036C6"/>
    <w:rsid w:val="00803765"/>
    <w:rsid w:val="008039AD"/>
    <w:rsid w:val="00803AC3"/>
    <w:rsid w:val="00803C22"/>
    <w:rsid w:val="0080404B"/>
    <w:rsid w:val="00804924"/>
    <w:rsid w:val="0080497B"/>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7CB"/>
    <w:rsid w:val="00813F2F"/>
    <w:rsid w:val="008144A7"/>
    <w:rsid w:val="00814A3B"/>
    <w:rsid w:val="00815106"/>
    <w:rsid w:val="0081581D"/>
    <w:rsid w:val="008159C8"/>
    <w:rsid w:val="00815BAA"/>
    <w:rsid w:val="0081623E"/>
    <w:rsid w:val="00816835"/>
    <w:rsid w:val="00816C92"/>
    <w:rsid w:val="00816F60"/>
    <w:rsid w:val="00817165"/>
    <w:rsid w:val="008172BE"/>
    <w:rsid w:val="00817B71"/>
    <w:rsid w:val="00820244"/>
    <w:rsid w:val="00821DE2"/>
    <w:rsid w:val="008221B3"/>
    <w:rsid w:val="0082248E"/>
    <w:rsid w:val="0082262F"/>
    <w:rsid w:val="008228CB"/>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A18"/>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92D"/>
    <w:rsid w:val="00850AE0"/>
    <w:rsid w:val="00850F0E"/>
    <w:rsid w:val="0085123F"/>
    <w:rsid w:val="00851B1C"/>
    <w:rsid w:val="008524D2"/>
    <w:rsid w:val="008528D6"/>
    <w:rsid w:val="00852BB6"/>
    <w:rsid w:val="00852CB3"/>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A41"/>
    <w:rsid w:val="00870C23"/>
    <w:rsid w:val="008712FD"/>
    <w:rsid w:val="0087138E"/>
    <w:rsid w:val="008713A6"/>
    <w:rsid w:val="008716A1"/>
    <w:rsid w:val="00871A80"/>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B36"/>
    <w:rsid w:val="008E1B6F"/>
    <w:rsid w:val="008E2251"/>
    <w:rsid w:val="008E24B3"/>
    <w:rsid w:val="008E24CA"/>
    <w:rsid w:val="008E273E"/>
    <w:rsid w:val="008E2F6E"/>
    <w:rsid w:val="008E3040"/>
    <w:rsid w:val="008E31AA"/>
    <w:rsid w:val="008E357C"/>
    <w:rsid w:val="008E38AD"/>
    <w:rsid w:val="008E3DB6"/>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9C4"/>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80"/>
    <w:rsid w:val="009172B6"/>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61C"/>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6AA"/>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991"/>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8EF"/>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2B6"/>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EEB"/>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46A"/>
    <w:rsid w:val="00A82D58"/>
    <w:rsid w:val="00A82FDE"/>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50A"/>
    <w:rsid w:val="00AA2B1C"/>
    <w:rsid w:val="00AA30D6"/>
    <w:rsid w:val="00AA3AFB"/>
    <w:rsid w:val="00AA3DB7"/>
    <w:rsid w:val="00AA4601"/>
    <w:rsid w:val="00AA4808"/>
    <w:rsid w:val="00AA495A"/>
    <w:rsid w:val="00AA4C97"/>
    <w:rsid w:val="00AA4E27"/>
    <w:rsid w:val="00AA4F92"/>
    <w:rsid w:val="00AA51F5"/>
    <w:rsid w:val="00AA54EF"/>
    <w:rsid w:val="00AA5A56"/>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1A08"/>
    <w:rsid w:val="00AF212C"/>
    <w:rsid w:val="00AF23AC"/>
    <w:rsid w:val="00AF25D5"/>
    <w:rsid w:val="00AF2915"/>
    <w:rsid w:val="00AF301D"/>
    <w:rsid w:val="00AF3199"/>
    <w:rsid w:val="00AF3669"/>
    <w:rsid w:val="00AF3A22"/>
    <w:rsid w:val="00AF3DBB"/>
    <w:rsid w:val="00AF4DB2"/>
    <w:rsid w:val="00AF4EA8"/>
    <w:rsid w:val="00AF5194"/>
    <w:rsid w:val="00AF521A"/>
    <w:rsid w:val="00AF53C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88"/>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63"/>
    <w:rsid w:val="00B55AC2"/>
    <w:rsid w:val="00B560C9"/>
    <w:rsid w:val="00B562ED"/>
    <w:rsid w:val="00B56533"/>
    <w:rsid w:val="00B5681C"/>
    <w:rsid w:val="00B56CFC"/>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60"/>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EB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E7D"/>
    <w:rsid w:val="00C07118"/>
    <w:rsid w:val="00C07C90"/>
    <w:rsid w:val="00C102C4"/>
    <w:rsid w:val="00C10419"/>
    <w:rsid w:val="00C10815"/>
    <w:rsid w:val="00C10BE9"/>
    <w:rsid w:val="00C1112B"/>
    <w:rsid w:val="00C115BF"/>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495"/>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666"/>
    <w:rsid w:val="00C51A37"/>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84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78D"/>
    <w:rsid w:val="00C94E75"/>
    <w:rsid w:val="00C95581"/>
    <w:rsid w:val="00C9569C"/>
    <w:rsid w:val="00C95854"/>
    <w:rsid w:val="00C95EFF"/>
    <w:rsid w:val="00C960F0"/>
    <w:rsid w:val="00C96B9B"/>
    <w:rsid w:val="00C96E6F"/>
    <w:rsid w:val="00C96E70"/>
    <w:rsid w:val="00C97405"/>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5B06"/>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D53"/>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5D70"/>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1B33"/>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24B"/>
    <w:rsid w:val="00DE1459"/>
    <w:rsid w:val="00DE1663"/>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3E05"/>
    <w:rsid w:val="00E04022"/>
    <w:rsid w:val="00E0446A"/>
    <w:rsid w:val="00E045D2"/>
    <w:rsid w:val="00E045F0"/>
    <w:rsid w:val="00E0560D"/>
    <w:rsid w:val="00E05825"/>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3F8"/>
    <w:rsid w:val="00E37923"/>
    <w:rsid w:val="00E3792E"/>
    <w:rsid w:val="00E37994"/>
    <w:rsid w:val="00E37B4A"/>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9EE"/>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D22"/>
    <w:rsid w:val="00E66039"/>
    <w:rsid w:val="00E6603E"/>
    <w:rsid w:val="00E66A6A"/>
    <w:rsid w:val="00E66BE9"/>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965"/>
    <w:rsid w:val="00EA5A62"/>
    <w:rsid w:val="00EA5B0A"/>
    <w:rsid w:val="00EA5DF8"/>
    <w:rsid w:val="00EA6361"/>
    <w:rsid w:val="00EA6388"/>
    <w:rsid w:val="00EA65AD"/>
    <w:rsid w:val="00EA6E51"/>
    <w:rsid w:val="00EA6EB5"/>
    <w:rsid w:val="00EA7446"/>
    <w:rsid w:val="00EA7FCF"/>
    <w:rsid w:val="00EA7FFB"/>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AD1"/>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D072D"/>
    <w:rsid w:val="00ED091F"/>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0DED"/>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6D5"/>
    <w:rsid w:val="00F34CD6"/>
    <w:rsid w:val="00F35806"/>
    <w:rsid w:val="00F35873"/>
    <w:rsid w:val="00F35920"/>
    <w:rsid w:val="00F3598A"/>
    <w:rsid w:val="00F35C20"/>
    <w:rsid w:val="00F3645B"/>
    <w:rsid w:val="00F36619"/>
    <w:rsid w:val="00F366A5"/>
    <w:rsid w:val="00F36BF7"/>
    <w:rsid w:val="00F36C5F"/>
    <w:rsid w:val="00F36DAA"/>
    <w:rsid w:val="00F37259"/>
    <w:rsid w:val="00F40176"/>
    <w:rsid w:val="00F4019A"/>
    <w:rsid w:val="00F403C5"/>
    <w:rsid w:val="00F405A4"/>
    <w:rsid w:val="00F40CDF"/>
    <w:rsid w:val="00F40FBD"/>
    <w:rsid w:val="00F41631"/>
    <w:rsid w:val="00F41A64"/>
    <w:rsid w:val="00F41B3D"/>
    <w:rsid w:val="00F41EF3"/>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FD8"/>
    <w:rsid w:val="00F621D9"/>
    <w:rsid w:val="00F62235"/>
    <w:rsid w:val="00F624BA"/>
    <w:rsid w:val="00F62B00"/>
    <w:rsid w:val="00F62B0A"/>
    <w:rsid w:val="00F62DBF"/>
    <w:rsid w:val="00F641FC"/>
    <w:rsid w:val="00F647F7"/>
    <w:rsid w:val="00F64EB4"/>
    <w:rsid w:val="00F64F1F"/>
    <w:rsid w:val="00F650F2"/>
    <w:rsid w:val="00F656AC"/>
    <w:rsid w:val="00F6583C"/>
    <w:rsid w:val="00F6589A"/>
    <w:rsid w:val="00F65A41"/>
    <w:rsid w:val="00F6783E"/>
    <w:rsid w:val="00F679EE"/>
    <w:rsid w:val="00F67A34"/>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2CC"/>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B73C8AD"/>
  <w15:chartTrackingRefBased/>
  <w15:docId w15:val="{94131FEF-2830-4724-AB4A-F4E9359A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9C4"/>
    <w:pPr>
      <w:autoSpaceDE w:val="0"/>
      <w:autoSpaceDN w:val="0"/>
      <w:adjustRightInd w:val="0"/>
      <w:snapToGrid w:val="0"/>
      <w:spacing w:after="120"/>
    </w:pPr>
    <w:rPr>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val="en-US"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목록 단락,リスト段落,?? ??,?????,????,Lista1"/>
    <w:basedOn w:val="Normal"/>
    <w:link w:val="ListParagraphChar"/>
    <w:uiPriority w:val="34"/>
    <w:qFormat/>
    <w:rsid w:val="0050765C"/>
    <w:pPr>
      <w:autoSpaceDE/>
      <w:autoSpaceDN/>
      <w:adjustRightInd/>
      <w:spacing w:after="0"/>
      <w:ind w:left="720"/>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eastAsia="zh-CN"/>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リスト段落 Char,?? ?? Char,????? Char,???? Char,Lista1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qFormat/>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textAlignment w:val="baseline"/>
      <w:outlineLvl w:val="0"/>
    </w:pPr>
    <w:rPr>
      <w:rFonts w:ascii="Arial" w:eastAsia="DengXian" w:hAnsi="Arial"/>
      <w:sz w:val="36"/>
      <w:szCs w:val="20"/>
      <w:lang w:val="en-GB" w:eastAsia="de-DE"/>
    </w:rPr>
  </w:style>
  <w:style w:type="paragraph" w:customStyle="1" w:styleId="Default">
    <w:name w:val="Default"/>
    <w:rsid w:val="00E03E05"/>
    <w:pPr>
      <w:autoSpaceDE w:val="0"/>
      <w:autoSpaceDN w:val="0"/>
      <w:adjustRightInd w:val="0"/>
    </w:pPr>
    <w:rPr>
      <w:rFonts w:ascii="Arial" w:eastAsia="DengXian" w:hAnsi="Arial" w:cs="Arial"/>
      <w:color w:val="000000"/>
      <w:sz w:val="24"/>
      <w:szCs w:val="24"/>
      <w:lang w:val="en-US"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15"/>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rsid w:val="00503D1B"/>
    <w:rPr>
      <w:lang w:val="en-GB" w:eastAsia="en-US"/>
    </w:rPr>
  </w:style>
  <w:style w:type="character" w:customStyle="1" w:styleId="BodyTextChar">
    <w:name w:val="Body Text Char"/>
    <w:link w:val="BodyText"/>
    <w:rsid w:val="007C4D79"/>
    <w:rPr>
      <w:lang w:eastAsia="en-US"/>
    </w:rPr>
  </w:style>
  <w:style w:type="paragraph" w:customStyle="1" w:styleId="NO">
    <w:name w:val="NO"/>
    <w:basedOn w:val="Normal"/>
    <w:link w:val="NOChar"/>
    <w:rsid w:val="00836A18"/>
    <w:pPr>
      <w:keepLines/>
      <w:autoSpaceDE/>
      <w:autoSpaceDN/>
      <w:adjustRightInd/>
      <w:snapToGrid/>
      <w:spacing w:after="180"/>
      <w:ind w:left="1135" w:hanging="851"/>
    </w:pPr>
    <w:rPr>
      <w:sz w:val="20"/>
      <w:szCs w:val="20"/>
      <w:lang w:val="en-GB" w:eastAsia="x-none"/>
    </w:rPr>
  </w:style>
  <w:style w:type="character" w:customStyle="1" w:styleId="NOChar">
    <w:name w:val="NO Char"/>
    <w:link w:val="NO"/>
    <w:rsid w:val="00836A1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AB2048-7D11-460D-96D2-76560C6D4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1801</Words>
  <Characters>10271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Alexander Golitschek</cp:lastModifiedBy>
  <cp:revision>2</cp:revision>
  <cp:lastPrinted>2015-04-01T07:56:00Z</cp:lastPrinted>
  <dcterms:created xsi:type="dcterms:W3CDTF">2019-08-16T22:21:00Z</dcterms:created>
  <dcterms:modified xsi:type="dcterms:W3CDTF">2019-08-16T22:21:00Z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