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B5AC7" w14:textId="1F80895B" w:rsidR="00C11577" w:rsidRPr="00C47CAF" w:rsidRDefault="00C11577" w:rsidP="00C11577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맑은 고딕" w:hAnsi="Arial" w:cs="Arial"/>
          <w:b/>
          <w:bCs/>
          <w:sz w:val="24"/>
          <w:lang w:eastAsia="ko-KR"/>
        </w:rPr>
      </w:pPr>
      <w:r w:rsidRPr="001F06B3">
        <w:rPr>
          <w:rFonts w:ascii="Arial" w:eastAsia="바탕" w:hAnsi="Arial" w:cs="Arial"/>
          <w:b/>
          <w:bCs/>
          <w:sz w:val="24"/>
        </w:rPr>
        <w:t>3GPP TSG RAN WG1 Meeting</w:t>
      </w:r>
      <w:r>
        <w:rPr>
          <w:rFonts w:ascii="Arial" w:eastAsia="바탕" w:hAnsi="Arial" w:cs="Arial" w:hint="eastAsia"/>
          <w:b/>
          <w:bCs/>
          <w:sz w:val="24"/>
          <w:lang w:eastAsia="ko-KR"/>
        </w:rPr>
        <w:t xml:space="preserve"> </w:t>
      </w:r>
      <w:r w:rsidR="0040587E">
        <w:rPr>
          <w:rFonts w:ascii="Arial" w:eastAsia="바탕" w:hAnsi="Arial" w:cs="Arial"/>
          <w:b/>
          <w:bCs/>
          <w:sz w:val="24"/>
          <w:lang w:eastAsia="ko-KR"/>
        </w:rPr>
        <w:t>#9</w:t>
      </w:r>
      <w:r w:rsidR="00E242EA">
        <w:rPr>
          <w:rFonts w:ascii="Arial" w:eastAsia="바탕" w:hAnsi="Arial" w:cs="Arial"/>
          <w:b/>
          <w:bCs/>
          <w:sz w:val="24"/>
          <w:lang w:eastAsia="ko-KR"/>
        </w:rPr>
        <w:t>8</w:t>
      </w:r>
      <w:r>
        <w:rPr>
          <w:rFonts w:ascii="Arial" w:eastAsia="바탕" w:hAnsi="Arial" w:cs="Arial" w:hint="eastAsia"/>
          <w:b/>
          <w:bCs/>
          <w:sz w:val="24"/>
          <w:lang w:eastAsia="ko-KR"/>
        </w:rPr>
        <w:tab/>
      </w:r>
      <w:r>
        <w:rPr>
          <w:rFonts w:ascii="Arial" w:eastAsia="바탕" w:hAnsi="Arial" w:cs="Arial"/>
          <w:b/>
          <w:bCs/>
          <w:sz w:val="24"/>
          <w:lang w:eastAsia="ko-KR"/>
        </w:rPr>
        <w:tab/>
      </w:r>
      <w:r>
        <w:rPr>
          <w:rFonts w:ascii="Arial" w:eastAsia="바탕" w:hAnsi="Arial" w:cs="Arial"/>
          <w:b/>
          <w:bCs/>
          <w:sz w:val="24"/>
          <w:lang w:eastAsia="ko-KR"/>
        </w:rPr>
        <w:tab/>
        <w:t xml:space="preserve">     </w:t>
      </w:r>
      <w:r w:rsidRPr="001F06B3">
        <w:rPr>
          <w:rFonts w:ascii="Arial" w:eastAsia="바탕" w:hAnsi="Arial" w:cs="Arial"/>
          <w:b/>
          <w:bCs/>
          <w:sz w:val="24"/>
        </w:rPr>
        <w:t>R1-1</w:t>
      </w:r>
      <w:r w:rsidR="008043E3">
        <w:rPr>
          <w:rFonts w:ascii="Arial" w:eastAsia="맑은 고딕" w:hAnsi="Arial" w:cs="Arial"/>
          <w:b/>
          <w:bCs/>
          <w:sz w:val="24"/>
          <w:lang w:eastAsia="ko-KR"/>
        </w:rPr>
        <w:t>9</w:t>
      </w:r>
      <w:r w:rsidR="00B25D3E">
        <w:rPr>
          <w:rFonts w:ascii="Arial" w:eastAsia="맑은 고딕" w:hAnsi="Arial" w:cs="Arial"/>
          <w:b/>
          <w:bCs/>
          <w:sz w:val="24"/>
          <w:lang w:eastAsia="ko-KR"/>
        </w:rPr>
        <w:t>09388</w:t>
      </w:r>
    </w:p>
    <w:p w14:paraId="05C65FB6" w14:textId="77777777" w:rsidR="00C11577" w:rsidRPr="00995799" w:rsidRDefault="00E242EA" w:rsidP="00C11577">
      <w:pPr>
        <w:pStyle w:val="a5"/>
        <w:rPr>
          <w:rFonts w:ascii="Arial" w:eastAsia="맑은 고딕" w:hAnsi="Arial" w:cs="Arial"/>
          <w:b/>
          <w:bCs/>
          <w:sz w:val="24"/>
          <w:lang w:eastAsia="ko-KR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Prague</w:t>
      </w:r>
      <w:r w:rsidR="000517BF" w:rsidRPr="000517BF">
        <w:rPr>
          <w:rFonts w:ascii="Arial" w:eastAsia="맑은 고딕" w:hAnsi="Arial" w:cs="Arial"/>
          <w:b/>
          <w:bCs/>
          <w:sz w:val="24"/>
          <w:lang w:eastAsia="ko-KR"/>
        </w:rPr>
        <w:t xml:space="preserve">, </w:t>
      </w:r>
      <w:r>
        <w:rPr>
          <w:rFonts w:ascii="Arial" w:eastAsia="맑은 고딕" w:hAnsi="Arial" w:cs="Arial"/>
          <w:b/>
          <w:bCs/>
          <w:sz w:val="24"/>
          <w:lang w:eastAsia="ko-KR"/>
        </w:rPr>
        <w:t>Czech Rep.</w:t>
      </w:r>
      <w:r w:rsidR="008043E3">
        <w:rPr>
          <w:rFonts w:ascii="Arial" w:eastAsia="맑은 고딕" w:hAnsi="Arial" w:cs="Arial"/>
          <w:b/>
          <w:bCs/>
          <w:sz w:val="24"/>
          <w:lang w:eastAsia="ko-KR"/>
        </w:rPr>
        <w:t>,</w:t>
      </w:r>
      <w:r w:rsidR="000517BF" w:rsidRPr="000517BF">
        <w:rPr>
          <w:rFonts w:ascii="Arial" w:eastAsia="맑은 고딕" w:hAnsi="Arial" w:cs="Arial"/>
          <w:b/>
          <w:bCs/>
          <w:sz w:val="24"/>
          <w:lang w:eastAsia="ko-KR"/>
        </w:rPr>
        <w:t xml:space="preserve"> </w:t>
      </w:r>
      <w:r w:rsidR="002B62C7">
        <w:rPr>
          <w:rFonts w:ascii="Arial" w:eastAsia="맑은 고딕" w:hAnsi="Arial" w:cs="Arial"/>
          <w:b/>
          <w:bCs/>
          <w:sz w:val="24"/>
          <w:lang w:eastAsia="ko-KR"/>
        </w:rPr>
        <w:t>A</w:t>
      </w:r>
      <w:r>
        <w:rPr>
          <w:rFonts w:ascii="Arial" w:eastAsia="맑은 고딕" w:hAnsi="Arial" w:cs="Arial"/>
          <w:b/>
          <w:bCs/>
          <w:sz w:val="24"/>
          <w:lang w:eastAsia="ko-KR"/>
        </w:rPr>
        <w:t>ugust</w:t>
      </w:r>
      <w:r w:rsidR="000517BF" w:rsidRPr="000517BF">
        <w:rPr>
          <w:rFonts w:ascii="Arial" w:eastAsia="맑은 고딕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맑은 고딕" w:hAnsi="Arial" w:cs="Arial"/>
          <w:b/>
          <w:bCs/>
          <w:sz w:val="24"/>
          <w:lang w:eastAsia="ko-KR"/>
        </w:rPr>
        <w:t>26</w:t>
      </w:r>
      <w:r w:rsidR="000517BF" w:rsidRPr="008043E3">
        <w:rPr>
          <w:rFonts w:ascii="Arial" w:eastAsia="맑은 고딕" w:hAnsi="Arial" w:cs="Arial"/>
          <w:b/>
          <w:bCs/>
          <w:sz w:val="24"/>
          <w:vertAlign w:val="superscript"/>
          <w:lang w:eastAsia="ko-KR"/>
        </w:rPr>
        <w:t>th</w:t>
      </w:r>
      <w:r w:rsidR="000517BF" w:rsidRPr="000517BF">
        <w:rPr>
          <w:rFonts w:ascii="Arial" w:eastAsia="맑은 고딕" w:hAnsi="Arial" w:cs="Arial"/>
          <w:b/>
          <w:bCs/>
          <w:sz w:val="24"/>
          <w:lang w:eastAsia="ko-KR"/>
        </w:rPr>
        <w:t xml:space="preserve"> – </w:t>
      </w:r>
      <w:r>
        <w:rPr>
          <w:rFonts w:ascii="Arial" w:eastAsia="맑은 고딕" w:hAnsi="Arial" w:cs="Arial"/>
          <w:b/>
          <w:bCs/>
          <w:sz w:val="24"/>
          <w:lang w:eastAsia="ko-KR"/>
        </w:rPr>
        <w:t>30</w:t>
      </w:r>
      <w:r w:rsidR="008043E3" w:rsidRPr="008043E3">
        <w:rPr>
          <w:rFonts w:ascii="Arial" w:eastAsia="맑은 고딕" w:hAnsi="Arial" w:cs="Arial"/>
          <w:b/>
          <w:bCs/>
          <w:sz w:val="24"/>
          <w:vertAlign w:val="superscript"/>
          <w:lang w:eastAsia="ko-KR"/>
        </w:rPr>
        <w:t>t</w:t>
      </w:r>
      <w:r w:rsidR="002B62C7">
        <w:rPr>
          <w:rFonts w:ascii="Arial" w:eastAsia="맑은 고딕" w:hAnsi="Arial" w:cs="Arial"/>
          <w:b/>
          <w:bCs/>
          <w:sz w:val="24"/>
          <w:vertAlign w:val="superscript"/>
          <w:lang w:eastAsia="ko-KR"/>
        </w:rPr>
        <w:t>h</w:t>
      </w:r>
      <w:r w:rsidR="000517BF" w:rsidRPr="000517BF">
        <w:rPr>
          <w:rFonts w:ascii="Arial" w:eastAsia="맑은 고딕" w:hAnsi="Arial" w:cs="Arial"/>
          <w:b/>
          <w:bCs/>
          <w:sz w:val="24"/>
          <w:lang w:eastAsia="ko-KR"/>
        </w:rPr>
        <w:t>, 201</w:t>
      </w:r>
      <w:r w:rsidR="008043E3">
        <w:rPr>
          <w:rFonts w:ascii="Arial" w:eastAsia="맑은 고딕" w:hAnsi="Arial" w:cs="Arial"/>
          <w:b/>
          <w:bCs/>
          <w:sz w:val="24"/>
          <w:lang w:eastAsia="ko-KR"/>
        </w:rPr>
        <w:t>9</w:t>
      </w:r>
      <w:r w:rsidR="00C11577">
        <w:rPr>
          <w:rFonts w:ascii="Arial" w:eastAsia="맑은 고딕" w:hAnsi="Arial" w:cs="Arial" w:hint="eastAsia"/>
          <w:b/>
          <w:bCs/>
          <w:sz w:val="24"/>
          <w:lang w:eastAsia="ko-KR"/>
        </w:rPr>
        <w:t>.</w:t>
      </w:r>
    </w:p>
    <w:p w14:paraId="26526D4F" w14:textId="77777777" w:rsidR="00C11577" w:rsidRPr="00F2219A" w:rsidRDefault="00C11577" w:rsidP="00C11577">
      <w:pPr>
        <w:widowControl w:val="0"/>
        <w:tabs>
          <w:tab w:val="left" w:pos="1843"/>
        </w:tabs>
        <w:spacing w:after="0"/>
        <w:jc w:val="both"/>
        <w:rPr>
          <w:rFonts w:ascii="Arial" w:hAnsi="Arial" w:cs="Arial"/>
          <w:b/>
          <w:kern w:val="2"/>
          <w:sz w:val="24"/>
          <w:lang w:eastAsia="zh-CN"/>
        </w:rPr>
      </w:pPr>
    </w:p>
    <w:p w14:paraId="43383F46" w14:textId="77777777" w:rsidR="00C11577" w:rsidRPr="00C47CAF" w:rsidRDefault="00C11577" w:rsidP="00C11577">
      <w:pPr>
        <w:widowControl w:val="0"/>
        <w:tabs>
          <w:tab w:val="left" w:pos="1843"/>
        </w:tabs>
        <w:spacing w:after="0"/>
        <w:jc w:val="both"/>
        <w:rPr>
          <w:rFonts w:ascii="Arial" w:eastAsia="맑은 고딕" w:hAnsi="Arial" w:cs="Arial"/>
          <w:b/>
          <w:kern w:val="2"/>
          <w:sz w:val="24"/>
          <w:lang w:val="en-US" w:eastAsia="ko-KR"/>
        </w:rPr>
      </w:pPr>
      <w:r w:rsidRPr="001F06B3">
        <w:rPr>
          <w:rFonts w:ascii="Arial" w:hAnsi="Arial" w:cs="Arial"/>
          <w:b/>
          <w:kern w:val="2"/>
          <w:sz w:val="24"/>
          <w:lang w:val="en-US" w:eastAsia="zh-CN"/>
        </w:rPr>
        <w:t>Agenda Item:</w:t>
      </w:r>
      <w:r w:rsidRPr="001F06B3">
        <w:rPr>
          <w:rFonts w:ascii="Arial" w:hAnsi="Arial" w:cs="Arial"/>
          <w:b/>
          <w:kern w:val="2"/>
          <w:sz w:val="24"/>
          <w:lang w:val="en-US" w:eastAsia="zh-CN"/>
        </w:rPr>
        <w:tab/>
      </w:r>
      <w:r>
        <w:rPr>
          <w:rFonts w:ascii="Arial" w:eastAsia="맑은 고딕" w:hAnsi="Arial" w:cs="Arial" w:hint="eastAsia"/>
          <w:b/>
          <w:kern w:val="2"/>
          <w:sz w:val="24"/>
          <w:lang w:val="en-US" w:eastAsia="ko-KR"/>
        </w:rPr>
        <w:t>7.</w:t>
      </w:r>
      <w:r w:rsidR="00096B86">
        <w:rPr>
          <w:rFonts w:ascii="Arial" w:eastAsia="맑은 고딕" w:hAnsi="Arial" w:cs="Arial"/>
          <w:b/>
          <w:kern w:val="2"/>
          <w:sz w:val="24"/>
          <w:lang w:val="en-US" w:eastAsia="ko-KR"/>
        </w:rPr>
        <w:t>2.</w:t>
      </w:r>
      <w:r w:rsidR="0015197F">
        <w:rPr>
          <w:rFonts w:ascii="Arial" w:eastAsia="맑은 고딕" w:hAnsi="Arial" w:cs="Arial"/>
          <w:b/>
          <w:kern w:val="2"/>
          <w:sz w:val="24"/>
          <w:lang w:val="en-US" w:eastAsia="ko-KR"/>
        </w:rPr>
        <w:t>4.</w:t>
      </w:r>
      <w:r w:rsidR="00E242EA">
        <w:rPr>
          <w:rFonts w:ascii="Arial" w:eastAsia="맑은 고딕" w:hAnsi="Arial" w:cs="Arial"/>
          <w:b/>
          <w:kern w:val="2"/>
          <w:sz w:val="24"/>
          <w:lang w:val="en-US" w:eastAsia="ko-KR"/>
        </w:rPr>
        <w:t>1</w:t>
      </w:r>
    </w:p>
    <w:p w14:paraId="5FE03685" w14:textId="77777777" w:rsidR="00C11577" w:rsidRPr="001F06B3" w:rsidRDefault="00C11577" w:rsidP="00C11577">
      <w:pPr>
        <w:widowControl w:val="0"/>
        <w:tabs>
          <w:tab w:val="left" w:pos="1843"/>
        </w:tabs>
        <w:spacing w:after="0"/>
        <w:jc w:val="both"/>
        <w:rPr>
          <w:rFonts w:ascii="Arial" w:eastAsia="맑은 고딕" w:hAnsi="Arial" w:cs="Arial"/>
          <w:b/>
          <w:kern w:val="2"/>
          <w:sz w:val="24"/>
          <w:lang w:val="en-US" w:eastAsia="ko-KR"/>
        </w:rPr>
      </w:pPr>
      <w:r w:rsidRPr="001F06B3">
        <w:rPr>
          <w:rFonts w:ascii="Arial" w:hAnsi="Arial" w:cs="Arial"/>
          <w:b/>
          <w:kern w:val="2"/>
          <w:sz w:val="24"/>
          <w:lang w:val="en-US" w:eastAsia="zh-CN"/>
        </w:rPr>
        <w:t xml:space="preserve">Source: </w:t>
      </w:r>
      <w:r w:rsidRPr="001F06B3">
        <w:rPr>
          <w:rFonts w:ascii="Arial" w:hAnsi="Arial" w:cs="Arial"/>
          <w:b/>
          <w:kern w:val="2"/>
          <w:sz w:val="24"/>
          <w:lang w:val="en-US" w:eastAsia="zh-CN"/>
        </w:rPr>
        <w:tab/>
      </w:r>
      <w:r w:rsidRPr="001F06B3">
        <w:rPr>
          <w:rFonts w:ascii="Arial" w:eastAsia="맑은 고딕" w:hAnsi="Arial" w:cs="Arial" w:hint="eastAsia"/>
          <w:b/>
          <w:kern w:val="2"/>
          <w:sz w:val="24"/>
          <w:lang w:val="en-US" w:eastAsia="ko-KR"/>
        </w:rPr>
        <w:t>KT Corp.</w:t>
      </w:r>
    </w:p>
    <w:p w14:paraId="37988135" w14:textId="61D5B06D" w:rsidR="00C11577" w:rsidRPr="001F06B3" w:rsidRDefault="00C11577" w:rsidP="00C11577">
      <w:pPr>
        <w:widowControl w:val="0"/>
        <w:tabs>
          <w:tab w:val="left" w:pos="1843"/>
        </w:tabs>
        <w:spacing w:after="0"/>
        <w:jc w:val="both"/>
        <w:rPr>
          <w:rFonts w:ascii="Arial" w:eastAsia="맑은 고딕" w:hAnsi="Arial" w:cs="Arial"/>
          <w:b/>
          <w:kern w:val="2"/>
          <w:sz w:val="24"/>
          <w:lang w:val="en-US" w:eastAsia="ko-KR"/>
        </w:rPr>
      </w:pPr>
      <w:r w:rsidRPr="001F06B3">
        <w:rPr>
          <w:rFonts w:ascii="Arial" w:hAnsi="Arial" w:cs="Arial"/>
          <w:b/>
          <w:kern w:val="2"/>
          <w:sz w:val="24"/>
          <w:lang w:val="en-US" w:eastAsia="zh-CN"/>
        </w:rPr>
        <w:t>Title:</w:t>
      </w:r>
      <w:r w:rsidRPr="001F06B3">
        <w:rPr>
          <w:rFonts w:ascii="Arial" w:hAnsi="Arial" w:cs="Arial"/>
          <w:b/>
          <w:kern w:val="2"/>
          <w:sz w:val="24"/>
          <w:lang w:val="en-US" w:eastAsia="zh-CN"/>
        </w:rPr>
        <w:tab/>
      </w:r>
      <w:r w:rsidR="002B62C7">
        <w:rPr>
          <w:rFonts w:ascii="Arial" w:eastAsia="맑은 고딕" w:hAnsi="Arial" w:cs="Arial"/>
          <w:b/>
          <w:kern w:val="2"/>
          <w:sz w:val="24"/>
          <w:lang w:val="en-US" w:eastAsia="ko-KR"/>
        </w:rPr>
        <w:t>Consideration</w:t>
      </w:r>
      <w:r w:rsidR="00B25D3E">
        <w:rPr>
          <w:rFonts w:ascii="Arial" w:eastAsia="맑은 고딕" w:hAnsi="Arial" w:cs="Arial" w:hint="eastAsia"/>
          <w:b/>
          <w:kern w:val="2"/>
          <w:sz w:val="24"/>
          <w:lang w:val="en-US" w:eastAsia="ko-KR"/>
        </w:rPr>
        <w:t>s</w:t>
      </w:r>
      <w:r w:rsidR="002B62C7">
        <w:rPr>
          <w:rFonts w:ascii="Arial" w:eastAsia="맑은 고딕" w:hAnsi="Arial" w:cs="Arial"/>
          <w:b/>
          <w:kern w:val="2"/>
          <w:sz w:val="24"/>
          <w:lang w:val="en-US" w:eastAsia="ko-KR"/>
        </w:rPr>
        <w:t xml:space="preserve"> on </w:t>
      </w:r>
      <w:r w:rsidR="00E242EA">
        <w:rPr>
          <w:rFonts w:ascii="Arial" w:eastAsia="맑은 고딕" w:hAnsi="Arial" w:cs="Arial"/>
          <w:b/>
          <w:kern w:val="2"/>
          <w:sz w:val="24"/>
          <w:lang w:val="en-US" w:eastAsia="ko-KR"/>
        </w:rPr>
        <w:t>PSFCH Design</w:t>
      </w:r>
      <w:r w:rsidR="00B25D3E">
        <w:rPr>
          <w:rFonts w:ascii="Arial" w:eastAsia="맑은 고딕" w:hAnsi="Arial" w:cs="Arial"/>
          <w:b/>
          <w:kern w:val="2"/>
          <w:sz w:val="24"/>
          <w:lang w:val="en-US" w:eastAsia="ko-KR"/>
        </w:rPr>
        <w:t xml:space="preserve"> for NR V2X</w:t>
      </w:r>
    </w:p>
    <w:p w14:paraId="70A18F84" w14:textId="77777777" w:rsidR="00C11577" w:rsidRPr="001F06B3" w:rsidRDefault="00C11577" w:rsidP="00C11577">
      <w:pPr>
        <w:widowControl w:val="0"/>
        <w:tabs>
          <w:tab w:val="left" w:pos="1843"/>
        </w:tabs>
        <w:spacing w:after="0"/>
        <w:jc w:val="both"/>
        <w:rPr>
          <w:rFonts w:ascii="Arial" w:hAnsi="Arial" w:cs="Arial"/>
          <w:b/>
          <w:kern w:val="2"/>
          <w:sz w:val="24"/>
          <w:lang w:val="en-US" w:eastAsia="zh-CN"/>
        </w:rPr>
      </w:pPr>
      <w:r w:rsidRPr="001F06B3">
        <w:rPr>
          <w:rFonts w:ascii="Arial" w:hAnsi="Arial" w:cs="Arial"/>
          <w:b/>
          <w:kern w:val="2"/>
          <w:sz w:val="24"/>
          <w:lang w:val="en-US" w:eastAsia="zh-CN"/>
        </w:rPr>
        <w:t>Document for:</w:t>
      </w:r>
      <w:r w:rsidRPr="001F06B3">
        <w:rPr>
          <w:rFonts w:ascii="Arial" w:hAnsi="Arial" w:cs="Arial"/>
          <w:b/>
          <w:kern w:val="2"/>
          <w:sz w:val="24"/>
          <w:lang w:val="en-US" w:eastAsia="zh-CN"/>
        </w:rPr>
        <w:tab/>
      </w:r>
      <w:r w:rsidR="00E6306B">
        <w:rPr>
          <w:rFonts w:ascii="Arial" w:eastAsia="맑은 고딕" w:hAnsi="Arial" w:cs="Arial" w:hint="eastAsia"/>
          <w:b/>
          <w:kern w:val="2"/>
          <w:sz w:val="24"/>
          <w:lang w:val="en-US" w:eastAsia="ko-KR"/>
        </w:rPr>
        <w:t>Discussion</w:t>
      </w:r>
      <w:r w:rsidR="00C33EA3">
        <w:rPr>
          <w:rFonts w:ascii="Arial" w:eastAsia="맑은 고딕" w:hAnsi="Arial" w:cs="Arial"/>
          <w:b/>
          <w:kern w:val="2"/>
          <w:sz w:val="24"/>
          <w:lang w:val="en-US" w:eastAsia="ko-KR"/>
        </w:rPr>
        <w:t xml:space="preserve"> and Decision</w:t>
      </w:r>
    </w:p>
    <w:p w14:paraId="010B9CD0" w14:textId="77777777" w:rsidR="00C11577" w:rsidRDefault="00C11577" w:rsidP="00C11577">
      <w:pPr>
        <w:pStyle w:val="1"/>
        <w:rPr>
          <w:lang w:eastAsia="zh-CN"/>
        </w:rPr>
      </w:pPr>
      <w:r w:rsidRPr="00C73D28">
        <w:t>Introduction</w:t>
      </w:r>
    </w:p>
    <w:p w14:paraId="358B93BB" w14:textId="77777777" w:rsidR="00C11577" w:rsidRDefault="002B62C7" w:rsidP="00C11577">
      <w:pPr>
        <w:widowControl w:val="0"/>
        <w:spacing w:after="216"/>
        <w:jc w:val="both"/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t>In RAN1 #9</w:t>
      </w:r>
      <w:r w:rsidR="00F438E8">
        <w:rPr>
          <w:rFonts w:eastAsia="맑은 고딕"/>
          <w:kern w:val="2"/>
          <w:sz w:val="21"/>
          <w:szCs w:val="21"/>
          <w:lang w:eastAsia="ko-KR"/>
        </w:rPr>
        <w:t>7</w:t>
      </w:r>
      <w:r>
        <w:rPr>
          <w:rFonts w:eastAsia="맑은 고딕"/>
          <w:kern w:val="2"/>
          <w:sz w:val="21"/>
          <w:szCs w:val="21"/>
          <w:lang w:eastAsia="ko-KR"/>
        </w:rPr>
        <w:t>[</w:t>
      </w:r>
      <w:r w:rsidR="00F438E8">
        <w:rPr>
          <w:rFonts w:eastAsia="맑은 고딕"/>
          <w:kern w:val="2"/>
          <w:sz w:val="21"/>
          <w:szCs w:val="21"/>
          <w:lang w:eastAsia="ko-KR"/>
        </w:rPr>
        <w:t>2</w:t>
      </w:r>
      <w:r>
        <w:rPr>
          <w:rFonts w:eastAsia="맑은 고딕"/>
          <w:kern w:val="2"/>
          <w:sz w:val="21"/>
          <w:szCs w:val="21"/>
          <w:lang w:eastAsia="ko-KR"/>
        </w:rPr>
        <w:t>]</w:t>
      </w:r>
      <w:r w:rsidR="00CB617D">
        <w:rPr>
          <w:rFonts w:eastAsia="맑은 고딕"/>
          <w:kern w:val="2"/>
          <w:sz w:val="21"/>
          <w:szCs w:val="21"/>
          <w:lang w:eastAsia="ko-KR"/>
        </w:rPr>
        <w:t>, some progresses for the design of NR sidelink PSFCH was made</w:t>
      </w:r>
      <w:r>
        <w:rPr>
          <w:rFonts w:eastAsia="맑은 고딕"/>
          <w:kern w:val="2"/>
          <w:sz w:val="21"/>
          <w:szCs w:val="21"/>
          <w:lang w:eastAsia="ko-KR"/>
        </w:rPr>
        <w:t xml:space="preserve"> as follows</w:t>
      </w:r>
      <w:r w:rsidR="00C753BB">
        <w:rPr>
          <w:rFonts w:eastAsia="맑은 고딕"/>
          <w:kern w:val="2"/>
          <w:sz w:val="21"/>
          <w:szCs w:val="21"/>
          <w:lang w:eastAsia="ko-KR"/>
        </w:rPr>
        <w:t>:</w:t>
      </w:r>
    </w:p>
    <w:p w14:paraId="46AF414E" w14:textId="77777777" w:rsidR="00C11577" w:rsidRDefault="00BC0AF9" w:rsidP="00C11577">
      <w:pPr>
        <w:widowControl w:val="0"/>
        <w:spacing w:after="216"/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</w:r>
      <w:r>
        <w:rPr>
          <w:rFonts w:eastAsia="맑은 고딕"/>
          <w:kern w:val="2"/>
          <w:sz w:val="21"/>
          <w:szCs w:val="21"/>
          <w:lang w:eastAsia="ko-KR"/>
        </w:rPr>
        <w:pict w14:anchorId="1409D6CD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width:507.3pt;height:159.85pt;visibility:visible;mso-left-percent:-10001;mso-top-percent:-10001;mso-position-horizontal:absolute;mso-position-horizontal-relative:char;mso-position-vertical:absolute;mso-position-vertical-relative:line;mso-left-percent:-10001;mso-top-percent:-10001;mso-width-relative:margin;mso-height-relative:margin">
            <v:textbox style="mso-next-textbox:#_x0000_s1031">
              <w:txbxContent>
                <w:p w14:paraId="747C0466" w14:textId="77777777" w:rsidR="00F438E8" w:rsidRPr="00E366D7" w:rsidRDefault="00F438E8" w:rsidP="00F438E8">
                  <w:pPr>
                    <w:rPr>
                      <w:b/>
                    </w:rPr>
                  </w:pPr>
                  <w:r w:rsidRPr="00E366D7">
                    <w:rPr>
                      <w:highlight w:val="green"/>
                    </w:rPr>
                    <w:t>Agreements</w:t>
                  </w:r>
                  <w:r w:rsidRPr="00E366D7">
                    <w:rPr>
                      <w:b/>
                    </w:rPr>
                    <w:t>:</w:t>
                  </w:r>
                </w:p>
                <w:p w14:paraId="54C1AEA5" w14:textId="77777777" w:rsidR="00F438E8" w:rsidRPr="00E366D7" w:rsidRDefault="00F438E8" w:rsidP="00F438E8">
                  <w:pPr>
                    <w:pStyle w:val="bullet1"/>
                    <w:rPr>
                      <w:lang w:eastAsia="ko-KR"/>
                    </w:rPr>
                  </w:pPr>
                  <w:r w:rsidRPr="00E366D7">
                    <w:rPr>
                      <w:lang w:eastAsia="ko-KR"/>
                    </w:rPr>
                    <w:t>A</w:t>
                  </w:r>
                  <w:r w:rsidRPr="00E366D7">
                    <w:rPr>
                      <w:rFonts w:hint="eastAsia"/>
                      <w:lang w:eastAsia="ko-KR"/>
                    </w:rPr>
                    <w:t xml:space="preserve"> </w:t>
                  </w:r>
                  <w:r w:rsidRPr="00E366D7">
                    <w:rPr>
                      <w:lang w:eastAsia="ko-KR"/>
                    </w:rPr>
                    <w:t xml:space="preserve">sequence-based </w:t>
                  </w:r>
                  <w:r w:rsidRPr="00E366D7">
                    <w:rPr>
                      <w:rFonts w:hint="eastAsia"/>
                      <w:lang w:eastAsia="ko-KR"/>
                    </w:rPr>
                    <w:t xml:space="preserve">PSFCH format </w:t>
                  </w:r>
                  <w:r w:rsidRPr="00E366D7">
                    <w:rPr>
                      <w:lang w:eastAsia="ko-KR"/>
                    </w:rPr>
                    <w:t xml:space="preserve">with one symbol (not including AGC training period) </w:t>
                  </w:r>
                  <w:r w:rsidRPr="00E366D7">
                    <w:rPr>
                      <w:rFonts w:hint="eastAsia"/>
                      <w:lang w:eastAsia="ko-KR"/>
                    </w:rPr>
                    <w:t>is supported.</w:t>
                  </w:r>
                </w:p>
                <w:p w14:paraId="2555D7DE" w14:textId="77777777" w:rsidR="00F438E8" w:rsidRPr="00E366D7" w:rsidRDefault="00F438E8" w:rsidP="00F438E8">
                  <w:pPr>
                    <w:pStyle w:val="bullet2"/>
                    <w:rPr>
                      <w:lang w:eastAsia="ko-KR"/>
                    </w:rPr>
                  </w:pPr>
                  <w:r w:rsidRPr="00E366D7">
                    <w:rPr>
                      <w:lang w:eastAsia="ko-KR"/>
                    </w:rPr>
                    <w:t>This is applicable for unicast and groupcast including options 1/2.</w:t>
                  </w:r>
                </w:p>
                <w:p w14:paraId="69473703" w14:textId="77777777" w:rsidR="00F438E8" w:rsidRPr="00E366D7" w:rsidRDefault="00F438E8" w:rsidP="00F438E8">
                  <w:pPr>
                    <w:pStyle w:val="bullet2"/>
                    <w:rPr>
                      <w:lang w:eastAsia="ko-KR"/>
                    </w:rPr>
                  </w:pPr>
                  <w:r w:rsidRPr="00E366D7">
                    <w:rPr>
                      <w:lang w:eastAsia="ko-KR"/>
                    </w:rPr>
                    <w:t xml:space="preserve">Sequence of </w:t>
                  </w:r>
                  <w:r w:rsidRPr="00E366D7">
                    <w:rPr>
                      <w:rFonts w:hint="eastAsia"/>
                      <w:lang w:eastAsia="ko-KR"/>
                    </w:rPr>
                    <w:t>PUCCH format 0</w:t>
                  </w:r>
                  <w:r w:rsidRPr="00E366D7">
                    <w:rPr>
                      <w:lang w:eastAsia="ko-KR"/>
                    </w:rPr>
                    <w:t xml:space="preserve"> is the starting point</w:t>
                  </w:r>
                  <w:r w:rsidRPr="00E366D7">
                    <w:rPr>
                      <w:rFonts w:hint="eastAsia"/>
                      <w:lang w:eastAsia="ko-KR"/>
                    </w:rPr>
                    <w:t>.</w:t>
                  </w:r>
                </w:p>
                <w:p w14:paraId="6C166659" w14:textId="77777777" w:rsidR="00F438E8" w:rsidRPr="00E366D7" w:rsidRDefault="00F438E8" w:rsidP="00F438E8">
                  <w:pPr>
                    <w:pStyle w:val="bullet2"/>
                    <w:rPr>
                      <w:lang w:eastAsia="ko-KR"/>
                    </w:rPr>
                  </w:pPr>
                  <w:r w:rsidRPr="00E366D7">
                    <w:rPr>
                      <w:lang w:eastAsia="ko-KR"/>
                    </w:rPr>
                    <w:t>FFS: 1 PRB or multiple PRBs is/are used for this PSFCH format</w:t>
                  </w:r>
                </w:p>
                <w:p w14:paraId="326152A1" w14:textId="77777777" w:rsidR="00F438E8" w:rsidRPr="00E366D7" w:rsidRDefault="00F438E8" w:rsidP="00F438E8">
                  <w:pPr>
                    <w:pStyle w:val="bullet2"/>
                    <w:rPr>
                      <w:lang w:eastAsia="ko-KR"/>
                    </w:rPr>
                  </w:pPr>
                  <w:r w:rsidRPr="00E366D7">
                    <w:rPr>
                      <w:rFonts w:hint="eastAsia"/>
                      <w:lang w:eastAsia="ko-KR"/>
                    </w:rPr>
                    <w:t>F</w:t>
                  </w:r>
                  <w:r w:rsidRPr="00E366D7">
                    <w:rPr>
                      <w:lang w:eastAsia="ko-KR"/>
                    </w:rPr>
                    <w:t xml:space="preserve">FS: feasible number of HARQ-ACK bits, mapping of HARQ-ACK bit </w:t>
                  </w:r>
                </w:p>
                <w:p w14:paraId="5AABAC59" w14:textId="77777777" w:rsidR="00F438E8" w:rsidRPr="00E366D7" w:rsidRDefault="00F438E8" w:rsidP="00F438E8">
                  <w:pPr>
                    <w:pStyle w:val="bullet1"/>
                    <w:rPr>
                      <w:lang w:eastAsia="ko-KR"/>
                    </w:rPr>
                  </w:pPr>
                  <w:r w:rsidRPr="00E366D7">
                    <w:rPr>
                      <w:lang w:eastAsia="ko-KR"/>
                    </w:rPr>
                    <w:t>FFS whether to support the following formats</w:t>
                  </w:r>
                </w:p>
                <w:p w14:paraId="06FFC593" w14:textId="77777777" w:rsidR="00F438E8" w:rsidRPr="00E366D7" w:rsidRDefault="00F438E8" w:rsidP="00F438E8">
                  <w:pPr>
                    <w:pStyle w:val="bullet2"/>
                    <w:rPr>
                      <w:lang w:eastAsia="ko-KR"/>
                    </w:rPr>
                  </w:pPr>
                  <w:r w:rsidRPr="00E366D7">
                    <w:rPr>
                      <w:lang w:eastAsia="ko-KR"/>
                    </w:rPr>
                    <w:t>X-symbol PSFCH format with a repetition of the one-symbol PSFCH format (not including AGC training period).</w:t>
                  </w:r>
                </w:p>
                <w:p w14:paraId="1D4B59D1" w14:textId="77777777" w:rsidR="00F438E8" w:rsidRPr="00E366D7" w:rsidRDefault="00F438E8" w:rsidP="00F438E8">
                  <w:pPr>
                    <w:pStyle w:val="bullet3"/>
                    <w:rPr>
                      <w:lang w:eastAsia="ko-KR"/>
                    </w:rPr>
                  </w:pPr>
                  <w:r w:rsidRPr="00E366D7">
                    <w:rPr>
                      <w:lang w:eastAsia="ko-KR"/>
                    </w:rPr>
                    <w:t>E.g. X=2</w:t>
                  </w:r>
                </w:p>
                <w:p w14:paraId="6EC1705A" w14:textId="77777777" w:rsidR="00F438E8" w:rsidRPr="00E366D7" w:rsidRDefault="00F438E8" w:rsidP="00F438E8">
                  <w:pPr>
                    <w:pStyle w:val="bullet2"/>
                    <w:rPr>
                      <w:lang w:eastAsia="ko-KR"/>
                    </w:rPr>
                  </w:pPr>
                  <w:r w:rsidRPr="00E366D7">
                    <w:rPr>
                      <w:lang w:eastAsia="ko-KR"/>
                    </w:rPr>
                    <w:t>A PSFCH format based on PUCCH format 2</w:t>
                  </w:r>
                </w:p>
                <w:p w14:paraId="0E002D33" w14:textId="77777777" w:rsidR="00F438E8" w:rsidRPr="00E366D7" w:rsidRDefault="00F438E8" w:rsidP="00F438E8">
                  <w:pPr>
                    <w:pStyle w:val="bullet2"/>
                    <w:rPr>
                      <w:lang w:eastAsia="ko-KR"/>
                    </w:rPr>
                  </w:pPr>
                  <w:r w:rsidRPr="00E366D7">
                    <w:rPr>
                      <w:rFonts w:hint="eastAsia"/>
                      <w:lang w:eastAsia="ko-KR"/>
                    </w:rPr>
                    <w:t xml:space="preserve">A PSFCH format </w:t>
                  </w:r>
                  <w:r w:rsidRPr="00E366D7">
                    <w:rPr>
                      <w:lang w:eastAsia="ko-KR"/>
                    </w:rPr>
                    <w:t>spanning all available symbols for sidelink in a slot</w:t>
                  </w:r>
                </w:p>
              </w:txbxContent>
            </v:textbox>
            <w10:anchorlock/>
          </v:shape>
        </w:pict>
      </w:r>
    </w:p>
    <w:p w14:paraId="4C692082" w14:textId="77777777" w:rsidR="00F438E8" w:rsidRDefault="00CB617D" w:rsidP="00F438E8">
      <w:pPr>
        <w:widowControl w:val="0"/>
        <w:spacing w:after="216"/>
        <w:jc w:val="both"/>
        <w:rPr>
          <w:rFonts w:eastAsia="맑은 고딕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t>To establish reasonable and efficient design criteria,</w:t>
      </w:r>
      <w:r w:rsidR="00AD5EB2">
        <w:rPr>
          <w:rFonts w:eastAsia="맑은 고딕"/>
          <w:kern w:val="2"/>
          <w:sz w:val="21"/>
          <w:szCs w:val="21"/>
          <w:lang w:eastAsia="ko-KR"/>
        </w:rPr>
        <w:t xml:space="preserve"> </w:t>
      </w:r>
      <w:r w:rsidR="000861DD">
        <w:rPr>
          <w:rFonts w:eastAsia="맑은 고딕"/>
          <w:kern w:val="2"/>
          <w:sz w:val="21"/>
          <w:szCs w:val="21"/>
          <w:lang w:eastAsia="ko-KR"/>
        </w:rPr>
        <w:t xml:space="preserve">considering </w:t>
      </w:r>
      <w:r>
        <w:rPr>
          <w:rFonts w:eastAsia="맑은 고딕"/>
          <w:kern w:val="2"/>
          <w:sz w:val="21"/>
          <w:szCs w:val="21"/>
          <w:lang w:eastAsia="ko-KR"/>
        </w:rPr>
        <w:t>procedures operating HARQ</w:t>
      </w:r>
      <w:r w:rsidR="000861DD">
        <w:rPr>
          <w:rFonts w:eastAsia="맑은 고딕"/>
          <w:kern w:val="2"/>
          <w:sz w:val="21"/>
          <w:szCs w:val="21"/>
          <w:lang w:eastAsia="ko-KR"/>
        </w:rPr>
        <w:t xml:space="preserve"> and corresponding PSFCH is required</w:t>
      </w:r>
      <w:r>
        <w:rPr>
          <w:rFonts w:eastAsia="맑은 고딕"/>
          <w:kern w:val="2"/>
          <w:sz w:val="21"/>
          <w:szCs w:val="21"/>
          <w:lang w:eastAsia="ko-KR"/>
        </w:rPr>
        <w:t>. Some agreements about procedure</w:t>
      </w:r>
      <w:r w:rsidR="00D80D07">
        <w:rPr>
          <w:rFonts w:eastAsia="맑은 고딕"/>
          <w:kern w:val="2"/>
          <w:sz w:val="21"/>
          <w:szCs w:val="21"/>
          <w:lang w:eastAsia="ko-KR"/>
        </w:rPr>
        <w:t>s</w:t>
      </w:r>
      <w:r>
        <w:rPr>
          <w:rFonts w:eastAsia="맑은 고딕"/>
          <w:kern w:val="2"/>
          <w:sz w:val="21"/>
          <w:szCs w:val="21"/>
          <w:lang w:eastAsia="ko-KR"/>
        </w:rPr>
        <w:t xml:space="preserve"> of HARQ and PSFCH for NR sidelink in </w:t>
      </w:r>
      <w:r w:rsidR="00F438E8">
        <w:rPr>
          <w:rFonts w:eastAsia="맑은 고딕"/>
          <w:kern w:val="2"/>
          <w:sz w:val="21"/>
          <w:szCs w:val="21"/>
          <w:lang w:eastAsia="ko-KR"/>
        </w:rPr>
        <w:t xml:space="preserve">RAN1 #96b[1] </w:t>
      </w:r>
      <w:r w:rsidR="000861DD">
        <w:rPr>
          <w:rFonts w:eastAsia="맑은 고딕"/>
          <w:kern w:val="2"/>
          <w:sz w:val="21"/>
          <w:szCs w:val="21"/>
          <w:lang w:eastAsia="ko-KR"/>
        </w:rPr>
        <w:t>are</w:t>
      </w:r>
      <w:r w:rsidR="00F438E8">
        <w:rPr>
          <w:rFonts w:eastAsia="맑은 고딕"/>
          <w:kern w:val="2"/>
          <w:sz w:val="21"/>
          <w:szCs w:val="21"/>
          <w:lang w:eastAsia="ko-KR"/>
        </w:rPr>
        <w:t xml:space="preserve"> as follows:</w:t>
      </w:r>
    </w:p>
    <w:p w14:paraId="7810E687" w14:textId="77777777" w:rsidR="00F438E8" w:rsidRDefault="00BC0AF9" w:rsidP="00F438E8">
      <w:pPr>
        <w:widowControl w:val="0"/>
        <w:spacing w:after="216"/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</w:r>
      <w:r>
        <w:rPr>
          <w:rFonts w:eastAsia="맑은 고딕"/>
          <w:kern w:val="2"/>
          <w:sz w:val="21"/>
          <w:szCs w:val="21"/>
          <w:lang w:eastAsia="ko-KR"/>
        </w:rPr>
        <w:pict w14:anchorId="1428A59C">
          <v:shape id="_x0000_s1030" type="#_x0000_t202" style="width:507.3pt;height:137.05pt;visibility:visible;mso-left-percent:-10001;mso-top-percent:-10001;mso-position-horizontal:absolute;mso-position-horizontal-relative:char;mso-position-vertical:absolute;mso-position-vertical-relative:line;mso-left-percent:-10001;mso-top-percent:-10001;mso-width-relative:margin;mso-height-relative:margin">
            <v:textbox style="mso-next-textbox:#_x0000_s1030">
              <w:txbxContent>
                <w:p w14:paraId="2BD422E5" w14:textId="77777777" w:rsidR="00F438E8" w:rsidRPr="009F6E87" w:rsidRDefault="00F438E8" w:rsidP="00F438E8">
                  <w:pPr>
                    <w:ind w:left="1440" w:hanging="1440"/>
                    <w:rPr>
                      <w:lang w:val="en-US"/>
                    </w:rPr>
                  </w:pPr>
                  <w:r w:rsidRPr="009F6E87">
                    <w:rPr>
                      <w:highlight w:val="green"/>
                      <w:lang w:val="en-US"/>
                    </w:rPr>
                    <w:t>Agreements</w:t>
                  </w:r>
                  <w:r w:rsidRPr="009F6E87">
                    <w:rPr>
                      <w:lang w:val="en-US"/>
                    </w:rPr>
                    <w:t>:</w:t>
                  </w:r>
                </w:p>
                <w:p w14:paraId="044B76CC" w14:textId="77777777" w:rsidR="00F438E8" w:rsidRPr="009F6E87" w:rsidRDefault="00F438E8" w:rsidP="00F438E8">
                  <w:pPr>
                    <w:pStyle w:val="bullet1"/>
                    <w:rPr>
                      <w:lang w:val="en-US"/>
                    </w:rPr>
                  </w:pPr>
                  <w:r w:rsidRPr="009F6E87">
                    <w:rPr>
                      <w:rFonts w:hint="eastAsia"/>
                      <w:lang w:val="en-US" w:eastAsia="zh-CN"/>
                    </w:rPr>
                    <w:t>It is supported</w:t>
                  </w:r>
                  <w:r w:rsidRPr="009F6E87">
                    <w:rPr>
                      <w:lang w:val="en-US" w:eastAsia="zh-CN"/>
                    </w:rPr>
                    <w:t>,</w:t>
                  </w:r>
                  <w:r w:rsidRPr="009F6E87"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9F6E87">
                    <w:rPr>
                      <w:lang w:val="en-US" w:eastAsia="zh-CN"/>
                    </w:rPr>
                    <w:t xml:space="preserve">in a resource pool, that within the slots associated with the resource pool, </w:t>
                  </w:r>
                  <w:r w:rsidRPr="009F6E87">
                    <w:rPr>
                      <w:rFonts w:hint="eastAsia"/>
                      <w:lang w:val="en-US" w:eastAsia="zh-CN"/>
                    </w:rPr>
                    <w:t xml:space="preserve">PSFCH resources </w:t>
                  </w:r>
                  <w:r w:rsidRPr="009F6E87">
                    <w:rPr>
                      <w:lang w:val="en-US" w:eastAsia="zh-CN"/>
                    </w:rPr>
                    <w:t>can be (pre)configured periodically with a period of N slot(s)</w:t>
                  </w:r>
                </w:p>
                <w:p w14:paraId="5E192E26" w14:textId="77777777" w:rsidR="00F438E8" w:rsidRPr="009F6E87" w:rsidRDefault="00F438E8" w:rsidP="00F438E8">
                  <w:pPr>
                    <w:pStyle w:val="bullet2"/>
                    <w:rPr>
                      <w:lang w:val="en-US"/>
                    </w:rPr>
                  </w:pPr>
                  <w:r w:rsidRPr="009F6E87">
                    <w:rPr>
                      <w:lang w:val="en-US" w:eastAsia="zh-CN"/>
                    </w:rPr>
                    <w:t>N is configurable, with the following values</w:t>
                  </w:r>
                </w:p>
                <w:p w14:paraId="070C50EF" w14:textId="77777777" w:rsidR="00F438E8" w:rsidRPr="009F6E87" w:rsidRDefault="00F438E8" w:rsidP="00F438E8">
                  <w:pPr>
                    <w:pStyle w:val="bullet3"/>
                    <w:rPr>
                      <w:lang w:val="en-US"/>
                    </w:rPr>
                  </w:pPr>
                  <w:r w:rsidRPr="009F6E87">
                    <w:rPr>
                      <w:lang w:val="en-US" w:eastAsia="zh-CN"/>
                    </w:rPr>
                    <w:t>1</w:t>
                  </w:r>
                </w:p>
                <w:p w14:paraId="7E898E3A" w14:textId="77777777" w:rsidR="00F438E8" w:rsidRPr="009F6E87" w:rsidRDefault="00F438E8" w:rsidP="00F438E8">
                  <w:pPr>
                    <w:pStyle w:val="bullet3"/>
                    <w:rPr>
                      <w:lang w:val="en-US"/>
                    </w:rPr>
                  </w:pPr>
                  <w:r w:rsidRPr="009F6E87">
                    <w:rPr>
                      <w:lang w:val="en-US" w:eastAsia="zh-CN"/>
                    </w:rPr>
                    <w:t>At least one more value &gt;1</w:t>
                  </w:r>
                </w:p>
                <w:p w14:paraId="7E224A1E" w14:textId="77777777" w:rsidR="00F438E8" w:rsidRPr="009F6E87" w:rsidRDefault="00F438E8" w:rsidP="00F438E8">
                  <w:pPr>
                    <w:pStyle w:val="bullet4"/>
                    <w:rPr>
                      <w:lang w:val="en-US"/>
                    </w:rPr>
                  </w:pPr>
                  <w:r w:rsidRPr="009F6E87">
                    <w:rPr>
                      <w:lang w:val="en-US" w:eastAsia="zh-CN"/>
                    </w:rPr>
                    <w:t>FFS details</w:t>
                  </w:r>
                </w:p>
                <w:p w14:paraId="04825544" w14:textId="77777777" w:rsidR="00F438E8" w:rsidRPr="009F6E87" w:rsidRDefault="00F438E8" w:rsidP="00F438E8">
                  <w:pPr>
                    <w:pStyle w:val="bullet2"/>
                    <w:rPr>
                      <w:lang w:val="en-US"/>
                    </w:rPr>
                  </w:pPr>
                  <w:r w:rsidRPr="009F6E87">
                    <w:rPr>
                      <w:lang w:val="en-US" w:eastAsia="zh-CN"/>
                    </w:rPr>
                    <w:t>The configuration should also include the possibility of no resource for PSFCH. In this case, HARQ feedback for all transmissions in the resource pool is disabled</w:t>
                  </w:r>
                </w:p>
                <w:p w14:paraId="170DC8A1" w14:textId="77777777" w:rsidR="00F438E8" w:rsidRPr="009F6E87" w:rsidRDefault="00F438E8" w:rsidP="00F438E8">
                  <w:pPr>
                    <w:pStyle w:val="bullet1"/>
                    <w:rPr>
                      <w:lang w:val="en-US"/>
                    </w:rPr>
                  </w:pPr>
                  <w:r w:rsidRPr="009F6E87">
                    <w:rPr>
                      <w:lang w:val="en-US" w:eastAsia="zh-CN"/>
                    </w:rPr>
                    <w:t>HARQ feedback for transmissions in a resource pool can only be sent on PSFCH in the same resource pool</w:t>
                  </w:r>
                </w:p>
                <w:p w14:paraId="06D68170" w14:textId="77777777" w:rsidR="00F438E8" w:rsidRPr="00E366D7" w:rsidRDefault="00F438E8" w:rsidP="00F438E8">
                  <w:pPr>
                    <w:pStyle w:val="bullet2"/>
                    <w:numPr>
                      <w:ilvl w:val="0"/>
                      <w:numId w:val="0"/>
                    </w:numPr>
                    <w:ind w:left="1440"/>
                    <w:rPr>
                      <w:lang w:eastAsia="ko-KR"/>
                    </w:rPr>
                  </w:pPr>
                </w:p>
              </w:txbxContent>
            </v:textbox>
            <w10:anchorlock/>
          </v:shape>
        </w:pict>
      </w:r>
    </w:p>
    <w:p w14:paraId="3B68B7F0" w14:textId="1549362E" w:rsidR="00F438E8" w:rsidRDefault="00CB617D" w:rsidP="00F438E8">
      <w:pPr>
        <w:widowControl w:val="0"/>
        <w:spacing w:after="216"/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t>The agreement</w:t>
      </w:r>
      <w:r w:rsidR="000861DD">
        <w:rPr>
          <w:rFonts w:eastAsia="맑은 고딕"/>
          <w:kern w:val="2"/>
          <w:sz w:val="21"/>
          <w:szCs w:val="21"/>
          <w:lang w:eastAsia="ko-KR"/>
        </w:rPr>
        <w:t>s</w:t>
      </w:r>
      <w:r>
        <w:rPr>
          <w:rFonts w:eastAsia="맑은 고딕"/>
          <w:kern w:val="2"/>
          <w:sz w:val="21"/>
          <w:szCs w:val="21"/>
          <w:lang w:eastAsia="ko-KR"/>
        </w:rPr>
        <w:t xml:space="preserve"> a</w:t>
      </w:r>
      <w:r w:rsidR="000861DD">
        <w:rPr>
          <w:rFonts w:eastAsia="맑은 고딕"/>
          <w:kern w:val="2"/>
          <w:sz w:val="21"/>
          <w:szCs w:val="21"/>
          <w:lang w:eastAsia="ko-KR"/>
        </w:rPr>
        <w:t>re</w:t>
      </w:r>
      <w:r>
        <w:rPr>
          <w:rFonts w:eastAsia="맑은 고딕"/>
          <w:kern w:val="2"/>
          <w:sz w:val="21"/>
          <w:szCs w:val="21"/>
          <w:lang w:eastAsia="ko-KR"/>
        </w:rPr>
        <w:t xml:space="preserve"> about the peri</w:t>
      </w:r>
      <w:r w:rsidR="00D80D07">
        <w:rPr>
          <w:rFonts w:eastAsia="맑은 고딕"/>
          <w:kern w:val="2"/>
          <w:sz w:val="21"/>
          <w:szCs w:val="21"/>
          <w:lang w:eastAsia="ko-KR"/>
        </w:rPr>
        <w:t xml:space="preserve">od of PSFCH, leaving the possibility of the support of the period with larger than the corresponding PSSCH. </w:t>
      </w:r>
      <w:r w:rsidR="00B75556">
        <w:rPr>
          <w:rFonts w:eastAsia="맑은 고딕"/>
          <w:kern w:val="2"/>
          <w:sz w:val="21"/>
          <w:szCs w:val="21"/>
          <w:lang w:eastAsia="ko-KR"/>
        </w:rPr>
        <w:t>Other</w:t>
      </w:r>
      <w:bookmarkStart w:id="0" w:name="_GoBack"/>
      <w:bookmarkEnd w:id="0"/>
      <w:r w:rsidR="00D80D07">
        <w:rPr>
          <w:rFonts w:eastAsia="맑은 고딕"/>
          <w:kern w:val="2"/>
          <w:sz w:val="21"/>
          <w:szCs w:val="21"/>
          <w:lang w:eastAsia="ko-KR"/>
        </w:rPr>
        <w:t xml:space="preserve"> progresses</w:t>
      </w:r>
      <w:r>
        <w:rPr>
          <w:rFonts w:eastAsia="맑은 고딕"/>
          <w:kern w:val="2"/>
          <w:sz w:val="21"/>
          <w:szCs w:val="21"/>
          <w:lang w:eastAsia="ko-KR"/>
        </w:rPr>
        <w:t xml:space="preserve"> about </w:t>
      </w:r>
      <w:r w:rsidR="00D80D07">
        <w:rPr>
          <w:rFonts w:eastAsia="맑은 고딕"/>
          <w:kern w:val="2"/>
          <w:sz w:val="21"/>
          <w:szCs w:val="21"/>
          <w:lang w:eastAsia="ko-KR"/>
        </w:rPr>
        <w:t>th</w:t>
      </w:r>
      <w:r w:rsidR="003B7631">
        <w:rPr>
          <w:rFonts w:eastAsia="맑은 고딕"/>
          <w:kern w:val="2"/>
          <w:sz w:val="21"/>
          <w:szCs w:val="21"/>
          <w:lang w:eastAsia="ko-KR"/>
        </w:rPr>
        <w:t>is issue was ma</w:t>
      </w:r>
      <w:r w:rsidR="00D80D07">
        <w:rPr>
          <w:rFonts w:eastAsia="맑은 고딕"/>
          <w:kern w:val="2"/>
          <w:sz w:val="21"/>
          <w:szCs w:val="21"/>
          <w:lang w:eastAsia="ko-KR"/>
        </w:rPr>
        <w:t>de</w:t>
      </w:r>
      <w:r>
        <w:rPr>
          <w:rFonts w:eastAsia="맑은 고딕"/>
          <w:kern w:val="2"/>
          <w:sz w:val="21"/>
          <w:szCs w:val="21"/>
          <w:lang w:eastAsia="ko-KR"/>
        </w:rPr>
        <w:t xml:space="preserve"> in</w:t>
      </w:r>
      <w:r w:rsidR="00F438E8" w:rsidRPr="00F438E8">
        <w:rPr>
          <w:rFonts w:eastAsia="맑은 고딕"/>
          <w:kern w:val="2"/>
          <w:sz w:val="21"/>
          <w:szCs w:val="21"/>
          <w:lang w:eastAsia="ko-KR"/>
        </w:rPr>
        <w:t xml:space="preserve"> </w:t>
      </w:r>
      <w:r w:rsidR="00F438E8">
        <w:rPr>
          <w:rFonts w:eastAsia="맑은 고딕"/>
          <w:kern w:val="2"/>
          <w:sz w:val="21"/>
          <w:szCs w:val="21"/>
          <w:lang w:eastAsia="ko-KR"/>
        </w:rPr>
        <w:t>RAN1 #97[2</w:t>
      </w:r>
      <w:r w:rsidR="00D80D07">
        <w:rPr>
          <w:rFonts w:eastAsia="맑은 고딕"/>
          <w:kern w:val="2"/>
          <w:sz w:val="21"/>
          <w:szCs w:val="21"/>
          <w:lang w:eastAsia="ko-KR"/>
        </w:rPr>
        <w:t xml:space="preserve">] </w:t>
      </w:r>
      <w:r w:rsidR="00F438E8">
        <w:rPr>
          <w:rFonts w:eastAsia="맑은 고딕"/>
          <w:kern w:val="2"/>
          <w:sz w:val="21"/>
          <w:szCs w:val="21"/>
          <w:lang w:eastAsia="ko-KR"/>
        </w:rPr>
        <w:t>as follows:</w:t>
      </w:r>
    </w:p>
    <w:p w14:paraId="3B65456F" w14:textId="77777777" w:rsidR="00F438E8" w:rsidRDefault="00BC0AF9" w:rsidP="00C11577">
      <w:pPr>
        <w:widowControl w:val="0"/>
        <w:spacing w:after="216"/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</w:r>
      <w:r>
        <w:rPr>
          <w:rFonts w:eastAsia="맑은 고딕"/>
          <w:kern w:val="2"/>
          <w:sz w:val="21"/>
          <w:szCs w:val="21"/>
          <w:lang w:eastAsia="ko-KR"/>
        </w:rPr>
        <w:pict w14:anchorId="420B9E0C">
          <v:shape id="_x0000_s1029" type="#_x0000_t202" style="width:507.3pt;height:45.9pt;visibility:visible;mso-left-percent:-10001;mso-top-percent:-10001;mso-position-horizontal:absolute;mso-position-horizontal-relative:char;mso-position-vertical:absolute;mso-position-vertical-relative:line;mso-left-percent:-10001;mso-top-percent:-10001;mso-width-relative:margin;mso-height-relative:margin">
            <v:textbox style="mso-next-textbox:#_x0000_s1029">
              <w:txbxContent>
                <w:p w14:paraId="501E6ED3" w14:textId="77777777" w:rsidR="00F438E8" w:rsidRPr="00FA7458" w:rsidRDefault="00F438E8" w:rsidP="00F438E8">
                  <w:pPr>
                    <w:ind w:left="1440" w:hanging="1440"/>
                    <w:rPr>
                      <w:lang w:val="en-US"/>
                    </w:rPr>
                  </w:pPr>
                  <w:r w:rsidRPr="00FA7458">
                    <w:rPr>
                      <w:highlight w:val="green"/>
                      <w:lang w:val="en-US"/>
                    </w:rPr>
                    <w:t>Agreements</w:t>
                  </w:r>
                  <w:r w:rsidRPr="00FA7458">
                    <w:rPr>
                      <w:lang w:val="en-US"/>
                    </w:rPr>
                    <w:t>:</w:t>
                  </w:r>
                </w:p>
                <w:p w14:paraId="3A8E7E60" w14:textId="77777777" w:rsidR="00F438E8" w:rsidRPr="00FA7458" w:rsidRDefault="00F438E8" w:rsidP="00F438E8">
                  <w:pPr>
                    <w:pStyle w:val="bullet1"/>
                    <w:rPr>
                      <w:lang w:val="en-US"/>
                    </w:rPr>
                  </w:pPr>
                  <w:r w:rsidRPr="00FA7458">
                    <w:rPr>
                      <w:lang w:val="en-US"/>
                    </w:rPr>
                    <w:t>For the period of N slot(s) of PSFCH resource, N=2 and N=4 are additionally supported.</w:t>
                  </w:r>
                </w:p>
              </w:txbxContent>
            </v:textbox>
            <w10:anchorlock/>
          </v:shape>
        </w:pict>
      </w:r>
    </w:p>
    <w:p w14:paraId="37258599" w14:textId="77777777" w:rsidR="00F438E8" w:rsidRDefault="00BC0AF9" w:rsidP="00C11577">
      <w:pPr>
        <w:widowControl w:val="0"/>
        <w:spacing w:after="216"/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</w:r>
      <w:r>
        <w:rPr>
          <w:rFonts w:eastAsia="맑은 고딕"/>
          <w:kern w:val="2"/>
          <w:sz w:val="21"/>
          <w:szCs w:val="21"/>
          <w:lang w:eastAsia="ko-KR"/>
        </w:rPr>
        <w:pict w14:anchorId="6C73D656">
          <v:shape id="_x0000_s1028" type="#_x0000_t202" style="width:507.3pt;height:76.9pt;visibility:visible;mso-left-percent:-10001;mso-top-percent:-10001;mso-position-horizontal:absolute;mso-position-horizontal-relative:char;mso-position-vertical:absolute;mso-position-vertical-relative:line;mso-left-percent:-10001;mso-top-percent:-10001;mso-width-relative:margin;mso-height-relative:margin">
            <v:textbox style="mso-next-textbox:#_x0000_s1028">
              <w:txbxContent>
                <w:p w14:paraId="2F8E04A0" w14:textId="77777777" w:rsidR="00CB617D" w:rsidRPr="00B64EA3" w:rsidRDefault="00CB617D" w:rsidP="00CB617D">
                  <w:pPr>
                    <w:pStyle w:val="LGTdoc"/>
                    <w:spacing w:before="100" w:beforeAutospacing="1" w:afterLines="0" w:after="60"/>
                    <w:rPr>
                      <w:rFonts w:ascii="Calibri" w:hAnsi="Calibri" w:cs="Calibri"/>
                      <w:sz w:val="20"/>
                      <w:szCs w:val="20"/>
                      <w:lang w:val="en-US"/>
                    </w:rPr>
                  </w:pPr>
                  <w:r w:rsidRPr="00B64EA3">
                    <w:rPr>
                      <w:rFonts w:ascii="Calibri" w:hAnsi="Calibri" w:cs="Calibri"/>
                      <w:sz w:val="20"/>
                      <w:szCs w:val="20"/>
                      <w:highlight w:val="green"/>
                      <w:lang w:val="en-US"/>
                    </w:rPr>
                    <w:t>Agreements</w:t>
                  </w:r>
                  <w:r w:rsidRPr="00B64EA3">
                    <w:rPr>
                      <w:rFonts w:ascii="Calibri" w:hAnsi="Calibri" w:cs="Calibri"/>
                      <w:sz w:val="20"/>
                      <w:szCs w:val="20"/>
                      <w:lang w:val="en-US"/>
                    </w:rPr>
                    <w:t>:</w:t>
                  </w:r>
                </w:p>
                <w:p w14:paraId="76543F0B" w14:textId="77777777" w:rsidR="00CB617D" w:rsidRPr="00B64EA3" w:rsidRDefault="00CB617D" w:rsidP="00CB617D">
                  <w:pPr>
                    <w:pStyle w:val="bullet1"/>
                    <w:rPr>
                      <w:lang w:val="en-US"/>
                    </w:rPr>
                  </w:pPr>
                  <w:r w:rsidRPr="00B64EA3">
                    <w:rPr>
                      <w:lang w:val="en-US"/>
                    </w:rPr>
                    <w:t>For a PSSCH transmission with its last symbol in slot n, when the corresponding HARQ feedback is due for transmission, it is expected to be in slot n+a where a is the smallest integer larger than or equal to K with the condition that slot n+a contains PSFCH resources.</w:t>
                  </w:r>
                </w:p>
                <w:p w14:paraId="19038FCB" w14:textId="77777777" w:rsidR="00CB617D" w:rsidRPr="00B64EA3" w:rsidRDefault="00CB617D" w:rsidP="00CB617D">
                  <w:pPr>
                    <w:pStyle w:val="bullet2"/>
                    <w:rPr>
                      <w:lang w:val="en-US"/>
                    </w:rPr>
                  </w:pPr>
                  <w:r w:rsidRPr="00B64EA3">
                    <w:rPr>
                      <w:lang w:val="en-US"/>
                    </w:rPr>
                    <w:t>FFS details of K</w:t>
                  </w:r>
                </w:p>
              </w:txbxContent>
            </v:textbox>
            <w10:anchorlock/>
          </v:shape>
        </w:pict>
      </w:r>
    </w:p>
    <w:p w14:paraId="358302FE" w14:textId="77777777" w:rsidR="00F438E8" w:rsidRDefault="00BC0AF9" w:rsidP="00C11577">
      <w:pPr>
        <w:widowControl w:val="0"/>
        <w:spacing w:after="216"/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</w:r>
      <w:r>
        <w:rPr>
          <w:rFonts w:eastAsia="맑은 고딕"/>
          <w:kern w:val="2"/>
          <w:sz w:val="21"/>
          <w:szCs w:val="21"/>
          <w:lang w:eastAsia="ko-KR"/>
        </w:rPr>
        <w:pict w14:anchorId="1DDB4A2F">
          <v:shape id="_x0000_s1027" type="#_x0000_t202" style="width:507.3pt;height:133.85pt;visibility:visible;mso-left-percent:-10001;mso-top-percent:-10001;mso-position-horizontal:absolute;mso-position-horizontal-relative:char;mso-position-vertical:absolute;mso-position-vertical-relative:line;mso-left-percent:-10001;mso-top-percent:-10001;mso-width-relative:margin;mso-height-relative:margin">
            <v:textbox style="mso-next-textbox:#_x0000_s1027">
              <w:txbxContent>
                <w:p w14:paraId="5A2A332A" w14:textId="77777777" w:rsidR="00CB617D" w:rsidRPr="00BE426A" w:rsidRDefault="00CB617D" w:rsidP="00CB617D">
                  <w:pPr>
                    <w:pStyle w:val="LGTdoc"/>
                    <w:spacing w:before="100" w:beforeAutospacing="1" w:afterLines="0" w:after="60"/>
                    <w:rPr>
                      <w:rFonts w:ascii="Calibri" w:hAnsi="Calibri" w:cs="Calibri"/>
                      <w:sz w:val="20"/>
                      <w:szCs w:val="20"/>
                      <w:lang w:val="en-US"/>
                    </w:rPr>
                  </w:pPr>
                  <w:r w:rsidRPr="00BE426A">
                    <w:rPr>
                      <w:rFonts w:ascii="Calibri" w:hAnsi="Calibri" w:cs="Calibri"/>
                      <w:sz w:val="20"/>
                      <w:szCs w:val="20"/>
                      <w:highlight w:val="green"/>
                      <w:lang w:val="en-US"/>
                    </w:rPr>
                    <w:t>Agreements</w:t>
                  </w:r>
                  <w:r w:rsidRPr="00BE426A">
                    <w:rPr>
                      <w:rFonts w:ascii="Calibri" w:hAnsi="Calibri" w:cs="Calibri"/>
                      <w:sz w:val="20"/>
                      <w:szCs w:val="20"/>
                      <w:lang w:val="en-US"/>
                    </w:rPr>
                    <w:t>:</w:t>
                  </w:r>
                </w:p>
                <w:p w14:paraId="1FF9BD55" w14:textId="77777777" w:rsidR="00CB617D" w:rsidRPr="00BE426A" w:rsidRDefault="00CB617D" w:rsidP="00CB617D">
                  <w:pPr>
                    <w:pStyle w:val="bullet1"/>
                    <w:rPr>
                      <w:lang w:val="en-US" w:eastAsia="ko-KR"/>
                    </w:rPr>
                  </w:pPr>
                  <w:r w:rsidRPr="00BE426A">
                    <w:rPr>
                      <w:lang w:val="en-US" w:eastAsia="ko-KR"/>
                    </w:rPr>
                    <w:t>At least for the case when the PSFCH in a slot is in response to a single PSSCH:</w:t>
                  </w:r>
                </w:p>
                <w:p w14:paraId="4AE12F02" w14:textId="77777777" w:rsidR="00CB617D" w:rsidRPr="00BE426A" w:rsidRDefault="00CB617D" w:rsidP="00CB617D">
                  <w:pPr>
                    <w:pStyle w:val="bullet2"/>
                    <w:rPr>
                      <w:lang w:val="en-US"/>
                    </w:rPr>
                  </w:pPr>
                  <w:r w:rsidRPr="00BE426A">
                    <w:rPr>
                      <w:lang w:val="en-US"/>
                    </w:rPr>
                    <w:t>Implicit mechanism is used to determine at least frequency and/or code domain resource of PSFCH, within a configured resource pool. At least the following parameters are used in the implicit mechanism:</w:t>
                  </w:r>
                </w:p>
                <w:p w14:paraId="3BD5445B" w14:textId="77777777" w:rsidR="00CB617D" w:rsidRPr="00BE426A" w:rsidRDefault="00CB617D" w:rsidP="00CB617D">
                  <w:pPr>
                    <w:pStyle w:val="bullet3"/>
                    <w:rPr>
                      <w:lang w:val="en-US"/>
                    </w:rPr>
                  </w:pPr>
                  <w:r w:rsidRPr="00BE426A">
                    <w:rPr>
                      <w:lang w:val="en-US"/>
                    </w:rPr>
                    <w:t>Slot index (FFS details) associated with PSCCH/PSSCH/PSFCH</w:t>
                  </w:r>
                </w:p>
                <w:p w14:paraId="7FAC2EB9" w14:textId="77777777" w:rsidR="00CB617D" w:rsidRPr="00BE426A" w:rsidRDefault="00CB617D" w:rsidP="00CB617D">
                  <w:pPr>
                    <w:pStyle w:val="bullet3"/>
                    <w:rPr>
                      <w:lang w:val="en-US"/>
                    </w:rPr>
                  </w:pPr>
                  <w:r w:rsidRPr="00BE426A">
                    <w:rPr>
                      <w:lang w:val="en-US"/>
                    </w:rPr>
                    <w:t>Sub-channel(s) (FFS details) associated with PSCCH/PSSCH</w:t>
                  </w:r>
                </w:p>
                <w:p w14:paraId="0B895CFB" w14:textId="77777777" w:rsidR="00CB617D" w:rsidRPr="00BE426A" w:rsidRDefault="00CB617D" w:rsidP="00CB617D">
                  <w:pPr>
                    <w:pStyle w:val="bullet3"/>
                    <w:rPr>
                      <w:lang w:val="en-US"/>
                    </w:rPr>
                  </w:pPr>
                  <w:r w:rsidRPr="00BE426A">
                    <w:rPr>
                      <w:lang w:val="en-US"/>
                    </w:rPr>
                    <w:t>Identifier (FFS details) to distinguish each RX UE in a group for Option 2 groupcast HARQ feedback</w:t>
                  </w:r>
                </w:p>
                <w:p w14:paraId="2FC0C0B5" w14:textId="77777777" w:rsidR="00CB617D" w:rsidRPr="00BE426A" w:rsidRDefault="00CB617D" w:rsidP="00CB617D">
                  <w:pPr>
                    <w:pStyle w:val="bullet3"/>
                    <w:rPr>
                      <w:lang w:val="en-US"/>
                    </w:rPr>
                  </w:pPr>
                  <w:r w:rsidRPr="00BE426A">
                    <w:rPr>
                      <w:lang w:val="en-US"/>
                    </w:rPr>
                    <w:t xml:space="preserve">FFS detailed applicability of the above parameters </w:t>
                  </w:r>
                </w:p>
                <w:p w14:paraId="10ADAA16" w14:textId="77777777" w:rsidR="00CB617D" w:rsidRPr="00E366D7" w:rsidRDefault="00CB617D" w:rsidP="00CB617D">
                  <w:pPr>
                    <w:pStyle w:val="bullet3"/>
                    <w:rPr>
                      <w:lang w:eastAsia="ko-KR"/>
                    </w:rPr>
                  </w:pPr>
                  <w:r w:rsidRPr="00BE426A">
                    <w:rPr>
                      <w:lang w:val="en-US"/>
                    </w:rPr>
                    <w:t>FFS: Other parameters (e.g. SL-RSRP/SINR, Layer-1 source ID, location information, etc.)</w:t>
                  </w:r>
                </w:p>
              </w:txbxContent>
            </v:textbox>
            <w10:anchorlock/>
          </v:shape>
        </w:pict>
      </w:r>
    </w:p>
    <w:p w14:paraId="7E169DE4" w14:textId="77777777" w:rsidR="00CB617D" w:rsidRDefault="00BC0AF9" w:rsidP="00C11577">
      <w:pPr>
        <w:widowControl w:val="0"/>
        <w:spacing w:after="216"/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</w:r>
      <w:r>
        <w:rPr>
          <w:rFonts w:eastAsia="맑은 고딕"/>
          <w:kern w:val="2"/>
          <w:sz w:val="21"/>
          <w:szCs w:val="21"/>
          <w:lang w:eastAsia="ko-KR"/>
        </w:rPr>
        <w:pict w14:anchorId="70A3C11A">
          <v:shape id="_x0000_s1026" type="#_x0000_t202" style="width:507.3pt;height:113.3pt;visibility:visible;mso-left-percent:-10001;mso-top-percent:-10001;mso-position-horizontal:absolute;mso-position-horizontal-relative:char;mso-position-vertical:absolute;mso-position-vertical-relative:line;mso-left-percent:-10001;mso-top-percent:-10001;mso-width-relative:margin;mso-height-relative:margin">
            <v:textbox style="mso-next-textbox:#_x0000_s1026">
              <w:txbxContent>
                <w:p w14:paraId="75B8DDD9" w14:textId="77777777" w:rsidR="00CB617D" w:rsidRPr="00EC254A" w:rsidRDefault="00CB617D" w:rsidP="00CB617D">
                  <w:pPr>
                    <w:pStyle w:val="LGTdoc"/>
                    <w:spacing w:before="100" w:beforeAutospacing="1" w:after="120"/>
                    <w:rPr>
                      <w:rFonts w:ascii="Calibri" w:hAnsi="Calibri" w:cs="Calibri"/>
                      <w:sz w:val="20"/>
                      <w:szCs w:val="20"/>
                      <w:lang w:val="en-US"/>
                    </w:rPr>
                  </w:pPr>
                  <w:r w:rsidRPr="00EC254A">
                    <w:rPr>
                      <w:rFonts w:ascii="Calibri" w:hAnsi="Calibri" w:cs="Calibri"/>
                      <w:b/>
                      <w:sz w:val="20"/>
                      <w:szCs w:val="20"/>
                      <w:u w:val="single"/>
                      <w:lang w:val="en-US"/>
                    </w:rPr>
                    <w:t>Conclusion</w:t>
                  </w:r>
                  <w:r w:rsidRPr="00EC254A">
                    <w:rPr>
                      <w:rFonts w:ascii="Calibri" w:hAnsi="Calibri" w:cs="Calibri"/>
                      <w:sz w:val="20"/>
                      <w:szCs w:val="20"/>
                      <w:lang w:val="en-US"/>
                    </w:rPr>
                    <w:t>:</w:t>
                  </w:r>
                </w:p>
                <w:p w14:paraId="5023C1BF" w14:textId="77777777" w:rsidR="00CB617D" w:rsidRPr="00EC254A" w:rsidRDefault="00CB617D" w:rsidP="00CB617D">
                  <w:pPr>
                    <w:pStyle w:val="bullet1"/>
                    <w:rPr>
                      <w:lang w:val="en-US"/>
                    </w:rPr>
                  </w:pPr>
                  <w:r w:rsidRPr="00EC254A">
                    <w:rPr>
                      <w:lang w:val="en-US"/>
                    </w:rPr>
                    <w:t>Study further whether/how to handle/avoid the following cases for PSFCH transmission and reception:</w:t>
                  </w:r>
                </w:p>
                <w:p w14:paraId="06CC963B" w14:textId="77777777" w:rsidR="00CB617D" w:rsidRPr="00EC254A" w:rsidRDefault="00CB617D" w:rsidP="00CB617D">
                  <w:pPr>
                    <w:pStyle w:val="bullet2"/>
                    <w:rPr>
                      <w:lang w:val="en-US"/>
                    </w:rPr>
                  </w:pPr>
                  <w:r w:rsidRPr="00EC254A">
                    <w:rPr>
                      <w:lang w:val="en-US"/>
                    </w:rPr>
                    <w:t>Case 1 (PSFCH TX/RX overlap): A UE transmitted a PSSCH and received SCI scheduling another PSSCH where PSFCH resources corresponding the two PSSCHs appear in the same slot.</w:t>
                  </w:r>
                </w:p>
                <w:p w14:paraId="71AC00BD" w14:textId="77777777" w:rsidR="00CB617D" w:rsidRPr="00EC254A" w:rsidRDefault="00CB617D" w:rsidP="00CB617D">
                  <w:pPr>
                    <w:pStyle w:val="bullet2"/>
                    <w:rPr>
                      <w:lang w:val="en-US"/>
                    </w:rPr>
                  </w:pPr>
                  <w:r w:rsidRPr="00EC254A">
                    <w:rPr>
                      <w:rFonts w:hint="eastAsia"/>
                      <w:lang w:val="en-US"/>
                    </w:rPr>
                    <w:t>Case 2</w:t>
                  </w:r>
                  <w:r w:rsidRPr="00EC254A">
                    <w:rPr>
                      <w:lang w:val="en-US"/>
                    </w:rPr>
                    <w:t xml:space="preserve"> (PSFCH TX to multiple UEs)</w:t>
                  </w:r>
                  <w:r w:rsidRPr="00EC254A">
                    <w:rPr>
                      <w:rFonts w:hint="eastAsia"/>
                      <w:lang w:val="en-US"/>
                    </w:rPr>
                    <w:t xml:space="preserve">: </w:t>
                  </w:r>
                  <w:r w:rsidRPr="00EC254A">
                    <w:rPr>
                      <w:lang w:val="en-US"/>
                    </w:rPr>
                    <w:t>A UE received SCI from different UEs and the associated PSFCHs appear in the same slot.</w:t>
                  </w:r>
                </w:p>
                <w:p w14:paraId="6EA55269" w14:textId="77777777" w:rsidR="00CB617D" w:rsidRPr="00E366D7" w:rsidRDefault="00CB617D" w:rsidP="00CB617D">
                  <w:pPr>
                    <w:pStyle w:val="bullet2"/>
                    <w:rPr>
                      <w:lang w:eastAsia="ko-KR"/>
                    </w:rPr>
                  </w:pPr>
                  <w:r w:rsidRPr="00EC254A">
                    <w:rPr>
                      <w:rFonts w:hint="eastAsia"/>
                      <w:lang w:val="en-US"/>
                    </w:rPr>
                    <w:t xml:space="preserve">Case </w:t>
                  </w:r>
                  <w:r w:rsidRPr="00EC254A">
                    <w:rPr>
                      <w:lang w:val="en-US"/>
                    </w:rPr>
                    <w:t>3 (PSFCH TX with multiple HARQ feedback to the same UE)</w:t>
                  </w:r>
                  <w:r w:rsidRPr="00EC254A">
                    <w:rPr>
                      <w:rFonts w:hint="eastAsia"/>
                      <w:lang w:val="en-US"/>
                    </w:rPr>
                    <w:t xml:space="preserve">: </w:t>
                  </w:r>
                  <w:r w:rsidRPr="00EC254A">
                    <w:rPr>
                      <w:lang w:val="en-US"/>
                    </w:rPr>
                    <w:t>A UE received multiple SCI from the same UE and the associated PSFCHs appear in the same slot.</w:t>
                  </w:r>
                </w:p>
              </w:txbxContent>
            </v:textbox>
            <w10:anchorlock/>
          </v:shape>
        </w:pict>
      </w:r>
    </w:p>
    <w:p w14:paraId="44B428F1" w14:textId="77777777" w:rsidR="00C11577" w:rsidRPr="00777687" w:rsidRDefault="003B7631" w:rsidP="00C11577">
      <w:pPr>
        <w:widowControl w:val="0"/>
        <w:spacing w:after="216"/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t xml:space="preserve">As a result of RAN #97, periods longer than 1 slot are supported. This indicated a problem stated in the </w:t>
      </w:r>
      <w:r w:rsidR="0025065E">
        <w:rPr>
          <w:rFonts w:eastAsia="맑은 고딕"/>
          <w:kern w:val="2"/>
          <w:sz w:val="21"/>
          <w:szCs w:val="21"/>
          <w:lang w:eastAsia="ko-KR"/>
        </w:rPr>
        <w:t>C</w:t>
      </w:r>
      <w:r>
        <w:rPr>
          <w:rFonts w:eastAsia="맑은 고딕"/>
          <w:kern w:val="2"/>
          <w:sz w:val="21"/>
          <w:szCs w:val="21"/>
          <w:lang w:eastAsia="ko-KR"/>
        </w:rPr>
        <w:t xml:space="preserve">onclusion that </w:t>
      </w:r>
      <w:r w:rsidR="0025065E">
        <w:rPr>
          <w:rFonts w:eastAsia="맑은 고딕"/>
          <w:kern w:val="2"/>
          <w:sz w:val="21"/>
          <w:szCs w:val="21"/>
          <w:lang w:eastAsia="ko-KR"/>
        </w:rPr>
        <w:t>indicates</w:t>
      </w:r>
      <w:r>
        <w:rPr>
          <w:rFonts w:eastAsia="맑은 고딕"/>
          <w:kern w:val="2"/>
          <w:sz w:val="21"/>
          <w:szCs w:val="21"/>
          <w:lang w:eastAsia="ko-KR"/>
        </w:rPr>
        <w:t xml:space="preserve"> demand of the method of sharing PSFCH resource</w:t>
      </w:r>
      <w:r w:rsidR="0025065E">
        <w:rPr>
          <w:rFonts w:eastAsia="맑은 고딕"/>
          <w:kern w:val="2"/>
          <w:sz w:val="21"/>
          <w:szCs w:val="21"/>
          <w:lang w:eastAsia="ko-KR"/>
        </w:rPr>
        <w:t>s</w:t>
      </w:r>
      <w:r>
        <w:rPr>
          <w:rFonts w:eastAsia="맑은 고딕"/>
          <w:kern w:val="2"/>
          <w:sz w:val="21"/>
          <w:szCs w:val="21"/>
          <w:lang w:eastAsia="ko-KR"/>
        </w:rPr>
        <w:t>. This contribution gives some views and considerations for the shared PSFCH resources, mainly focusing the appropriate design approach for the Tx signal of HARQ feedback.</w:t>
      </w:r>
    </w:p>
    <w:p w14:paraId="4E937BCB" w14:textId="77777777" w:rsidR="00C11577" w:rsidRDefault="00551171" w:rsidP="00C11577">
      <w:pPr>
        <w:pStyle w:val="1"/>
        <w:tabs>
          <w:tab w:val="left" w:pos="9781"/>
        </w:tabs>
        <w:ind w:right="-28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PSFCH Collision Case</w:t>
      </w:r>
    </w:p>
    <w:p w14:paraId="0B00F736" w14:textId="77777777" w:rsidR="0088324A" w:rsidRDefault="00BE125C" w:rsidP="00E242EA">
      <w:pPr>
        <w:jc w:val="both"/>
        <w:rPr>
          <w:rFonts w:eastAsia="맑은 고딕"/>
          <w:kern w:val="2"/>
          <w:sz w:val="21"/>
          <w:szCs w:val="21"/>
          <w:lang w:eastAsia="ko-KR"/>
        </w:rPr>
      </w:pPr>
      <w:r>
        <w:rPr>
          <w:rFonts w:eastAsia="맑은 고딕"/>
          <w:kern w:val="2"/>
          <w:sz w:val="21"/>
          <w:szCs w:val="21"/>
          <w:lang w:eastAsia="ko-KR"/>
        </w:rPr>
        <w:t>The previous conclusion indicates three cases of PSFCH resource collision. For each case, UE need to perform:</w:t>
      </w:r>
    </w:p>
    <w:p w14:paraId="3F188BA3" w14:textId="77777777" w:rsidR="00BE125C" w:rsidRPr="00463993" w:rsidRDefault="00BE125C" w:rsidP="00BE125C">
      <w:pPr>
        <w:pStyle w:val="a6"/>
        <w:numPr>
          <w:ilvl w:val="0"/>
          <w:numId w:val="44"/>
        </w:numPr>
        <w:ind w:firstLineChars="0"/>
        <w:jc w:val="both"/>
        <w:rPr>
          <w:rFonts w:eastAsia="맑은 고딕"/>
          <w:kern w:val="2"/>
          <w:sz w:val="21"/>
          <w:szCs w:val="21"/>
          <w:lang w:eastAsia="ko-KR"/>
        </w:rPr>
      </w:pPr>
      <w:r w:rsidRPr="00463993">
        <w:rPr>
          <w:rFonts w:eastAsia="맑은 고딕" w:hint="eastAsia"/>
          <w:kern w:val="2"/>
          <w:sz w:val="21"/>
          <w:szCs w:val="21"/>
          <w:lang w:eastAsia="ko-KR"/>
        </w:rPr>
        <w:t>Case 1: The UE need to perform Tx and Rx at the same time, with the same frequency region.</w:t>
      </w:r>
    </w:p>
    <w:p w14:paraId="2BB1CED2" w14:textId="77777777" w:rsidR="00BE125C" w:rsidRPr="00463993" w:rsidRDefault="00BE125C" w:rsidP="00BE125C">
      <w:pPr>
        <w:pStyle w:val="a6"/>
        <w:numPr>
          <w:ilvl w:val="0"/>
          <w:numId w:val="44"/>
        </w:numPr>
        <w:ind w:firstLineChars="0"/>
        <w:jc w:val="both"/>
        <w:rPr>
          <w:rFonts w:eastAsia="맑은 고딕"/>
          <w:kern w:val="2"/>
          <w:sz w:val="21"/>
          <w:szCs w:val="21"/>
          <w:lang w:eastAsia="ko-KR"/>
        </w:rPr>
      </w:pPr>
      <w:r w:rsidRPr="00463993">
        <w:rPr>
          <w:rFonts w:eastAsia="맑은 고딕"/>
          <w:kern w:val="2"/>
          <w:sz w:val="21"/>
          <w:szCs w:val="21"/>
          <w:lang w:eastAsia="ko-KR"/>
        </w:rPr>
        <w:t>Case 2: The UE need to multiplex Tx signal</w:t>
      </w:r>
      <w:r w:rsidR="00701D87">
        <w:rPr>
          <w:rFonts w:eastAsia="맑은 고딕"/>
          <w:kern w:val="2"/>
          <w:sz w:val="21"/>
          <w:szCs w:val="21"/>
          <w:lang w:eastAsia="ko-KR"/>
        </w:rPr>
        <w:t xml:space="preserve">s </w:t>
      </w:r>
      <w:r w:rsidR="00701D87" w:rsidRPr="00463993">
        <w:rPr>
          <w:rFonts w:eastAsia="맑은 고딕" w:hint="eastAsia"/>
          <w:kern w:val="2"/>
          <w:sz w:val="21"/>
          <w:szCs w:val="21"/>
          <w:lang w:eastAsia="ko-KR"/>
        </w:rPr>
        <w:t>at the same time</w:t>
      </w:r>
      <w:r w:rsidR="00701D87">
        <w:rPr>
          <w:rFonts w:eastAsia="맑은 고딕"/>
          <w:kern w:val="2"/>
          <w:sz w:val="21"/>
          <w:szCs w:val="21"/>
          <w:lang w:eastAsia="ko-KR"/>
        </w:rPr>
        <w:t xml:space="preserve"> and</w:t>
      </w:r>
      <w:r w:rsidR="00701D87" w:rsidRPr="00463993">
        <w:rPr>
          <w:rFonts w:eastAsia="맑은 고딕" w:hint="eastAsia"/>
          <w:kern w:val="2"/>
          <w:sz w:val="21"/>
          <w:szCs w:val="21"/>
          <w:lang w:eastAsia="ko-KR"/>
        </w:rPr>
        <w:t xml:space="preserve"> frequency region</w:t>
      </w:r>
      <w:r w:rsidRPr="00463993">
        <w:rPr>
          <w:rFonts w:eastAsia="맑은 고딕"/>
          <w:kern w:val="2"/>
          <w:sz w:val="21"/>
          <w:szCs w:val="21"/>
          <w:lang w:eastAsia="ko-KR"/>
        </w:rPr>
        <w:t>.</w:t>
      </w:r>
    </w:p>
    <w:p w14:paraId="5F5829A0" w14:textId="77777777" w:rsidR="00BE125C" w:rsidRPr="00463993" w:rsidRDefault="00BE125C" w:rsidP="00BE125C">
      <w:pPr>
        <w:pStyle w:val="a6"/>
        <w:numPr>
          <w:ilvl w:val="0"/>
          <w:numId w:val="44"/>
        </w:numPr>
        <w:ind w:firstLineChars="0"/>
        <w:jc w:val="both"/>
        <w:rPr>
          <w:rFonts w:eastAsia="맑은 고딕"/>
          <w:kern w:val="2"/>
          <w:sz w:val="21"/>
          <w:szCs w:val="21"/>
          <w:lang w:eastAsia="ko-KR"/>
        </w:rPr>
      </w:pPr>
      <w:r w:rsidRPr="00463993">
        <w:rPr>
          <w:rFonts w:eastAsia="맑은 고딕"/>
          <w:kern w:val="2"/>
          <w:sz w:val="21"/>
          <w:szCs w:val="21"/>
          <w:lang w:eastAsia="ko-KR"/>
        </w:rPr>
        <w:t>Case 3: The UE need to receive R</w:t>
      </w:r>
      <w:r w:rsidR="005C4022">
        <w:rPr>
          <w:rFonts w:eastAsia="맑은 고딕"/>
          <w:kern w:val="2"/>
          <w:sz w:val="21"/>
          <w:szCs w:val="21"/>
          <w:lang w:eastAsia="ko-KR"/>
        </w:rPr>
        <w:t>x</w:t>
      </w:r>
      <w:r w:rsidRPr="00463993">
        <w:rPr>
          <w:rFonts w:eastAsia="맑은 고딕"/>
          <w:kern w:val="2"/>
          <w:sz w:val="21"/>
          <w:szCs w:val="21"/>
          <w:lang w:eastAsia="ko-KR"/>
        </w:rPr>
        <w:t xml:space="preserve"> signal </w:t>
      </w:r>
      <w:r w:rsidR="005C4022">
        <w:rPr>
          <w:rFonts w:eastAsia="맑은 고딕"/>
          <w:kern w:val="2"/>
          <w:sz w:val="21"/>
          <w:szCs w:val="21"/>
          <w:lang w:eastAsia="ko-KR"/>
        </w:rPr>
        <w:t xml:space="preserve">excluding interfered signals </w:t>
      </w:r>
      <w:r w:rsidRPr="00463993">
        <w:rPr>
          <w:rFonts w:eastAsia="맑은 고딕"/>
          <w:kern w:val="2"/>
          <w:sz w:val="21"/>
          <w:szCs w:val="21"/>
          <w:lang w:eastAsia="ko-KR"/>
        </w:rPr>
        <w:t>from different sources.</w:t>
      </w:r>
    </w:p>
    <w:p w14:paraId="5441C913" w14:textId="77777777" w:rsidR="00463993" w:rsidRPr="00463993" w:rsidRDefault="00463993" w:rsidP="00E876BB">
      <w:pPr>
        <w:jc w:val="both"/>
        <w:rPr>
          <w:rFonts w:eastAsia="맑은 고딕"/>
          <w:kern w:val="2"/>
          <w:sz w:val="21"/>
          <w:szCs w:val="21"/>
          <w:lang w:eastAsia="ko-KR"/>
        </w:rPr>
      </w:pPr>
      <w:r w:rsidRPr="00463993">
        <w:rPr>
          <w:rFonts w:eastAsia="맑은 고딕" w:hint="eastAsia"/>
          <w:kern w:val="2"/>
          <w:sz w:val="21"/>
          <w:szCs w:val="21"/>
          <w:lang w:eastAsia="ko-KR"/>
        </w:rPr>
        <w:t xml:space="preserve">To </w:t>
      </w:r>
      <w:r>
        <w:rPr>
          <w:rFonts w:eastAsia="맑은 고딕"/>
          <w:kern w:val="2"/>
          <w:sz w:val="21"/>
          <w:szCs w:val="21"/>
          <w:lang w:eastAsia="ko-KR"/>
        </w:rPr>
        <w:t>solve each case, we observe</w:t>
      </w:r>
      <w:r w:rsidR="005C4022">
        <w:rPr>
          <w:rFonts w:eastAsia="맑은 고딕"/>
          <w:kern w:val="2"/>
          <w:sz w:val="21"/>
          <w:szCs w:val="21"/>
          <w:lang w:eastAsia="ko-KR"/>
        </w:rPr>
        <w:t xml:space="preserve">d </w:t>
      </w:r>
      <w:r>
        <w:rPr>
          <w:rFonts w:eastAsia="맑은 고딕"/>
          <w:kern w:val="2"/>
          <w:sz w:val="21"/>
          <w:szCs w:val="21"/>
          <w:lang w:eastAsia="ko-KR"/>
        </w:rPr>
        <w:t>the simplest methods for Case 1</w:t>
      </w:r>
      <w:r w:rsidR="005C4022">
        <w:rPr>
          <w:rFonts w:eastAsia="맑은 고딕"/>
          <w:kern w:val="2"/>
          <w:sz w:val="21"/>
          <w:szCs w:val="21"/>
          <w:lang w:eastAsia="ko-KR"/>
        </w:rPr>
        <w:t xml:space="preserve"> as follows</w:t>
      </w:r>
      <w:r>
        <w:rPr>
          <w:rFonts w:eastAsia="맑은 고딕"/>
          <w:kern w:val="2"/>
          <w:sz w:val="21"/>
          <w:szCs w:val="21"/>
          <w:lang w:eastAsia="ko-KR"/>
        </w:rPr>
        <w:t>.</w:t>
      </w:r>
    </w:p>
    <w:p w14:paraId="7ACBB198" w14:textId="77777777" w:rsidR="00E876BB" w:rsidRPr="00E876BB" w:rsidRDefault="004F38D5" w:rsidP="00E876BB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 w:rsidRPr="00E876BB">
        <w:rPr>
          <w:rFonts w:eastAsia="맑은 고딕"/>
          <w:b/>
          <w:kern w:val="2"/>
          <w:sz w:val="21"/>
          <w:szCs w:val="21"/>
          <w:lang w:eastAsia="ko-KR"/>
        </w:rPr>
        <w:t xml:space="preserve">Observation 1. </w:t>
      </w:r>
      <w:r w:rsidR="00463993">
        <w:rPr>
          <w:rFonts w:eastAsia="맑은 고딕"/>
          <w:b/>
          <w:kern w:val="2"/>
          <w:sz w:val="21"/>
          <w:szCs w:val="21"/>
          <w:lang w:eastAsia="ko-KR"/>
        </w:rPr>
        <w:t>For Case 1, A UE can implicitly struggle to avoid such case, and regard the receiving Rx as NACK for unavoidable situations.</w:t>
      </w:r>
    </w:p>
    <w:p w14:paraId="7369104C" w14:textId="77777777" w:rsidR="0088324A" w:rsidRDefault="00463993" w:rsidP="00B25B56">
      <w:pPr>
        <w:jc w:val="both"/>
        <w:rPr>
          <w:rFonts w:eastAsia="맑은 고딕"/>
          <w:kern w:val="2"/>
          <w:sz w:val="21"/>
          <w:szCs w:val="21"/>
          <w:lang w:eastAsia="ko-KR"/>
        </w:rPr>
      </w:pPr>
      <w:r w:rsidRPr="00463993">
        <w:rPr>
          <w:rFonts w:eastAsia="맑은 고딕" w:hint="eastAsia"/>
          <w:kern w:val="2"/>
          <w:sz w:val="21"/>
          <w:szCs w:val="21"/>
          <w:lang w:eastAsia="ko-KR"/>
        </w:rPr>
        <w:t xml:space="preserve">For Case 2 and 3, </w:t>
      </w:r>
      <w:r>
        <w:rPr>
          <w:rFonts w:eastAsia="맑은 고딕"/>
          <w:kern w:val="2"/>
          <w:sz w:val="21"/>
          <w:szCs w:val="21"/>
          <w:lang w:eastAsia="ko-KR"/>
        </w:rPr>
        <w:t xml:space="preserve">some code-domain multiplexing for each PSFCH signal need to be applied using orthogonal, at least near-orthogonal sequences. </w:t>
      </w:r>
      <w:r w:rsidR="00217FE8">
        <w:rPr>
          <w:rFonts w:eastAsia="맑은 고딕"/>
          <w:kern w:val="2"/>
          <w:sz w:val="21"/>
          <w:szCs w:val="21"/>
          <w:lang w:eastAsia="ko-KR"/>
        </w:rPr>
        <w:t xml:space="preserve">The independent sequences can be arranged in time with perfect synchronization </w:t>
      </w:r>
      <w:r w:rsidR="004107B5">
        <w:rPr>
          <w:rFonts w:eastAsia="맑은 고딕"/>
          <w:kern w:val="2"/>
          <w:sz w:val="21"/>
          <w:szCs w:val="21"/>
          <w:lang w:eastAsia="ko-KR"/>
        </w:rPr>
        <w:t>for</w:t>
      </w:r>
      <w:r w:rsidR="00217FE8">
        <w:rPr>
          <w:rFonts w:eastAsia="맑은 고딕"/>
          <w:kern w:val="2"/>
          <w:sz w:val="21"/>
          <w:szCs w:val="21"/>
          <w:lang w:eastAsia="ko-KR"/>
        </w:rPr>
        <w:t xml:space="preserve"> Case 2, however, it is never be assured at Case 3.</w:t>
      </w:r>
    </w:p>
    <w:p w14:paraId="66971BDE" w14:textId="77777777" w:rsidR="00B75556" w:rsidRPr="00EA64A5" w:rsidRDefault="00B75556" w:rsidP="00B75556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>Observation 2. Individual PSFCHs from different users are not time-aligned.</w:t>
      </w:r>
    </w:p>
    <w:p w14:paraId="2EDC91C3" w14:textId="77777777" w:rsidR="00C11577" w:rsidRPr="00D1716C" w:rsidRDefault="00551171" w:rsidP="002D3A9B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eastAsia="맑은 고딕"/>
          <w:lang w:eastAsia="ko-KR"/>
        </w:rPr>
        <w:t>Simulation Results</w:t>
      </w:r>
    </w:p>
    <w:p w14:paraId="5ED0A66D" w14:textId="2F17E1DF" w:rsidR="00E242EA" w:rsidRDefault="004107B5" w:rsidP="00E242EA">
      <w:pPr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szCs w:val="21"/>
          <w:lang w:val="en-US" w:eastAsia="ko-KR"/>
        </w:rPr>
        <w:t xml:space="preserve">To obtain </w:t>
      </w:r>
      <w:r w:rsidR="002E3DB0">
        <w:rPr>
          <w:rFonts w:eastAsia="맑은 고딕"/>
          <w:kern w:val="2"/>
          <w:sz w:val="21"/>
          <w:szCs w:val="21"/>
          <w:lang w:val="en-US" w:eastAsia="ko-KR"/>
        </w:rPr>
        <w:t>enough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</w:t>
      </w:r>
      <w:r w:rsidR="002E3DB0">
        <w:rPr>
          <w:rFonts w:eastAsia="맑은 고딕"/>
          <w:kern w:val="2"/>
          <w:sz w:val="21"/>
          <w:szCs w:val="21"/>
          <w:lang w:val="en-US" w:eastAsia="ko-KR"/>
        </w:rPr>
        <w:t xml:space="preserve">Rx 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performance with reasonable complexity, it can be considered that reusing NR </w:t>
      </w:r>
      <w:r w:rsidR="00FA3F93">
        <w:rPr>
          <w:rFonts w:eastAsia="맑은 고딕"/>
          <w:kern w:val="2"/>
          <w:sz w:val="21"/>
          <w:szCs w:val="21"/>
          <w:lang w:val="en-US" w:eastAsia="ko-KR"/>
        </w:rPr>
        <w:t>pseudo-random or low-PAPR sequence</w:t>
      </w:r>
      <w:r w:rsidR="005C4022">
        <w:rPr>
          <w:rFonts w:eastAsia="맑은 고딕"/>
          <w:kern w:val="2"/>
          <w:sz w:val="21"/>
          <w:szCs w:val="21"/>
          <w:lang w:val="en-US" w:eastAsia="ko-KR"/>
        </w:rPr>
        <w:t>s</w:t>
      </w:r>
      <w:r w:rsidR="00FA3F93">
        <w:rPr>
          <w:rFonts w:eastAsia="맑은 고딕"/>
          <w:kern w:val="2"/>
          <w:sz w:val="21"/>
          <w:szCs w:val="21"/>
          <w:lang w:val="en-US" w:eastAsia="ko-KR"/>
        </w:rPr>
        <w:t xml:space="preserve">. </w:t>
      </w:r>
      <w:r w:rsidR="00137CB5">
        <w:rPr>
          <w:rFonts w:eastAsia="맑은 고딕"/>
          <w:kern w:val="2"/>
          <w:sz w:val="21"/>
          <w:szCs w:val="21"/>
          <w:lang w:val="en-US" w:eastAsia="ko-KR"/>
        </w:rPr>
        <w:t>Consider</w:t>
      </w:r>
      <w:r w:rsidR="005C4022">
        <w:rPr>
          <w:rFonts w:eastAsia="맑은 고딕"/>
          <w:kern w:val="2"/>
          <w:sz w:val="21"/>
          <w:szCs w:val="21"/>
          <w:lang w:val="en-US" w:eastAsia="ko-KR"/>
        </w:rPr>
        <w:t>ing</w:t>
      </w:r>
      <w:r w:rsidR="00137CB5">
        <w:rPr>
          <w:rFonts w:eastAsia="맑은 고딕"/>
          <w:kern w:val="2"/>
          <w:sz w:val="21"/>
          <w:szCs w:val="21"/>
          <w:lang w:val="en-US" w:eastAsia="ko-KR"/>
        </w:rPr>
        <w:t xml:space="preserve"> its functionality, it se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 xml:space="preserve">ems reasonable that designing </w:t>
      </w:r>
      <w:r w:rsidR="00137CB5">
        <w:rPr>
          <w:rFonts w:eastAsia="맑은 고딕"/>
          <w:kern w:val="2"/>
          <w:sz w:val="21"/>
          <w:szCs w:val="21"/>
          <w:lang w:val="en-US" w:eastAsia="ko-KR"/>
        </w:rPr>
        <w:t xml:space="preserve">PSFCH for HARQ feedback 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>starts from adopting the structure of</w:t>
      </w:r>
      <w:r w:rsidR="00137CB5">
        <w:rPr>
          <w:rFonts w:eastAsia="맑은 고딕"/>
          <w:kern w:val="2"/>
          <w:sz w:val="21"/>
          <w:szCs w:val="21"/>
          <w:lang w:val="en-US" w:eastAsia="ko-KR"/>
        </w:rPr>
        <w:t xml:space="preserve"> PUCCH format 0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 xml:space="preserve">. TS38.211 Table 5.1.2.2-2 gives sequences </w:t>
      </w:r>
      <w:r w:rsidR="00B678DF">
        <w:rPr>
          <w:rFonts w:eastAsia="맑은 고딕"/>
          <w:kern w:val="2"/>
          <w:sz w:val="21"/>
          <w:szCs w:val="21"/>
          <w:lang w:val="en-US" w:eastAsia="ko-KR"/>
        </w:rPr>
        <w:t xml:space="preserve">based on QPSK 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 xml:space="preserve">for PUCCH format 0. Choosing one from 30 sequences </w:t>
      </w:r>
      <w:r w:rsidR="00B678DF">
        <w:rPr>
          <w:rFonts w:eastAsia="맑은 고딕"/>
          <w:kern w:val="2"/>
          <w:sz w:val="21"/>
          <w:szCs w:val="21"/>
          <w:lang w:val="en-US" w:eastAsia="ko-KR"/>
        </w:rPr>
        <w:t xml:space="preserve">in the table 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 xml:space="preserve">by </w:t>
      </w:r>
      <w:r w:rsidR="00B678DF" w:rsidRPr="00B678DF">
        <w:rPr>
          <w:rFonts w:eastAsia="맑은 고딕"/>
          <w:i/>
          <w:kern w:val="2"/>
          <w:sz w:val="21"/>
          <w:szCs w:val="21"/>
          <w:lang w:val="en-US" w:eastAsia="ko-KR"/>
        </w:rPr>
        <w:t>u</w:t>
      </w:r>
      <w:r w:rsidR="00B678DF">
        <w:rPr>
          <w:rFonts w:eastAsia="맑은 고딕"/>
          <w:kern w:val="2"/>
          <w:sz w:val="21"/>
          <w:szCs w:val="21"/>
          <w:lang w:val="en-US" w:eastAsia="ko-KR"/>
        </w:rPr>
        <w:t xml:space="preserve"> determined by the UE hopping parameters and cell ID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 xml:space="preserve">, </w:t>
      </w:r>
      <w:r w:rsidR="00B75556">
        <w:rPr>
          <w:rFonts w:eastAsia="맑은 고딕"/>
          <w:kern w:val="2"/>
          <w:sz w:val="21"/>
          <w:szCs w:val="21"/>
          <w:lang w:val="en-US" w:eastAsia="ko-KR"/>
        </w:rPr>
        <w:t>{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>0,6</w:t>
      </w:r>
      <w:r w:rsidR="00B75556">
        <w:rPr>
          <w:rFonts w:eastAsia="맑은 고딕"/>
          <w:kern w:val="2"/>
          <w:sz w:val="21"/>
          <w:szCs w:val="21"/>
          <w:lang w:val="en-US" w:eastAsia="ko-KR"/>
        </w:rPr>
        <w:t>}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 xml:space="preserve"> (or </w:t>
      </w:r>
      <w:r w:rsidR="00B75556">
        <w:rPr>
          <w:rFonts w:eastAsia="맑은 고딕"/>
          <w:kern w:val="2"/>
          <w:sz w:val="21"/>
          <w:szCs w:val="21"/>
          <w:lang w:val="en-US" w:eastAsia="ko-KR"/>
        </w:rPr>
        <w:t>{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>0,3,6,9</w:t>
      </w:r>
      <w:r w:rsidR="00B75556">
        <w:rPr>
          <w:rFonts w:eastAsia="맑은 고딕"/>
          <w:kern w:val="2"/>
          <w:sz w:val="21"/>
          <w:szCs w:val="21"/>
          <w:lang w:val="en-US" w:eastAsia="ko-KR"/>
        </w:rPr>
        <w:t>}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 xml:space="preserve">) cyclic shifts for them are used for each HARQ feedback </w:t>
      </w:r>
      <w:r w:rsidR="00B75556">
        <w:rPr>
          <w:rFonts w:eastAsia="맑은 고딕"/>
          <w:kern w:val="2"/>
          <w:sz w:val="21"/>
          <w:szCs w:val="21"/>
          <w:lang w:val="en-US" w:eastAsia="ko-KR"/>
        </w:rPr>
        <w:t>{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>0,1</w:t>
      </w:r>
      <w:r w:rsidR="00B75556">
        <w:rPr>
          <w:rFonts w:eastAsia="맑은 고딕"/>
          <w:kern w:val="2"/>
          <w:sz w:val="21"/>
          <w:szCs w:val="21"/>
          <w:lang w:val="en-US" w:eastAsia="ko-KR"/>
        </w:rPr>
        <w:t>}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 xml:space="preserve"> (or </w:t>
      </w:r>
      <w:r w:rsidR="00B75556">
        <w:rPr>
          <w:rFonts w:eastAsia="맑은 고딕"/>
          <w:kern w:val="2"/>
          <w:sz w:val="21"/>
          <w:szCs w:val="21"/>
          <w:lang w:val="en-US" w:eastAsia="ko-KR"/>
        </w:rPr>
        <w:t>{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>00,01,10,11</w:t>
      </w:r>
      <w:r w:rsidR="00B75556">
        <w:rPr>
          <w:rFonts w:eastAsia="맑은 고딕"/>
          <w:kern w:val="2"/>
          <w:sz w:val="21"/>
          <w:szCs w:val="21"/>
          <w:lang w:val="en-US" w:eastAsia="ko-KR"/>
        </w:rPr>
        <w:t>}</w:t>
      </w:r>
      <w:r w:rsidR="00C8553D">
        <w:rPr>
          <w:rFonts w:eastAsia="맑은 고딕"/>
          <w:kern w:val="2"/>
          <w:sz w:val="21"/>
          <w:szCs w:val="21"/>
          <w:lang w:val="en-US" w:eastAsia="ko-KR"/>
        </w:rPr>
        <w:t>)</w:t>
      </w:r>
      <w:r w:rsidR="00B678DF">
        <w:rPr>
          <w:rFonts w:eastAsia="맑은 고딕"/>
          <w:kern w:val="2"/>
          <w:sz w:val="21"/>
          <w:szCs w:val="21"/>
          <w:lang w:val="en-US" w:eastAsia="ko-KR"/>
        </w:rPr>
        <w:t xml:space="preserve">. To make UEs to give different sequences the easiest way is giving different </w:t>
      </w:r>
      <w:r w:rsidR="00B678DF" w:rsidRPr="00B678DF">
        <w:rPr>
          <w:rFonts w:eastAsia="맑은 고딕"/>
          <w:i/>
          <w:kern w:val="2"/>
          <w:sz w:val="21"/>
          <w:szCs w:val="21"/>
          <w:lang w:val="en-US" w:eastAsia="ko-KR"/>
        </w:rPr>
        <w:t>u</w:t>
      </w:r>
      <w:r w:rsidR="00B678DF">
        <w:rPr>
          <w:rFonts w:eastAsia="맑은 고딕"/>
          <w:kern w:val="2"/>
          <w:sz w:val="21"/>
          <w:szCs w:val="21"/>
          <w:lang w:val="en-US" w:eastAsia="ko-KR"/>
        </w:rPr>
        <w:t xml:space="preserve"> or different cyclic shift to each </w:t>
      </w:r>
      <w:r w:rsidR="003D09DE">
        <w:rPr>
          <w:rFonts w:eastAsia="맑은 고딕"/>
          <w:kern w:val="2"/>
          <w:sz w:val="21"/>
          <w:szCs w:val="21"/>
          <w:lang w:val="en-US" w:eastAsia="ko-KR"/>
        </w:rPr>
        <w:t>corresponding PSCCHs</w:t>
      </w:r>
      <w:r w:rsidR="00B678DF">
        <w:rPr>
          <w:rFonts w:eastAsia="맑은 고딕"/>
          <w:kern w:val="2"/>
          <w:sz w:val="21"/>
          <w:szCs w:val="21"/>
          <w:lang w:val="en-US" w:eastAsia="ko-KR"/>
        </w:rPr>
        <w:t>.</w:t>
      </w:r>
      <w:r w:rsidR="005C4022">
        <w:rPr>
          <w:rFonts w:eastAsia="맑은 고딕"/>
          <w:kern w:val="2"/>
          <w:sz w:val="21"/>
          <w:szCs w:val="21"/>
          <w:lang w:val="en-US" w:eastAsia="ko-KR"/>
        </w:rPr>
        <w:t xml:space="preserve"> We assumed giving different </w:t>
      </w:r>
      <w:r w:rsidR="005C4022" w:rsidRPr="00B678DF">
        <w:rPr>
          <w:rFonts w:eastAsia="맑은 고딕"/>
          <w:i/>
          <w:kern w:val="2"/>
          <w:sz w:val="21"/>
          <w:szCs w:val="21"/>
          <w:lang w:val="en-US" w:eastAsia="ko-KR"/>
        </w:rPr>
        <w:t>u</w:t>
      </w:r>
      <w:r w:rsidR="005C4022">
        <w:rPr>
          <w:rFonts w:eastAsia="맑은 고딕"/>
          <w:kern w:val="2"/>
          <w:sz w:val="21"/>
          <w:szCs w:val="21"/>
          <w:lang w:val="en-US" w:eastAsia="ko-KR"/>
        </w:rPr>
        <w:t xml:space="preserve"> to make consistency of </w:t>
      </w:r>
      <w:r w:rsidR="00B75556">
        <w:rPr>
          <w:rFonts w:eastAsia="맑은 고딕"/>
          <w:kern w:val="2"/>
          <w:sz w:val="21"/>
          <w:szCs w:val="21"/>
          <w:lang w:val="en-US" w:eastAsia="ko-KR"/>
        </w:rPr>
        <w:t xml:space="preserve">former criteria about </w:t>
      </w:r>
      <w:r w:rsidR="005C4022">
        <w:rPr>
          <w:rFonts w:eastAsia="맑은 고딕"/>
          <w:kern w:val="2"/>
          <w:sz w:val="21"/>
          <w:szCs w:val="21"/>
          <w:lang w:val="en-US" w:eastAsia="ko-KR"/>
        </w:rPr>
        <w:t>HARQ-bits to cyclic-shift mapping.</w:t>
      </w:r>
    </w:p>
    <w:p w14:paraId="058D9378" w14:textId="14D982F3" w:rsidR="00B678DF" w:rsidRDefault="00B678DF" w:rsidP="00E242EA">
      <w:pPr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szCs w:val="21"/>
          <w:lang w:val="en-US" w:eastAsia="ko-KR"/>
        </w:rPr>
        <w:t xml:space="preserve">As a control group for comparison, we </w:t>
      </w:r>
      <w:r w:rsidR="005C4022">
        <w:rPr>
          <w:rFonts w:eastAsia="맑은 고딕"/>
          <w:kern w:val="2"/>
          <w:sz w:val="21"/>
          <w:szCs w:val="21"/>
          <w:lang w:val="en-US" w:eastAsia="ko-KR"/>
        </w:rPr>
        <w:t>considered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sequences of length 24 in TS38.211 Table </w:t>
      </w:r>
      <w:r w:rsidR="00F61835">
        <w:rPr>
          <w:rFonts w:eastAsia="맑은 고딕"/>
          <w:kern w:val="2"/>
          <w:sz w:val="21"/>
          <w:szCs w:val="21"/>
          <w:lang w:val="en-US" w:eastAsia="ko-KR"/>
        </w:rPr>
        <w:t xml:space="preserve">5.1.2.2-3 and </w:t>
      </w:r>
      <w:r w:rsidR="005C4022">
        <w:rPr>
          <w:rFonts w:eastAsia="맑은 고딕"/>
          <w:kern w:val="2"/>
          <w:sz w:val="21"/>
          <w:szCs w:val="21"/>
          <w:lang w:val="en-US" w:eastAsia="ko-KR"/>
        </w:rPr>
        <w:t xml:space="preserve">cyclic-shifted set of </w:t>
      </w:r>
      <w:r>
        <w:rPr>
          <w:rFonts w:eastAsia="맑은 고딕"/>
          <w:kern w:val="2"/>
          <w:sz w:val="21"/>
          <w:szCs w:val="21"/>
          <w:lang w:val="en-US" w:eastAsia="ko-KR"/>
        </w:rPr>
        <w:t>ZC</w:t>
      </w:r>
      <w:r w:rsidR="00F61835">
        <w:rPr>
          <w:rFonts w:eastAsia="맑은 고딕"/>
          <w:kern w:val="2"/>
          <w:sz w:val="21"/>
          <w:szCs w:val="21"/>
          <w:lang w:val="en-US" w:eastAsia="ko-KR"/>
        </w:rPr>
        <w:t xml:space="preserve"> sequence</w:t>
      </w:r>
      <w:r w:rsidR="005C4022">
        <w:rPr>
          <w:rFonts w:eastAsia="맑은 고딕"/>
          <w:kern w:val="2"/>
          <w:sz w:val="21"/>
          <w:szCs w:val="21"/>
          <w:lang w:val="en-US" w:eastAsia="ko-KR"/>
        </w:rPr>
        <w:t>s</w:t>
      </w:r>
      <w:r w:rsidR="00F61835">
        <w:rPr>
          <w:rFonts w:eastAsia="맑은 고딕"/>
          <w:kern w:val="2"/>
          <w:sz w:val="21"/>
          <w:szCs w:val="21"/>
          <w:lang w:val="en-US" w:eastAsia="ko-KR"/>
        </w:rPr>
        <w:t xml:space="preserve"> of length 11 and 23 for zero cross-correlation</w:t>
      </w:r>
      <w:r w:rsidR="00B75556">
        <w:rPr>
          <w:rFonts w:eastAsia="맑은 고딕"/>
          <w:kern w:val="2"/>
          <w:sz w:val="21"/>
          <w:szCs w:val="21"/>
          <w:lang w:val="en-US" w:eastAsia="ko-KR"/>
        </w:rPr>
        <w:t xml:space="preserve"> model</w:t>
      </w:r>
      <w:r w:rsidR="00F61835">
        <w:rPr>
          <w:rFonts w:eastAsia="맑은 고딕"/>
          <w:kern w:val="2"/>
          <w:sz w:val="21"/>
          <w:szCs w:val="21"/>
          <w:lang w:val="en-US" w:eastAsia="ko-KR"/>
        </w:rPr>
        <w:t xml:space="preserve">. </w:t>
      </w:r>
      <w:r w:rsidR="000861DD">
        <w:rPr>
          <w:rFonts w:eastAsia="맑은 고딕"/>
          <w:kern w:val="2"/>
          <w:sz w:val="21"/>
          <w:szCs w:val="21"/>
          <w:lang w:val="en-US" w:eastAsia="ko-KR"/>
        </w:rPr>
        <w:t>We a</w:t>
      </w:r>
      <w:r w:rsidR="006C463A">
        <w:rPr>
          <w:rFonts w:eastAsia="맑은 고딕"/>
          <w:kern w:val="2"/>
          <w:sz w:val="21"/>
          <w:szCs w:val="21"/>
          <w:lang w:val="en-US" w:eastAsia="ko-KR"/>
        </w:rPr>
        <w:t>ssum</w:t>
      </w:r>
      <w:r w:rsidR="000861DD">
        <w:rPr>
          <w:rFonts w:eastAsia="맑은 고딕"/>
          <w:kern w:val="2"/>
          <w:sz w:val="21"/>
          <w:szCs w:val="21"/>
          <w:lang w:val="en-US" w:eastAsia="ko-KR"/>
        </w:rPr>
        <w:t>ed</w:t>
      </w:r>
      <w:r w:rsidR="00F61835">
        <w:rPr>
          <w:rFonts w:eastAsia="맑은 고딕"/>
          <w:kern w:val="2"/>
          <w:sz w:val="21"/>
          <w:szCs w:val="21"/>
          <w:lang w:val="en-US" w:eastAsia="ko-KR"/>
        </w:rPr>
        <w:t xml:space="preserve"> </w:t>
      </w:r>
      <w:r w:rsidR="006C463A">
        <w:rPr>
          <w:rFonts w:eastAsia="맑은 고딕"/>
          <w:kern w:val="2"/>
          <w:sz w:val="21"/>
          <w:szCs w:val="21"/>
          <w:lang w:val="en-US" w:eastAsia="ko-KR"/>
        </w:rPr>
        <w:t xml:space="preserve">the </w:t>
      </w:r>
      <w:r w:rsidR="00F61835">
        <w:rPr>
          <w:rFonts w:eastAsia="맑은 고딕"/>
          <w:kern w:val="2"/>
          <w:sz w:val="21"/>
          <w:szCs w:val="21"/>
          <w:lang w:val="en-US" w:eastAsia="ko-KR"/>
        </w:rPr>
        <w:t>number of UEs accessing same time and frequency region of sidelink resource</w:t>
      </w:r>
      <w:r w:rsidR="006C463A">
        <w:rPr>
          <w:rFonts w:eastAsia="맑은 고딕"/>
          <w:kern w:val="2"/>
          <w:sz w:val="21"/>
          <w:szCs w:val="21"/>
          <w:lang w:val="en-US" w:eastAsia="ko-KR"/>
        </w:rPr>
        <w:t xml:space="preserve"> as 4</w:t>
      </w:r>
      <w:r w:rsidR="000861DD">
        <w:rPr>
          <w:rFonts w:eastAsia="맑은 고딕"/>
          <w:kern w:val="2"/>
          <w:sz w:val="21"/>
          <w:szCs w:val="21"/>
          <w:lang w:val="en-US" w:eastAsia="ko-KR"/>
        </w:rPr>
        <w:t xml:space="preserve">, so three independent interfering </w:t>
      </w:r>
      <w:r w:rsidR="00B75556">
        <w:rPr>
          <w:rFonts w:eastAsia="맑은 고딕"/>
          <w:kern w:val="2"/>
          <w:sz w:val="21"/>
          <w:szCs w:val="21"/>
          <w:lang w:val="en-US" w:eastAsia="ko-KR"/>
        </w:rPr>
        <w:t>signals</w:t>
      </w:r>
      <w:r w:rsidR="000861DD">
        <w:rPr>
          <w:rFonts w:eastAsia="맑은 고딕"/>
          <w:kern w:val="2"/>
          <w:sz w:val="21"/>
          <w:szCs w:val="21"/>
          <w:lang w:val="en-US" w:eastAsia="ko-KR"/>
        </w:rPr>
        <w:t xml:space="preserve"> received at the same time and frequency region. We</w:t>
      </w:r>
      <w:r w:rsidR="00F61835">
        <w:rPr>
          <w:rFonts w:eastAsia="맑은 고딕"/>
          <w:kern w:val="2"/>
          <w:sz w:val="21"/>
          <w:szCs w:val="21"/>
          <w:lang w:val="en-US" w:eastAsia="ko-KR"/>
        </w:rPr>
        <w:t xml:space="preserve"> also considered variation of arrival time and received power</w:t>
      </w:r>
      <w:r w:rsidR="000861DD">
        <w:rPr>
          <w:rFonts w:eastAsia="맑은 고딕"/>
          <w:kern w:val="2"/>
          <w:sz w:val="21"/>
          <w:szCs w:val="21"/>
          <w:lang w:val="en-US" w:eastAsia="ko-KR"/>
        </w:rPr>
        <w:t xml:space="preserve"> of the interference signals</w:t>
      </w:r>
      <w:r w:rsidR="00F61835">
        <w:rPr>
          <w:rFonts w:eastAsia="맑은 고딕"/>
          <w:kern w:val="2"/>
          <w:sz w:val="21"/>
          <w:szCs w:val="21"/>
          <w:lang w:val="en-US" w:eastAsia="ko-KR"/>
        </w:rPr>
        <w:t>.</w:t>
      </w:r>
    </w:p>
    <w:p w14:paraId="235F1D57" w14:textId="77777777" w:rsidR="006C463A" w:rsidRDefault="005C4022" w:rsidP="00E242EA">
      <w:pPr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szCs w:val="21"/>
          <w:lang w:val="en-US" w:eastAsia="ko-KR"/>
        </w:rPr>
        <w:lastRenderedPageBreak/>
        <w:t>In addition to this, w</w:t>
      </w:r>
      <w:r w:rsidR="006C463A">
        <w:rPr>
          <w:rFonts w:eastAsia="맑은 고딕"/>
          <w:kern w:val="2"/>
          <w:sz w:val="21"/>
          <w:szCs w:val="21"/>
          <w:lang w:val="en-US" w:eastAsia="ko-KR"/>
        </w:rPr>
        <w:t xml:space="preserve">e’ve considered </w:t>
      </w:r>
      <w:r w:rsidR="00070B3F">
        <w:rPr>
          <w:rFonts w:eastAsia="맑은 고딕"/>
          <w:kern w:val="2"/>
          <w:sz w:val="21"/>
          <w:szCs w:val="21"/>
          <w:lang w:val="en-US" w:eastAsia="ko-KR"/>
        </w:rPr>
        <w:t>an “expa</w:t>
      </w:r>
      <w:r w:rsidR="006C463A">
        <w:rPr>
          <w:rFonts w:eastAsia="맑은 고딕"/>
          <w:kern w:val="2"/>
          <w:sz w:val="21"/>
          <w:szCs w:val="21"/>
          <w:lang w:val="en-US" w:eastAsia="ko-KR"/>
        </w:rPr>
        <w:t>nded</w:t>
      </w:r>
      <w:r w:rsidR="00070B3F">
        <w:rPr>
          <w:rFonts w:eastAsia="맑은 고딕"/>
          <w:kern w:val="2"/>
          <w:sz w:val="21"/>
          <w:szCs w:val="21"/>
          <w:lang w:val="en-US" w:eastAsia="ko-KR"/>
        </w:rPr>
        <w:t>”</w:t>
      </w:r>
      <w:r w:rsidR="006C463A">
        <w:rPr>
          <w:rFonts w:eastAsia="맑은 고딕"/>
          <w:kern w:val="2"/>
          <w:sz w:val="21"/>
          <w:szCs w:val="21"/>
          <w:lang w:val="en-US" w:eastAsia="ko-KR"/>
        </w:rPr>
        <w:t xml:space="preserve"> CP </w:t>
      </w:r>
      <w:r w:rsidR="00070B3F">
        <w:rPr>
          <w:rFonts w:eastAsia="맑은 고딕"/>
          <w:kern w:val="2"/>
          <w:sz w:val="21"/>
          <w:szCs w:val="21"/>
          <w:lang w:val="en-US" w:eastAsia="ko-KR"/>
        </w:rPr>
        <w:t>for PSFCH</w:t>
      </w:r>
      <w:r w:rsidR="006C463A">
        <w:rPr>
          <w:rFonts w:eastAsia="맑은 고딕"/>
          <w:kern w:val="2"/>
          <w:sz w:val="21"/>
          <w:szCs w:val="21"/>
          <w:lang w:val="en-US" w:eastAsia="ko-KR"/>
        </w:rPr>
        <w:t xml:space="preserve"> like PRACH</w:t>
      </w:r>
      <w:r w:rsidR="00070B3F">
        <w:rPr>
          <w:rFonts w:eastAsia="맑은 고딕"/>
          <w:kern w:val="2"/>
          <w:sz w:val="21"/>
          <w:szCs w:val="21"/>
          <w:lang w:val="en-US" w:eastAsia="ko-KR"/>
        </w:rPr>
        <w:t xml:space="preserve"> for the Case 3</w:t>
      </w:r>
      <w:r w:rsidR="006C463A">
        <w:rPr>
          <w:rFonts w:eastAsia="맑은 고딕"/>
          <w:kern w:val="2"/>
          <w:sz w:val="21"/>
          <w:szCs w:val="21"/>
          <w:lang w:val="en-US" w:eastAsia="ko-KR"/>
        </w:rPr>
        <w:t xml:space="preserve">. The simplest idea </w:t>
      </w:r>
      <w:r w:rsidR="00070B3F">
        <w:rPr>
          <w:rFonts w:eastAsia="맑은 고딕"/>
          <w:kern w:val="2"/>
          <w:sz w:val="21"/>
          <w:szCs w:val="21"/>
          <w:lang w:val="en-US" w:eastAsia="ko-KR"/>
        </w:rPr>
        <w:t xml:space="preserve">we made </w:t>
      </w:r>
      <w:r w:rsidR="006C463A">
        <w:rPr>
          <w:rFonts w:eastAsia="맑은 고딕"/>
          <w:kern w:val="2"/>
          <w:sz w:val="21"/>
          <w:szCs w:val="21"/>
          <w:lang w:val="en-US" w:eastAsia="ko-KR"/>
        </w:rPr>
        <w:t xml:space="preserve">to achieve this is to use 2 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consecutive </w:t>
      </w:r>
      <w:r w:rsidR="006C463A">
        <w:rPr>
          <w:rFonts w:eastAsia="맑은 고딕"/>
          <w:kern w:val="2"/>
          <w:sz w:val="21"/>
          <w:szCs w:val="21"/>
          <w:lang w:val="en-US" w:eastAsia="ko-KR"/>
        </w:rPr>
        <w:t>symbol</w:t>
      </w:r>
      <w:r>
        <w:rPr>
          <w:rFonts w:eastAsia="맑은 고딕"/>
          <w:kern w:val="2"/>
          <w:sz w:val="21"/>
          <w:szCs w:val="21"/>
          <w:lang w:val="en-US" w:eastAsia="ko-KR"/>
        </w:rPr>
        <w:t>s</w:t>
      </w:r>
      <w:r w:rsidR="006C463A">
        <w:rPr>
          <w:rFonts w:eastAsia="맑은 고딕"/>
          <w:kern w:val="2"/>
          <w:sz w:val="21"/>
          <w:szCs w:val="21"/>
          <w:lang w:val="en-US" w:eastAsia="ko-KR"/>
        </w:rPr>
        <w:t xml:space="preserve"> with the whole range of the former symbol as CP of the latter. As a result, the CP ratio becomes 53%. Compare this with the normal CP ratio 7%. To give proper comparison of SINR, we’ve made repetition for the normal CP case.</w:t>
      </w:r>
      <w:r w:rsidR="00070B3F">
        <w:rPr>
          <w:rFonts w:eastAsia="맑은 고딕"/>
          <w:kern w:val="2"/>
          <w:sz w:val="21"/>
          <w:szCs w:val="21"/>
          <w:lang w:val="en-US" w:eastAsia="ko-KR"/>
        </w:rPr>
        <w:t xml:space="preserve"> Despite of this, the SINR does not change</w:t>
      </w:r>
      <w:r>
        <w:rPr>
          <w:rFonts w:eastAsia="맑은 고딕"/>
          <w:kern w:val="2"/>
          <w:sz w:val="21"/>
          <w:szCs w:val="21"/>
          <w:lang w:val="en-US" w:eastAsia="ko-KR"/>
        </w:rPr>
        <w:t>d</w:t>
      </w:r>
      <w:r w:rsidR="00070B3F">
        <w:rPr>
          <w:rFonts w:eastAsia="맑은 고딕"/>
          <w:kern w:val="2"/>
          <w:sz w:val="21"/>
          <w:szCs w:val="21"/>
          <w:lang w:val="en-US" w:eastAsia="ko-KR"/>
        </w:rPr>
        <w:t xml:space="preserve"> 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by the repetition </w:t>
      </w:r>
      <w:r w:rsidR="00070B3F">
        <w:rPr>
          <w:rFonts w:eastAsia="맑은 고딕"/>
          <w:kern w:val="2"/>
          <w:sz w:val="21"/>
          <w:szCs w:val="21"/>
          <w:lang w:val="en-US" w:eastAsia="ko-KR"/>
        </w:rPr>
        <w:t>since all the interference signals are repeated also with exactly same pattern.</w:t>
      </w:r>
    </w:p>
    <w:p w14:paraId="12F555AB" w14:textId="4E40B9BC" w:rsidR="00327ED9" w:rsidRDefault="00327ED9" w:rsidP="00E242EA">
      <w:pPr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szCs w:val="21"/>
          <w:lang w:val="en-US" w:eastAsia="ko-KR"/>
        </w:rPr>
        <w:t>Figure</w:t>
      </w:r>
      <w:r w:rsidR="000861DD">
        <w:rPr>
          <w:rFonts w:eastAsia="맑은 고딕"/>
          <w:kern w:val="2"/>
          <w:sz w:val="21"/>
          <w:szCs w:val="21"/>
          <w:lang w:val="en-US" w:eastAsia="ko-KR"/>
        </w:rPr>
        <w:t xml:space="preserve"> 1 and 2 show the </w:t>
      </w:r>
      <w:r w:rsidR="005C4022">
        <w:rPr>
          <w:rFonts w:eastAsia="맑은 고딕"/>
          <w:kern w:val="2"/>
          <w:sz w:val="21"/>
          <w:szCs w:val="21"/>
          <w:lang w:val="en-US" w:eastAsia="ko-KR"/>
        </w:rPr>
        <w:t xml:space="preserve">simulation </w:t>
      </w:r>
      <w:r w:rsidR="000861DD">
        <w:rPr>
          <w:rFonts w:eastAsia="맑은 고딕"/>
          <w:kern w:val="2"/>
          <w:sz w:val="21"/>
          <w:szCs w:val="21"/>
          <w:lang w:val="en-US" w:eastAsia="ko-KR"/>
        </w:rPr>
        <w:t>result. E</w:t>
      </w:r>
      <w:r>
        <w:rPr>
          <w:rFonts w:eastAsia="맑은 고딕"/>
          <w:kern w:val="2"/>
          <w:sz w:val="21"/>
          <w:szCs w:val="21"/>
          <w:lang w:val="en-US" w:eastAsia="ko-KR"/>
        </w:rPr>
        <w:t>xpression</w:t>
      </w:r>
      <w:r w:rsidR="000861DD">
        <w:rPr>
          <w:rFonts w:eastAsia="맑은 고딕"/>
          <w:kern w:val="2"/>
          <w:sz w:val="21"/>
          <w:szCs w:val="21"/>
          <w:lang w:val="en-US" w:eastAsia="ko-KR"/>
        </w:rPr>
        <w:t>s in the legends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shows the type of sequence, adoption of expanded CP, and amplitude variance. For example, </w:t>
      </w:r>
      <w:r w:rsidR="000861DD">
        <w:rPr>
          <w:rFonts w:eastAsia="맑은 고딕"/>
          <w:kern w:val="2"/>
          <w:sz w:val="21"/>
          <w:szCs w:val="21"/>
          <w:lang w:val="en-US" w:eastAsia="ko-KR"/>
        </w:rPr>
        <w:t xml:space="preserve">a 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legend “11e, av0,8” means the type of sequence is length 11 ZC sequence </w:t>
      </w:r>
      <w:r w:rsidR="000861DD">
        <w:rPr>
          <w:rFonts w:eastAsia="맑은 고딕"/>
          <w:kern w:val="2"/>
          <w:sz w:val="21"/>
          <w:szCs w:val="21"/>
          <w:lang w:val="en-US" w:eastAsia="ko-KR"/>
        </w:rPr>
        <w:t>(having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zero cross-correlation</w:t>
      </w:r>
      <w:r w:rsidR="000861DD">
        <w:rPr>
          <w:rFonts w:eastAsia="맑은 고딕"/>
          <w:kern w:val="2"/>
          <w:sz w:val="21"/>
          <w:szCs w:val="21"/>
          <w:lang w:val="en-US" w:eastAsia="ko-KR"/>
        </w:rPr>
        <w:t xml:space="preserve"> property)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, expanded CP applied, and the interference signal received with power amplified randomly between </w:t>
      </w:r>
      <w:r w:rsidR="004B4991">
        <w:rPr>
          <w:rFonts w:eastAsia="맑은 고딕"/>
          <w:kern w:val="2"/>
          <w:sz w:val="21"/>
          <w:szCs w:val="21"/>
          <w:lang w:val="en-US" w:eastAsia="ko-KR"/>
        </w:rPr>
        <w:t>1.0</w:t>
      </w:r>
      <w:r w:rsidR="004B4991">
        <w:rPr>
          <w:rFonts w:ascii="맑은 고딕" w:eastAsia="맑은 고딕" w:hAnsi="맑은 고딕" w:hint="eastAsia"/>
          <w:kern w:val="2"/>
          <w:sz w:val="21"/>
          <w:szCs w:val="21"/>
          <w:lang w:val="en-US" w:eastAsia="ko-KR"/>
        </w:rPr>
        <w:t>±</w:t>
      </w:r>
      <w:r w:rsidR="004B4991">
        <w:rPr>
          <w:rFonts w:eastAsia="맑은 고딕"/>
          <w:kern w:val="2"/>
          <w:sz w:val="21"/>
          <w:szCs w:val="21"/>
          <w:lang w:val="en-US" w:eastAsia="ko-KR"/>
        </w:rPr>
        <w:t xml:space="preserve">0.8, that is </w:t>
      </w:r>
      <w:r>
        <w:rPr>
          <w:rFonts w:eastAsia="맑은 고딕"/>
          <w:kern w:val="2"/>
          <w:sz w:val="21"/>
          <w:szCs w:val="21"/>
          <w:lang w:val="en-US" w:eastAsia="ko-KR"/>
        </w:rPr>
        <w:t>0.2 to 1.8.</w:t>
      </w:r>
      <w:r w:rsidR="004B4991">
        <w:rPr>
          <w:rFonts w:eastAsia="맑은 고딕"/>
          <w:kern w:val="2"/>
          <w:sz w:val="21"/>
          <w:szCs w:val="21"/>
          <w:lang w:val="en-US" w:eastAsia="ko-KR"/>
        </w:rPr>
        <w:t xml:space="preserve"> We assumed the perfect channel, with no AWGN, Doppler, and multipath fading (flat fading</w:t>
      </w:r>
      <w:r w:rsidR="00E91F3B">
        <w:rPr>
          <w:rFonts w:eastAsia="맑은 고딕"/>
          <w:kern w:val="2"/>
          <w:sz w:val="21"/>
          <w:szCs w:val="21"/>
          <w:lang w:val="en-US" w:eastAsia="ko-KR"/>
        </w:rPr>
        <w:t xml:space="preserve"> </w:t>
      </w:r>
      <w:r w:rsidR="00E91F3B">
        <w:rPr>
          <w:rFonts w:eastAsia="맑은 고딕" w:hint="eastAsia"/>
          <w:kern w:val="2"/>
          <w:sz w:val="21"/>
          <w:szCs w:val="21"/>
          <w:lang w:val="en-US" w:eastAsia="ko-KR"/>
        </w:rPr>
        <w:t xml:space="preserve">is </w:t>
      </w:r>
      <w:r w:rsidR="00E91F3B">
        <w:rPr>
          <w:rFonts w:eastAsia="맑은 고딕"/>
          <w:kern w:val="2"/>
          <w:sz w:val="21"/>
          <w:szCs w:val="21"/>
          <w:lang w:val="en-US" w:eastAsia="ko-KR"/>
        </w:rPr>
        <w:t>considered</w:t>
      </w:r>
      <w:r w:rsidR="004B4991">
        <w:rPr>
          <w:rFonts w:eastAsia="맑은 고딕"/>
          <w:kern w:val="2"/>
          <w:sz w:val="21"/>
          <w:szCs w:val="21"/>
          <w:lang w:val="en-US" w:eastAsia="ko-KR"/>
        </w:rPr>
        <w:t>).</w:t>
      </w:r>
    </w:p>
    <w:p w14:paraId="242252AA" w14:textId="77777777" w:rsidR="00B75556" w:rsidRDefault="00B75556" w:rsidP="00E242EA">
      <w:pPr>
        <w:jc w:val="both"/>
        <w:rPr>
          <w:rFonts w:eastAsia="맑은 고딕"/>
          <w:kern w:val="2"/>
          <w:sz w:val="21"/>
          <w:szCs w:val="21"/>
          <w:lang w:val="en-US" w:eastAsia="ko-KR"/>
        </w:rPr>
      </w:pPr>
    </w:p>
    <w:p w14:paraId="68E44A66" w14:textId="77777777" w:rsidR="00324A3A" w:rsidRDefault="009F0A11" w:rsidP="009F0A11">
      <w:pPr>
        <w:tabs>
          <w:tab w:val="left" w:pos="5790"/>
        </w:tabs>
        <w:jc w:val="center"/>
        <w:rPr>
          <w:rFonts w:eastAsia="맑은 고딕"/>
          <w:kern w:val="2"/>
          <w:sz w:val="21"/>
          <w:szCs w:val="21"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5533F47D" wp14:editId="48F60844">
            <wp:extent cx="5895975" cy="3429000"/>
            <wp:effectExtent l="0" t="0" r="0" b="0"/>
            <wp:docPr id="1" name="차트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9071D9F" w14:textId="35FAD470" w:rsidR="00324A3A" w:rsidRPr="0028329D" w:rsidRDefault="00324A3A" w:rsidP="00324A3A">
      <w:pPr>
        <w:jc w:val="center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Figure 1.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SINR </w:t>
      </w:r>
      <w:r w:rsidR="004B4991">
        <w:rPr>
          <w:rFonts w:eastAsia="맑은 고딕"/>
          <w:b/>
          <w:kern w:val="2"/>
          <w:sz w:val="21"/>
          <w:szCs w:val="21"/>
          <w:lang w:val="en-US" w:eastAsia="ko-KR"/>
        </w:rPr>
        <w:t xml:space="preserve">of PSFCH </w:t>
      </w:r>
      <w:r w:rsidR="002E3DB0">
        <w:rPr>
          <w:rFonts w:eastAsia="맑은 고딕"/>
          <w:b/>
          <w:kern w:val="2"/>
          <w:sz w:val="21"/>
          <w:szCs w:val="21"/>
          <w:lang w:val="en-US" w:eastAsia="ko-KR"/>
        </w:rPr>
        <w:t>for the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 CDM</w:t>
      </w:r>
      <w:r w:rsidR="004B4991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case (1RB)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.</w:t>
      </w:r>
    </w:p>
    <w:p w14:paraId="41082C30" w14:textId="77777777" w:rsidR="00324A3A" w:rsidRDefault="00287FAC" w:rsidP="005B5B0D">
      <w:pPr>
        <w:jc w:val="center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7137ADF5" wp14:editId="26589C15">
            <wp:extent cx="5895975" cy="3429000"/>
            <wp:effectExtent l="0" t="0" r="0" b="0"/>
            <wp:docPr id="7" name="차트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193F597" w14:textId="53A8EFCD" w:rsidR="005B5B0D" w:rsidRPr="0028329D" w:rsidRDefault="005B5B0D" w:rsidP="005B5B0D">
      <w:pPr>
        <w:jc w:val="center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Figure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2</w:t>
      </w:r>
      <w:r w:rsidR="004B4991"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. </w:t>
      </w:r>
      <w:r w:rsidR="004B4991">
        <w:rPr>
          <w:rFonts w:eastAsia="맑은 고딕"/>
          <w:b/>
          <w:kern w:val="2"/>
          <w:sz w:val="21"/>
          <w:szCs w:val="21"/>
          <w:lang w:val="en-US" w:eastAsia="ko-KR"/>
        </w:rPr>
        <w:t xml:space="preserve">SINR of PSFCH </w:t>
      </w:r>
      <w:r w:rsidR="002E3DB0">
        <w:rPr>
          <w:rFonts w:eastAsia="맑은 고딕"/>
          <w:b/>
          <w:kern w:val="2"/>
          <w:sz w:val="21"/>
          <w:szCs w:val="21"/>
          <w:lang w:val="en-US" w:eastAsia="ko-KR"/>
        </w:rPr>
        <w:t xml:space="preserve">for the </w:t>
      </w:r>
      <w:r w:rsidR="004B4991">
        <w:rPr>
          <w:rFonts w:eastAsia="맑은 고딕"/>
          <w:b/>
          <w:kern w:val="2"/>
          <w:sz w:val="21"/>
          <w:szCs w:val="21"/>
          <w:lang w:val="en-US" w:eastAsia="ko-KR"/>
        </w:rPr>
        <w:t>CDM case (2RBs)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.</w:t>
      </w:r>
    </w:p>
    <w:p w14:paraId="54419EFC" w14:textId="0D6F1EE3" w:rsidR="00324A3A" w:rsidRPr="004B4991" w:rsidRDefault="004B4991" w:rsidP="000972FA">
      <w:pPr>
        <w:jc w:val="both"/>
        <w:rPr>
          <w:rFonts w:eastAsia="맑은 고딕"/>
          <w:kern w:val="2"/>
          <w:sz w:val="21"/>
          <w:szCs w:val="21"/>
          <w:lang w:val="en-US" w:eastAsia="ko-KR"/>
        </w:rPr>
      </w:pPr>
      <w:r w:rsidRPr="004B4991">
        <w:rPr>
          <w:rFonts w:eastAsia="맑은 고딕" w:hint="eastAsia"/>
          <w:kern w:val="2"/>
          <w:sz w:val="21"/>
          <w:szCs w:val="21"/>
          <w:lang w:val="en-US" w:eastAsia="ko-KR"/>
        </w:rPr>
        <w:lastRenderedPageBreak/>
        <w:t>From these result</w:t>
      </w:r>
      <w:r w:rsidRPr="004B4991">
        <w:rPr>
          <w:rFonts w:eastAsia="맑은 고딕"/>
          <w:kern w:val="2"/>
          <w:sz w:val="21"/>
          <w:szCs w:val="21"/>
          <w:lang w:val="en-US" w:eastAsia="ko-KR"/>
        </w:rPr>
        <w:t>s</w:t>
      </w:r>
      <w:r w:rsidRPr="004B4991">
        <w:rPr>
          <w:rFonts w:eastAsia="맑은 고딕" w:hint="eastAsia"/>
          <w:kern w:val="2"/>
          <w:sz w:val="21"/>
          <w:szCs w:val="21"/>
          <w:lang w:val="en-US" w:eastAsia="ko-KR"/>
        </w:rPr>
        <w:t xml:space="preserve">, we made the </w:t>
      </w:r>
      <w:r w:rsidRPr="004B4991">
        <w:rPr>
          <w:rFonts w:eastAsia="맑은 고딕"/>
          <w:kern w:val="2"/>
          <w:sz w:val="21"/>
          <w:szCs w:val="21"/>
          <w:lang w:val="en-US" w:eastAsia="ko-KR"/>
        </w:rPr>
        <w:t>following</w:t>
      </w:r>
      <w:r w:rsidRPr="004B4991">
        <w:rPr>
          <w:rFonts w:eastAsia="맑은 고딕" w:hint="eastAsia"/>
          <w:kern w:val="2"/>
          <w:sz w:val="21"/>
          <w:szCs w:val="21"/>
          <w:lang w:val="en-US" w:eastAsia="ko-KR"/>
        </w:rPr>
        <w:t xml:space="preserve"> </w:t>
      </w:r>
      <w:r w:rsidRPr="004B4991">
        <w:rPr>
          <w:rFonts w:eastAsia="맑은 고딕"/>
          <w:kern w:val="2"/>
          <w:sz w:val="21"/>
          <w:szCs w:val="21"/>
          <w:lang w:val="en-US" w:eastAsia="ko-KR"/>
        </w:rPr>
        <w:t>observations</w:t>
      </w:r>
      <w:r w:rsidR="00E91F3B">
        <w:rPr>
          <w:rFonts w:eastAsia="맑은 고딕"/>
          <w:kern w:val="2"/>
          <w:sz w:val="21"/>
          <w:szCs w:val="21"/>
          <w:lang w:val="en-US" w:eastAsia="ko-KR"/>
        </w:rPr>
        <w:t xml:space="preserve"> and a proposal</w:t>
      </w:r>
      <w:r w:rsidRPr="004B4991">
        <w:rPr>
          <w:rFonts w:eastAsia="맑은 고딕"/>
          <w:kern w:val="2"/>
          <w:sz w:val="21"/>
          <w:szCs w:val="21"/>
          <w:lang w:val="en-US" w:eastAsia="ko-KR"/>
        </w:rPr>
        <w:t>.</w:t>
      </w:r>
    </w:p>
    <w:p w14:paraId="747D1092" w14:textId="124F7EC3" w:rsidR="000861DD" w:rsidRDefault="000861DD" w:rsidP="000972FA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Observation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3</w:t>
      </w: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: Conventional </w:t>
      </w:r>
      <w:r w:rsidR="002E3DB0">
        <w:rPr>
          <w:rFonts w:eastAsia="맑은 고딕"/>
          <w:b/>
          <w:kern w:val="2"/>
          <w:sz w:val="21"/>
          <w:szCs w:val="21"/>
          <w:lang w:val="en-US" w:eastAsia="ko-KR"/>
        </w:rPr>
        <w:t xml:space="preserve">NR </w:t>
      </w:r>
      <w:r w:rsidR="002E3DB0">
        <w:rPr>
          <w:rFonts w:eastAsia="맑은 고딕"/>
          <w:b/>
          <w:kern w:val="2"/>
          <w:sz w:val="21"/>
          <w:szCs w:val="21"/>
          <w:lang w:val="en-US" w:eastAsia="ko-KR"/>
        </w:rPr>
        <w:t xml:space="preserve">short-length </w:t>
      </w: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low-PAPR sequences </w:t>
      </w:r>
      <w:r w:rsidR="002E3DB0">
        <w:rPr>
          <w:rFonts w:eastAsia="맑은 고딕"/>
          <w:b/>
          <w:kern w:val="2"/>
          <w:sz w:val="21"/>
          <w:szCs w:val="21"/>
          <w:lang w:val="en-US" w:eastAsia="ko-KR"/>
        </w:rPr>
        <w:t>cannot give</w:t>
      </w: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 </w:t>
      </w:r>
      <w:r w:rsidR="002E3DB0">
        <w:rPr>
          <w:rFonts w:eastAsia="맑은 고딕"/>
          <w:b/>
          <w:kern w:val="2"/>
          <w:sz w:val="21"/>
          <w:szCs w:val="21"/>
          <w:lang w:val="en-US" w:eastAsia="ko-KR"/>
        </w:rPr>
        <w:t>enough</w:t>
      </w: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 </w:t>
      </w:r>
      <w:r w:rsidR="002E3DB0">
        <w:rPr>
          <w:rFonts w:eastAsia="맑은 고딕"/>
          <w:b/>
          <w:kern w:val="2"/>
          <w:sz w:val="21"/>
          <w:szCs w:val="21"/>
          <w:lang w:val="en-US" w:eastAsia="ko-KR"/>
        </w:rPr>
        <w:t xml:space="preserve">performance </w:t>
      </w: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>for CDMA operation of PSFCH.</w:t>
      </w:r>
    </w:p>
    <w:p w14:paraId="4C6536BE" w14:textId="434B0412" w:rsidR="00E91F3B" w:rsidRDefault="006C463A" w:rsidP="00E91F3B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Observation </w:t>
      </w:r>
      <w:r w:rsidR="000861DD">
        <w:rPr>
          <w:rFonts w:eastAsia="맑은 고딕"/>
          <w:b/>
          <w:kern w:val="2"/>
          <w:sz w:val="21"/>
          <w:szCs w:val="21"/>
          <w:lang w:val="en-US" w:eastAsia="ko-KR"/>
        </w:rPr>
        <w:t>4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: Sequences with zero cross-correlation shows </w:t>
      </w:r>
      <w:r w:rsidR="00B73619">
        <w:rPr>
          <w:rFonts w:eastAsia="맑은 고딕"/>
          <w:b/>
          <w:kern w:val="2"/>
          <w:sz w:val="21"/>
          <w:szCs w:val="21"/>
          <w:lang w:val="en-US" w:eastAsia="ko-KR"/>
        </w:rPr>
        <w:t>significantly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 better SINR</w:t>
      </w:r>
      <w:r w:rsidR="00B75556">
        <w:rPr>
          <w:rFonts w:eastAsia="맑은 고딕"/>
          <w:b/>
          <w:kern w:val="2"/>
          <w:sz w:val="21"/>
          <w:szCs w:val="21"/>
          <w:lang w:val="en-US" w:eastAsia="ko-KR"/>
        </w:rPr>
        <w:t>, at least for the time variance 0 reflecting Case 2.</w:t>
      </w:r>
    </w:p>
    <w:p w14:paraId="61F204CB" w14:textId="69A1F597" w:rsidR="00E91F3B" w:rsidRDefault="00E91F3B" w:rsidP="00E91F3B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Proposal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1: Adopt sequence set with low cross-correlation for the cover code of PSFCH transmission</w:t>
      </w:r>
      <w:r w:rsidR="00B75556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at least for Case 2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.</w:t>
      </w:r>
    </w:p>
    <w:p w14:paraId="7CF1A7DF" w14:textId="3C658DF3" w:rsidR="006C463A" w:rsidRPr="00E91F3B" w:rsidRDefault="00E91F3B" w:rsidP="000972FA">
      <w:pPr>
        <w:jc w:val="both"/>
        <w:rPr>
          <w:rFonts w:eastAsia="맑은 고딕" w:hint="eastAsia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kern w:val="2"/>
          <w:sz w:val="21"/>
          <w:szCs w:val="21"/>
          <w:lang w:val="en-US" w:eastAsia="ko-KR"/>
        </w:rPr>
        <w:t xml:space="preserve">The expanded CP 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is 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highly </w:t>
      </w:r>
      <w:r>
        <w:rPr>
          <w:rFonts w:eastAsia="맑은 고딕"/>
          <w:kern w:val="2"/>
          <w:sz w:val="21"/>
          <w:szCs w:val="21"/>
          <w:lang w:val="en-US" w:eastAsia="ko-KR"/>
        </w:rPr>
        <w:t>resilient for</w:t>
      </w:r>
      <w:r>
        <w:rPr>
          <w:rFonts w:eastAsia="맑은 고딕"/>
          <w:kern w:val="2"/>
          <w:sz w:val="21"/>
          <w:szCs w:val="21"/>
          <w:lang w:val="en-US" w:eastAsia="ko-KR"/>
        </w:rPr>
        <w:t xml:space="preserve"> the time error among UEs, however, too much relaxation may have interference from outer group V2X signals. </w:t>
      </w:r>
      <w:r>
        <w:rPr>
          <w:rFonts w:eastAsia="맑은 고딕"/>
          <w:kern w:val="2"/>
          <w:sz w:val="21"/>
          <w:szCs w:val="21"/>
          <w:lang w:val="en-US" w:eastAsia="ko-KR"/>
        </w:rPr>
        <w:t>This indicates the followings.</w:t>
      </w:r>
    </w:p>
    <w:p w14:paraId="5DC21982" w14:textId="5F018139" w:rsidR="006C463A" w:rsidRDefault="006C463A" w:rsidP="000972FA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Observation </w:t>
      </w:r>
      <w:r w:rsidR="000861DD">
        <w:rPr>
          <w:rFonts w:eastAsia="맑은 고딕"/>
          <w:b/>
          <w:kern w:val="2"/>
          <w:sz w:val="21"/>
          <w:szCs w:val="21"/>
          <w:lang w:val="en-US" w:eastAsia="ko-KR"/>
        </w:rPr>
        <w:t>5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: </w:t>
      </w:r>
      <w:r w:rsidR="00B73619">
        <w:rPr>
          <w:rFonts w:eastAsia="맑은 고딕"/>
          <w:b/>
          <w:kern w:val="2"/>
          <w:sz w:val="21"/>
          <w:szCs w:val="21"/>
          <w:lang w:val="en-US" w:eastAsia="ko-KR"/>
        </w:rPr>
        <w:t>The model a</w:t>
      </w:r>
      <w:r w:rsidR="00E91F3B">
        <w:rPr>
          <w:rFonts w:eastAsia="맑은 고딕"/>
          <w:b/>
          <w:kern w:val="2"/>
          <w:sz w:val="21"/>
          <w:szCs w:val="21"/>
          <w:lang w:val="en-US" w:eastAsia="ko-KR"/>
        </w:rPr>
        <w:t>pplyi</w:t>
      </w:r>
      <w:r w:rsidR="00B73619">
        <w:rPr>
          <w:rFonts w:eastAsia="맑은 고딕"/>
          <w:b/>
          <w:kern w:val="2"/>
          <w:sz w:val="21"/>
          <w:szCs w:val="21"/>
          <w:lang w:val="en-US" w:eastAsia="ko-KR"/>
        </w:rPr>
        <w:t>ng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 ex</w:t>
      </w:r>
      <w:r w:rsidR="00070B3F">
        <w:rPr>
          <w:rFonts w:eastAsia="맑은 고딕"/>
          <w:b/>
          <w:kern w:val="2"/>
          <w:sz w:val="21"/>
          <w:szCs w:val="21"/>
          <w:lang w:val="en-US" w:eastAsia="ko-KR"/>
        </w:rPr>
        <w:t>pa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nded CP gives </w:t>
      </w:r>
      <w:r w:rsidR="00B73619">
        <w:rPr>
          <w:rFonts w:eastAsia="맑은 고딕"/>
          <w:b/>
          <w:kern w:val="2"/>
          <w:sz w:val="21"/>
          <w:szCs w:val="21"/>
          <w:lang w:val="en-US" w:eastAsia="ko-KR"/>
        </w:rPr>
        <w:t xml:space="preserve">significantly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better SINR with the situation of large time variance</w:t>
      </w:r>
      <w:r w:rsidR="001368C0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and using sequences with zero cross-correlation.</w:t>
      </w:r>
      <w:r w:rsidR="00701D87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On the other hand, there is no significant merits for the expanded CP with </w:t>
      </w:r>
      <w:r w:rsidR="00E91F3B">
        <w:rPr>
          <w:rFonts w:eastAsia="맑은 고딕"/>
          <w:b/>
          <w:kern w:val="2"/>
          <w:sz w:val="21"/>
          <w:szCs w:val="21"/>
          <w:lang w:val="en-US" w:eastAsia="ko-KR"/>
        </w:rPr>
        <w:t xml:space="preserve">sequences having random-like correlation property, like </w:t>
      </w:r>
      <w:r w:rsidR="00701D87">
        <w:rPr>
          <w:rFonts w:eastAsia="맑은 고딕"/>
          <w:b/>
          <w:kern w:val="2"/>
          <w:sz w:val="21"/>
          <w:szCs w:val="21"/>
          <w:lang w:val="en-US" w:eastAsia="ko-KR"/>
        </w:rPr>
        <w:t xml:space="preserve">the conventional NR </w:t>
      </w:r>
      <w:r w:rsidR="00E91F3B">
        <w:rPr>
          <w:rFonts w:eastAsia="맑은 고딕"/>
          <w:b/>
          <w:kern w:val="2"/>
          <w:sz w:val="21"/>
          <w:szCs w:val="21"/>
          <w:lang w:val="en-US" w:eastAsia="ko-KR"/>
        </w:rPr>
        <w:t xml:space="preserve">short length </w:t>
      </w:r>
      <w:r w:rsidR="00701D87">
        <w:rPr>
          <w:rFonts w:eastAsia="맑은 고딕"/>
          <w:b/>
          <w:kern w:val="2"/>
          <w:sz w:val="21"/>
          <w:szCs w:val="21"/>
          <w:lang w:val="en-US" w:eastAsia="ko-KR"/>
        </w:rPr>
        <w:t>low-PAPR sequences.</w:t>
      </w:r>
    </w:p>
    <w:p w14:paraId="57C4AC1E" w14:textId="77777777" w:rsidR="006C463A" w:rsidRPr="0028329D" w:rsidRDefault="006C463A" w:rsidP="000972FA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>Proposal 2:</w:t>
      </w:r>
      <w:r w:rsidR="00070B3F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Consider adopting expanded CP for PSFCH</w:t>
      </w:r>
      <w:r w:rsidR="004B4991">
        <w:rPr>
          <w:rFonts w:eastAsia="맑은 고딕"/>
          <w:b/>
          <w:kern w:val="2"/>
          <w:sz w:val="21"/>
          <w:szCs w:val="21"/>
          <w:lang w:val="en-US" w:eastAsia="ko-KR"/>
        </w:rPr>
        <w:t xml:space="preserve"> when adopting low cross-correlation sequence.</w:t>
      </w:r>
    </w:p>
    <w:p w14:paraId="2F0BD5A3" w14:textId="009ED820" w:rsidR="00C11577" w:rsidRDefault="00551171" w:rsidP="00C11577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eastAsia="맑은 고딕"/>
          <w:lang w:eastAsia="ko-KR"/>
        </w:rPr>
        <w:t>Summary</w:t>
      </w:r>
    </w:p>
    <w:p w14:paraId="740FA6C7" w14:textId="10E063DB" w:rsidR="008A446C" w:rsidRDefault="00A80027" w:rsidP="000972FA">
      <w:pPr>
        <w:jc w:val="both"/>
        <w:rPr>
          <w:rFonts w:eastAsia="맑은 고딕"/>
          <w:kern w:val="2"/>
          <w:sz w:val="21"/>
          <w:lang w:val="en-US" w:eastAsia="ko-KR"/>
        </w:rPr>
      </w:pPr>
      <w:r>
        <w:rPr>
          <w:rFonts w:eastAsia="맑은 고딕"/>
          <w:kern w:val="2"/>
          <w:sz w:val="21"/>
          <w:lang w:val="en-US" w:eastAsia="ko-KR"/>
        </w:rPr>
        <w:t>Following</w:t>
      </w:r>
      <w:r w:rsidR="00027DEB">
        <w:rPr>
          <w:rFonts w:eastAsia="맑은 고딕"/>
          <w:kern w:val="2"/>
          <w:sz w:val="21"/>
          <w:lang w:val="en-US" w:eastAsia="ko-KR"/>
        </w:rPr>
        <w:t xml:space="preserve"> is the summary of</w:t>
      </w:r>
      <w:r w:rsidR="008F6B2A">
        <w:rPr>
          <w:rFonts w:eastAsia="맑은 고딕"/>
          <w:kern w:val="2"/>
          <w:sz w:val="21"/>
          <w:lang w:val="en-US" w:eastAsia="ko-KR"/>
        </w:rPr>
        <w:t xml:space="preserve"> our </w:t>
      </w:r>
      <w:r w:rsidR="00E91F3B">
        <w:rPr>
          <w:rFonts w:eastAsia="맑은 고딕"/>
          <w:kern w:val="2"/>
          <w:sz w:val="21"/>
          <w:lang w:val="en-US" w:eastAsia="ko-KR"/>
        </w:rPr>
        <w:t xml:space="preserve">observations and </w:t>
      </w:r>
      <w:r w:rsidR="008F6B2A">
        <w:rPr>
          <w:rFonts w:eastAsia="맑은 고딕"/>
          <w:kern w:val="2"/>
          <w:sz w:val="21"/>
          <w:lang w:val="en-US" w:eastAsia="ko-KR"/>
        </w:rPr>
        <w:t>proposal</w:t>
      </w:r>
      <w:r w:rsidR="002F7A9F">
        <w:rPr>
          <w:rFonts w:eastAsia="맑은 고딕"/>
          <w:kern w:val="2"/>
          <w:sz w:val="21"/>
          <w:lang w:val="en-US" w:eastAsia="ko-KR"/>
        </w:rPr>
        <w:t>s</w:t>
      </w:r>
      <w:r w:rsidR="008F6B2A">
        <w:rPr>
          <w:rFonts w:eastAsia="맑은 고딕"/>
          <w:kern w:val="2"/>
          <w:sz w:val="21"/>
          <w:lang w:val="en-US" w:eastAsia="ko-KR"/>
        </w:rPr>
        <w:t>.</w:t>
      </w:r>
    </w:p>
    <w:p w14:paraId="177E14F6" w14:textId="77777777" w:rsidR="00DF3AE4" w:rsidRDefault="00DF3AE4" w:rsidP="00DF3AE4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 w:rsidRPr="00E876BB">
        <w:rPr>
          <w:rFonts w:eastAsia="맑은 고딕"/>
          <w:b/>
          <w:kern w:val="2"/>
          <w:sz w:val="21"/>
          <w:szCs w:val="21"/>
          <w:lang w:eastAsia="ko-KR"/>
        </w:rPr>
        <w:t xml:space="preserve">Observation 1. </w:t>
      </w:r>
      <w:r>
        <w:rPr>
          <w:rFonts w:eastAsia="맑은 고딕"/>
          <w:b/>
          <w:kern w:val="2"/>
          <w:sz w:val="21"/>
          <w:szCs w:val="21"/>
          <w:lang w:eastAsia="ko-KR"/>
        </w:rPr>
        <w:t>For Case 1, A UE can implicitly struggle to avoid such case, and regard the receiving Rx as NACK for unavoidable situations.</w:t>
      </w:r>
    </w:p>
    <w:p w14:paraId="61437E91" w14:textId="755B7A95" w:rsidR="00B75556" w:rsidRPr="00EA64A5" w:rsidRDefault="00B75556" w:rsidP="00B75556">
      <w:pPr>
        <w:jc w:val="both"/>
        <w:rPr>
          <w:rFonts w:eastAsia="맑은 고딕"/>
          <w:b/>
          <w:kern w:val="2"/>
          <w:sz w:val="21"/>
          <w:szCs w:val="21"/>
          <w:lang w:eastAsia="ko-KR"/>
        </w:rPr>
      </w:pPr>
      <w:r>
        <w:rPr>
          <w:rFonts w:eastAsia="맑은 고딕"/>
          <w:b/>
          <w:kern w:val="2"/>
          <w:sz w:val="21"/>
          <w:szCs w:val="21"/>
          <w:lang w:eastAsia="ko-KR"/>
        </w:rPr>
        <w:t>Observation 2. Individual PSFCHs from different user</w:t>
      </w:r>
      <w:r>
        <w:rPr>
          <w:rFonts w:eastAsia="맑은 고딕"/>
          <w:b/>
          <w:kern w:val="2"/>
          <w:sz w:val="21"/>
          <w:szCs w:val="21"/>
          <w:lang w:eastAsia="ko-KR"/>
        </w:rPr>
        <w:t>s</w:t>
      </w:r>
      <w:r>
        <w:rPr>
          <w:rFonts w:eastAsia="맑은 고딕"/>
          <w:b/>
          <w:kern w:val="2"/>
          <w:sz w:val="21"/>
          <w:szCs w:val="21"/>
          <w:lang w:eastAsia="ko-KR"/>
        </w:rPr>
        <w:t xml:space="preserve"> are not time-aligned.</w:t>
      </w:r>
    </w:p>
    <w:p w14:paraId="7A36B57E" w14:textId="77777777" w:rsidR="002E3DB0" w:rsidRDefault="002E3DB0" w:rsidP="002E3DB0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Observation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3</w:t>
      </w: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: Conventional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NR short-length </w:t>
      </w: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low-PAPR sequences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cannot give</w:t>
      </w: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 sufficient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 xml:space="preserve">performance </w:t>
      </w: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>for CDMA operation of PSFCH.</w:t>
      </w:r>
    </w:p>
    <w:p w14:paraId="58EFE118" w14:textId="77777777" w:rsidR="00B75556" w:rsidRDefault="00B75556" w:rsidP="00B75556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>Observation 4: Sequences with zero cross-correlation shows significantly better SINR, at least for the time variance 0 reflecting Case 2.</w:t>
      </w:r>
    </w:p>
    <w:p w14:paraId="642922C7" w14:textId="77777777" w:rsidR="002E3DB0" w:rsidRDefault="002E3DB0" w:rsidP="002E3DB0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>Observation 5: The model applying expanded CP gives significantly better SINR with the situation of large time variance and using sequences with zero cross-correlation. On the other hand, there is no significant merits for the expanded CP with sequences having random-like correlation property, like the conventional NR short length low-PAPR sequences.</w:t>
      </w:r>
    </w:p>
    <w:p w14:paraId="6A801208" w14:textId="77777777" w:rsidR="00B75556" w:rsidRDefault="00B75556" w:rsidP="00B75556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Proposal </w:t>
      </w:r>
      <w:r>
        <w:rPr>
          <w:rFonts w:eastAsia="맑은 고딕"/>
          <w:b/>
          <w:kern w:val="2"/>
          <w:sz w:val="21"/>
          <w:szCs w:val="21"/>
          <w:lang w:val="en-US" w:eastAsia="ko-KR"/>
        </w:rPr>
        <w:t>1: Adopt sequence set with low cross-correlation for the cover code of PSFCH transmission at least for Case 2.</w:t>
      </w:r>
    </w:p>
    <w:p w14:paraId="45710FC5" w14:textId="77777777" w:rsidR="00B73619" w:rsidRPr="0028329D" w:rsidRDefault="00B73619" w:rsidP="00B73619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>
        <w:rPr>
          <w:rFonts w:eastAsia="맑은 고딕"/>
          <w:b/>
          <w:kern w:val="2"/>
          <w:sz w:val="21"/>
          <w:szCs w:val="21"/>
          <w:lang w:val="en-US" w:eastAsia="ko-KR"/>
        </w:rPr>
        <w:t>Proposal 2: Consider adopting expanded CP for PSFCH when adopting low cross-correlation sequence.</w:t>
      </w:r>
    </w:p>
    <w:p w14:paraId="1D76C2D3" w14:textId="77777777" w:rsidR="00C11577" w:rsidRPr="00D9625F" w:rsidRDefault="00C11577" w:rsidP="0028329D">
      <w:pPr>
        <w:pStyle w:val="1"/>
        <w:tabs>
          <w:tab w:val="left" w:pos="9781"/>
        </w:tabs>
        <w:ind w:right="-26"/>
        <w:jc w:val="both"/>
      </w:pPr>
      <w:r w:rsidRPr="00D9625F">
        <w:t>References</w:t>
      </w:r>
    </w:p>
    <w:p w14:paraId="701CCC5A" w14:textId="77777777" w:rsidR="00815C9E" w:rsidRDefault="00C11577" w:rsidP="00D322D0">
      <w:pPr>
        <w:rPr>
          <w:rFonts w:eastAsiaTheme="minorEastAsia"/>
          <w:kern w:val="2"/>
          <w:sz w:val="22"/>
          <w:szCs w:val="24"/>
          <w:lang w:val="en-US" w:eastAsia="zh-CN"/>
        </w:rPr>
      </w:pP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>[</w:t>
      </w:r>
      <w:r>
        <w:rPr>
          <w:rFonts w:eastAsia="맑은 고딕" w:hint="eastAsia"/>
          <w:kern w:val="2"/>
          <w:sz w:val="22"/>
          <w:szCs w:val="24"/>
          <w:lang w:val="en-US" w:eastAsia="ko-KR"/>
        </w:rPr>
        <w:t>1</w:t>
      </w: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 xml:space="preserve">] </w:t>
      </w:r>
      <w:r w:rsidR="00C753BB">
        <w:rPr>
          <w:rFonts w:eastAsiaTheme="minorEastAsia"/>
          <w:kern w:val="2"/>
          <w:sz w:val="22"/>
          <w:szCs w:val="24"/>
          <w:lang w:val="en-US" w:eastAsia="zh-CN"/>
        </w:rPr>
        <w:t xml:space="preserve">RAN1 Chairman’s note (final), 3GPP RAN1 </w:t>
      </w:r>
      <w:r w:rsidR="002B62C7">
        <w:rPr>
          <w:rFonts w:eastAsiaTheme="minorEastAsia"/>
          <w:kern w:val="2"/>
          <w:sz w:val="22"/>
          <w:szCs w:val="24"/>
          <w:lang w:val="en-US" w:eastAsia="zh-CN"/>
        </w:rPr>
        <w:t>#96</w:t>
      </w:r>
      <w:r w:rsidR="003E1B8C">
        <w:rPr>
          <w:rFonts w:eastAsiaTheme="minorEastAsia"/>
          <w:kern w:val="2"/>
          <w:sz w:val="22"/>
          <w:szCs w:val="24"/>
          <w:lang w:val="en-US" w:eastAsia="zh-CN"/>
        </w:rPr>
        <w:t>bis</w:t>
      </w:r>
      <w:r w:rsidR="00C753BB">
        <w:rPr>
          <w:rFonts w:eastAsiaTheme="minorEastAsia"/>
          <w:kern w:val="2"/>
          <w:sz w:val="22"/>
          <w:szCs w:val="24"/>
          <w:lang w:val="en-US" w:eastAsia="zh-CN"/>
        </w:rPr>
        <w:t xml:space="preserve">, </w:t>
      </w:r>
      <w:r w:rsidR="003E1B8C">
        <w:rPr>
          <w:rFonts w:eastAsiaTheme="minorEastAsia"/>
          <w:kern w:val="2"/>
          <w:sz w:val="22"/>
          <w:szCs w:val="24"/>
          <w:lang w:val="en-US" w:eastAsia="zh-CN"/>
        </w:rPr>
        <w:t>Xi’an</w:t>
      </w:r>
      <w:r w:rsidR="002B62C7">
        <w:rPr>
          <w:rFonts w:eastAsiaTheme="minorEastAsia"/>
          <w:kern w:val="2"/>
          <w:sz w:val="22"/>
          <w:szCs w:val="24"/>
          <w:lang w:val="en-US" w:eastAsia="zh-CN"/>
        </w:rPr>
        <w:t xml:space="preserve">, </w:t>
      </w:r>
      <w:r w:rsidR="003E1B8C">
        <w:rPr>
          <w:rFonts w:eastAsiaTheme="minorEastAsia"/>
          <w:kern w:val="2"/>
          <w:sz w:val="22"/>
          <w:szCs w:val="24"/>
          <w:lang w:val="en-US" w:eastAsia="zh-CN"/>
        </w:rPr>
        <w:t>China</w:t>
      </w:r>
      <w:r w:rsidR="002B62C7">
        <w:rPr>
          <w:rFonts w:eastAsiaTheme="minorEastAsia"/>
          <w:kern w:val="2"/>
          <w:sz w:val="22"/>
          <w:szCs w:val="24"/>
          <w:lang w:val="en-US" w:eastAsia="zh-CN"/>
        </w:rPr>
        <w:t xml:space="preserve">, </w:t>
      </w:r>
      <w:r w:rsidR="003E1B8C">
        <w:rPr>
          <w:rFonts w:eastAsiaTheme="minorEastAsia"/>
          <w:kern w:val="2"/>
          <w:sz w:val="22"/>
          <w:szCs w:val="24"/>
          <w:lang w:val="en-US" w:eastAsia="zh-CN"/>
        </w:rPr>
        <w:t>April</w:t>
      </w:r>
      <w:r w:rsidR="002B62C7">
        <w:rPr>
          <w:rFonts w:eastAsiaTheme="minorEastAsia"/>
          <w:kern w:val="2"/>
          <w:sz w:val="22"/>
          <w:szCs w:val="24"/>
          <w:lang w:val="en-US" w:eastAsia="zh-CN"/>
        </w:rPr>
        <w:t xml:space="preserve"> </w:t>
      </w:r>
      <w:r w:rsidR="003E1B8C">
        <w:rPr>
          <w:rFonts w:eastAsiaTheme="minorEastAsia"/>
          <w:kern w:val="2"/>
          <w:sz w:val="22"/>
          <w:szCs w:val="24"/>
          <w:lang w:val="en-US" w:eastAsia="zh-CN"/>
        </w:rPr>
        <w:t>8</w:t>
      </w:r>
      <w:r w:rsidR="002B62C7">
        <w:rPr>
          <w:rFonts w:eastAsiaTheme="minorEastAsia"/>
          <w:kern w:val="2"/>
          <w:sz w:val="22"/>
          <w:szCs w:val="24"/>
          <w:lang w:val="en-US" w:eastAsia="zh-CN"/>
        </w:rPr>
        <w:t>-1</w:t>
      </w:r>
      <w:r w:rsidR="003E1B8C">
        <w:rPr>
          <w:rFonts w:eastAsiaTheme="minorEastAsia"/>
          <w:kern w:val="2"/>
          <w:sz w:val="22"/>
          <w:szCs w:val="24"/>
          <w:lang w:val="en-US" w:eastAsia="zh-CN"/>
        </w:rPr>
        <w:t>2</w:t>
      </w:r>
      <w:r w:rsidR="008043E3">
        <w:rPr>
          <w:rFonts w:eastAsiaTheme="minorEastAsia"/>
          <w:kern w:val="2"/>
          <w:sz w:val="22"/>
          <w:szCs w:val="24"/>
          <w:lang w:val="en-US" w:eastAsia="zh-CN"/>
        </w:rPr>
        <w:t>, 2019</w:t>
      </w:r>
      <w:r w:rsidR="00C753BB">
        <w:rPr>
          <w:rFonts w:eastAsiaTheme="minorEastAsia"/>
          <w:kern w:val="2"/>
          <w:sz w:val="22"/>
          <w:szCs w:val="24"/>
          <w:lang w:val="en-US" w:eastAsia="zh-CN"/>
        </w:rPr>
        <w:t>.</w:t>
      </w:r>
    </w:p>
    <w:p w14:paraId="1BD87F46" w14:textId="77777777" w:rsidR="00E632E3" w:rsidRPr="0028329D" w:rsidRDefault="003E1B8C" w:rsidP="00E632E3">
      <w:pPr>
        <w:jc w:val="both"/>
        <w:rPr>
          <w:rFonts w:eastAsia="맑은 고딕"/>
          <w:b/>
          <w:kern w:val="2"/>
          <w:sz w:val="21"/>
          <w:szCs w:val="21"/>
          <w:lang w:val="en-US" w:eastAsia="ko-KR"/>
        </w:rPr>
      </w:pP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>[</w:t>
      </w:r>
      <w:r>
        <w:rPr>
          <w:rFonts w:eastAsia="맑은 고딕" w:hint="eastAsia"/>
          <w:kern w:val="2"/>
          <w:sz w:val="22"/>
          <w:szCs w:val="24"/>
          <w:lang w:val="en-US" w:eastAsia="ko-KR"/>
        </w:rPr>
        <w:t>2</w:t>
      </w: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 xml:space="preserve">] </w:t>
      </w:r>
      <w:r>
        <w:rPr>
          <w:rFonts w:eastAsiaTheme="minorEastAsia"/>
          <w:kern w:val="2"/>
          <w:sz w:val="22"/>
          <w:szCs w:val="24"/>
          <w:lang w:val="en-US" w:eastAsia="zh-CN"/>
        </w:rPr>
        <w:t>RAN1 Chairman’s note (final), 3GPP RAN1 #97, Reno, USA, May 13-17, 2019.</w:t>
      </w:r>
      <w:r w:rsidR="00E632E3" w:rsidRPr="00E632E3">
        <w:rPr>
          <w:rFonts w:eastAsia="맑은 고딕" w:hint="eastAsia"/>
          <w:b/>
          <w:kern w:val="2"/>
          <w:sz w:val="21"/>
          <w:szCs w:val="21"/>
          <w:lang w:val="en-US" w:eastAsia="ko-KR"/>
        </w:rPr>
        <w:t xml:space="preserve"> </w:t>
      </w:r>
    </w:p>
    <w:p w14:paraId="5B976D88" w14:textId="77777777" w:rsidR="00E632E3" w:rsidRPr="00D9625F" w:rsidRDefault="00E632E3" w:rsidP="00E632E3">
      <w:pPr>
        <w:pStyle w:val="1"/>
        <w:tabs>
          <w:tab w:val="left" w:pos="9781"/>
        </w:tabs>
        <w:ind w:right="-26"/>
        <w:jc w:val="both"/>
      </w:pPr>
      <w:r>
        <w:t>Appendix</w:t>
      </w:r>
    </w:p>
    <w:p w14:paraId="5B51D0B9" w14:textId="77777777" w:rsidR="003E1B8C" w:rsidRDefault="00E632E3" w:rsidP="00E632E3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Simulation Assumptions</w:t>
      </w:r>
    </w:p>
    <w:p w14:paraId="6CC12CA2" w14:textId="5079897E" w:rsidR="00E632E3" w:rsidRDefault="00E632E3" w:rsidP="00E632E3">
      <w:pPr>
        <w:pStyle w:val="a6"/>
        <w:numPr>
          <w:ilvl w:val="0"/>
          <w:numId w:val="45"/>
        </w:numPr>
        <w:ind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Signal selection: Randomly choose from </w:t>
      </w:r>
      <w:r w:rsidR="002E3DB0">
        <w:rPr>
          <w:rFonts w:eastAsia="맑은 고딕"/>
          <w:lang w:val="en-US" w:eastAsia="ko-KR"/>
        </w:rPr>
        <w:t>all possible, not duplicated cyclic shifts</w:t>
      </w:r>
      <w:r>
        <w:rPr>
          <w:rFonts w:eastAsia="맑은 고딕" w:hint="eastAsia"/>
          <w:lang w:val="en-US" w:eastAsia="ko-KR"/>
        </w:rPr>
        <w:t xml:space="preserve"> for ZC sequence, </w:t>
      </w:r>
      <w:r w:rsidR="002E3DB0">
        <w:rPr>
          <w:rFonts w:eastAsia="맑은 고딕"/>
          <w:lang w:val="en-US" w:eastAsia="ko-KR"/>
        </w:rPr>
        <w:t xml:space="preserve">from </w:t>
      </w:r>
      <w:r w:rsidR="002E3DB0" w:rsidRPr="002E3DB0">
        <w:rPr>
          <w:rFonts w:eastAsia="맑은 고딕"/>
          <w:i/>
          <w:iCs/>
          <w:lang w:val="en-US" w:eastAsia="ko-KR"/>
        </w:rPr>
        <w:t>u</w:t>
      </w:r>
      <w:r w:rsidR="002E3DB0">
        <w:rPr>
          <w:rFonts w:eastAsia="맑은 고딕"/>
          <w:lang w:val="en-US" w:eastAsia="ko-KR"/>
        </w:rPr>
        <w:t xml:space="preserve"> of 30 kinds</w:t>
      </w:r>
      <w:r>
        <w:rPr>
          <w:rFonts w:eastAsia="맑은 고딕" w:hint="eastAsia"/>
          <w:lang w:val="en-US" w:eastAsia="ko-KR"/>
        </w:rPr>
        <w:t xml:space="preserve"> for conventional NR </w:t>
      </w:r>
      <w:r w:rsidR="002E3DB0">
        <w:rPr>
          <w:rFonts w:eastAsia="맑은 고딕"/>
          <w:lang w:val="en-US" w:eastAsia="ko-KR"/>
        </w:rPr>
        <w:t xml:space="preserve">short-length </w:t>
      </w:r>
      <w:r>
        <w:rPr>
          <w:rFonts w:eastAsia="맑은 고딕" w:hint="eastAsia"/>
          <w:lang w:val="en-US" w:eastAsia="ko-KR"/>
        </w:rPr>
        <w:t>low-PAPR</w:t>
      </w:r>
      <w:r>
        <w:rPr>
          <w:rFonts w:eastAsia="맑은 고딕"/>
          <w:lang w:val="en-US" w:eastAsia="ko-KR"/>
        </w:rPr>
        <w:t xml:space="preserve"> sequence</w:t>
      </w:r>
    </w:p>
    <w:p w14:paraId="49DA447A" w14:textId="77777777" w:rsidR="00E632E3" w:rsidRDefault="00E632E3" w:rsidP="00E632E3">
      <w:pPr>
        <w:pStyle w:val="a6"/>
        <w:numPr>
          <w:ilvl w:val="0"/>
          <w:numId w:val="45"/>
        </w:numPr>
        <w:ind w:firstLineChars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Sampling Rate: 10000 for each OFDM symbol</w:t>
      </w:r>
    </w:p>
    <w:p w14:paraId="5581DF73" w14:textId="77777777" w:rsidR="00E632E3" w:rsidRDefault="00E632E3" w:rsidP="00D322D0">
      <w:pPr>
        <w:pStyle w:val="a6"/>
        <w:numPr>
          <w:ilvl w:val="0"/>
          <w:numId w:val="45"/>
        </w:numPr>
        <w:ind w:firstLineChars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SINR calculation: dB of arithmetic mean value of signal power/interference power of 1000 independent simulations.</w:t>
      </w:r>
    </w:p>
    <w:p w14:paraId="72662487" w14:textId="77777777" w:rsidR="00E632E3" w:rsidRDefault="00E632E3" w:rsidP="00D322D0">
      <w:pPr>
        <w:pStyle w:val="a6"/>
        <w:numPr>
          <w:ilvl w:val="0"/>
          <w:numId w:val="45"/>
        </w:numPr>
        <w:ind w:firstLineChars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Amplitude variation: Power amplify by uniformly chosen from [1-av, 1+av]</w:t>
      </w:r>
    </w:p>
    <w:p w14:paraId="53944282" w14:textId="2554865F" w:rsidR="00E632E3" w:rsidRPr="00E632E3" w:rsidRDefault="00E632E3" w:rsidP="00D322D0">
      <w:pPr>
        <w:pStyle w:val="a6"/>
        <w:numPr>
          <w:ilvl w:val="0"/>
          <w:numId w:val="45"/>
        </w:numPr>
        <w:ind w:firstLineChars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lastRenderedPageBreak/>
        <w:t>Time variation: Time shift</w:t>
      </w:r>
      <w:r w:rsidR="002E3DB0">
        <w:rPr>
          <w:rFonts w:eastAsia="맑은 고딕"/>
          <w:lang w:val="en-US" w:eastAsia="ko-KR"/>
        </w:rPr>
        <w:t xml:space="preserve"> of interference signals</w:t>
      </w:r>
      <w:r>
        <w:rPr>
          <w:rFonts w:eastAsia="맑은 고딕"/>
          <w:lang w:val="en-US" w:eastAsia="ko-KR"/>
        </w:rPr>
        <w:t xml:space="preserve"> </w:t>
      </w:r>
      <w:r w:rsidR="002E3DB0">
        <w:rPr>
          <w:rFonts w:eastAsia="맑은 고딕"/>
          <w:lang w:val="en-US" w:eastAsia="ko-KR"/>
        </w:rPr>
        <w:t>determined by</w:t>
      </w:r>
      <w:r>
        <w:rPr>
          <w:rFonts w:eastAsia="맑은 고딕"/>
          <w:lang w:val="en-US" w:eastAsia="ko-KR"/>
        </w:rPr>
        <w:t xml:space="preserve"> uniformly chosen</w:t>
      </w:r>
      <w:r w:rsidR="002E3DB0">
        <w:rPr>
          <w:rFonts w:eastAsia="맑은 고딕"/>
          <w:lang w:val="en-US" w:eastAsia="ko-KR"/>
        </w:rPr>
        <w:t xml:space="preserve"> delay</w:t>
      </w:r>
      <w:r>
        <w:rPr>
          <w:rFonts w:eastAsia="맑은 고딕"/>
          <w:lang w:val="en-US" w:eastAsia="ko-KR"/>
        </w:rPr>
        <w:t xml:space="preserve"> from [-T</w:t>
      </w:r>
      <w:r w:rsidR="002E3DB0" w:rsidRPr="002E3DB0">
        <w:rPr>
          <w:rFonts w:eastAsia="맑은 고딕"/>
          <w:lang w:val="el-GR" w:eastAsia="ko-KR"/>
        </w:rPr>
        <w:t>τ</w:t>
      </w:r>
      <w:r>
        <w:rPr>
          <w:rFonts w:eastAsia="맑은 고딕"/>
          <w:lang w:val="en-US" w:eastAsia="ko-KR"/>
        </w:rPr>
        <w:t>, +T</w:t>
      </w:r>
      <w:r w:rsidR="002E3DB0" w:rsidRPr="002E3DB0">
        <w:rPr>
          <w:rFonts w:eastAsia="맑은 고딕"/>
          <w:lang w:val="el-GR" w:eastAsia="ko-KR"/>
        </w:rPr>
        <w:t>τ</w:t>
      </w:r>
      <w:r>
        <w:rPr>
          <w:rFonts w:eastAsia="맑은 고딕"/>
          <w:lang w:val="en-US" w:eastAsia="ko-KR"/>
        </w:rPr>
        <w:t xml:space="preserve">], where T is the length of single </w:t>
      </w:r>
      <w:r w:rsidR="00D67726">
        <w:rPr>
          <w:rFonts w:eastAsia="맑은 고딕"/>
          <w:lang w:val="en-US" w:eastAsia="ko-KR"/>
        </w:rPr>
        <w:t xml:space="preserve">received </w:t>
      </w:r>
      <w:r>
        <w:rPr>
          <w:rFonts w:eastAsia="맑은 고딕"/>
          <w:lang w:val="en-US" w:eastAsia="ko-KR"/>
        </w:rPr>
        <w:t>OFDM symbol</w:t>
      </w:r>
      <w:r w:rsidR="00D67726">
        <w:rPr>
          <w:rFonts w:eastAsia="맑은 고딕"/>
          <w:lang w:val="en-US" w:eastAsia="ko-KR"/>
        </w:rPr>
        <w:t xml:space="preserve"> excluding CP, that is</w:t>
      </w:r>
      <w:r w:rsidR="002E3DB0">
        <w:rPr>
          <w:rFonts w:eastAsia="맑은 고딕"/>
          <w:lang w:val="en-US" w:eastAsia="ko-KR"/>
        </w:rPr>
        <w:t>, T=</w:t>
      </w:r>
      <w:r w:rsidR="00D67726">
        <w:rPr>
          <w:rFonts w:eastAsia="맑은 고딕"/>
          <w:lang w:val="en-US" w:eastAsia="ko-KR"/>
        </w:rPr>
        <w:t>2048</w:t>
      </w:r>
      <w:r w:rsidR="00D67726">
        <w:rPr>
          <w:rFonts w:ascii="맑은 고딕" w:eastAsia="맑은 고딕" w:hAnsi="맑은 고딕" w:hint="eastAsia"/>
          <w:lang w:val="en-US" w:eastAsia="ko-KR"/>
        </w:rPr>
        <w:t>∙(κ</w:t>
      </w:r>
      <w:r w:rsidR="00D67726">
        <w:rPr>
          <w:rFonts w:eastAsia="맑은 고딕" w:hint="eastAsia"/>
          <w:lang w:val="en-US" w:eastAsia="ko-KR"/>
        </w:rPr>
        <w:t>/2</w:t>
      </w:r>
      <w:r w:rsidR="00D67726" w:rsidRPr="00D67726">
        <w:rPr>
          <w:rFonts w:ascii="맑은 고딕" w:eastAsia="맑은 고딕" w:hAnsi="맑은 고딕" w:hint="eastAsia"/>
          <w:vertAlign w:val="superscript"/>
          <w:lang w:val="en-US" w:eastAsia="ko-KR"/>
        </w:rPr>
        <w:t>μ</w:t>
      </w:r>
      <w:r w:rsidR="00D67726" w:rsidRPr="00D67726">
        <w:rPr>
          <w:rFonts w:ascii="맑은 고딕" w:eastAsia="맑은 고딕" w:hAnsi="맑은 고딕" w:hint="eastAsia"/>
          <w:lang w:val="en-US" w:eastAsia="ko-KR"/>
        </w:rPr>
        <w:t>)</w:t>
      </w:r>
      <w:r w:rsidR="00D67726">
        <w:rPr>
          <w:rFonts w:eastAsia="맑은 고딕"/>
          <w:lang w:val="en-US" w:eastAsia="ko-KR"/>
        </w:rPr>
        <w:t>T</w:t>
      </w:r>
      <w:r w:rsidR="00D67726" w:rsidRPr="00D67726">
        <w:rPr>
          <w:rFonts w:eastAsia="맑은 고딕"/>
          <w:vertAlign w:val="subscript"/>
          <w:lang w:val="en-US" w:eastAsia="ko-KR"/>
        </w:rPr>
        <w:t>c</w:t>
      </w:r>
      <w:r w:rsidR="00D67726">
        <w:rPr>
          <w:rFonts w:eastAsia="맑은 고딕"/>
          <w:lang w:val="en-US" w:eastAsia="ko-KR"/>
        </w:rPr>
        <w:t>.</w:t>
      </w:r>
    </w:p>
    <w:sectPr w:rsidR="00E632E3" w:rsidRPr="00E632E3" w:rsidSect="00230375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8F030" w14:textId="77777777" w:rsidR="00BC0AF9" w:rsidRDefault="00BC0AF9" w:rsidP="00B50DC2">
      <w:pPr>
        <w:spacing w:after="0"/>
      </w:pPr>
      <w:r>
        <w:separator/>
      </w:r>
    </w:p>
  </w:endnote>
  <w:endnote w:type="continuationSeparator" w:id="0">
    <w:p w14:paraId="40739187" w14:textId="77777777" w:rsidR="00BC0AF9" w:rsidRDefault="00BC0AF9" w:rsidP="00B50D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D0140" w14:textId="77777777" w:rsidR="00BC0AF9" w:rsidRDefault="00BC0AF9" w:rsidP="00B50DC2">
      <w:pPr>
        <w:spacing w:after="0"/>
      </w:pPr>
      <w:r>
        <w:separator/>
      </w:r>
    </w:p>
  </w:footnote>
  <w:footnote w:type="continuationSeparator" w:id="0">
    <w:p w14:paraId="61D087C0" w14:textId="77777777" w:rsidR="00BC0AF9" w:rsidRDefault="00BC0AF9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6263D"/>
    <w:multiLevelType w:val="hybridMultilevel"/>
    <w:tmpl w:val="447460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1A7366"/>
    <w:multiLevelType w:val="hybridMultilevel"/>
    <w:tmpl w:val="AFF62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776385"/>
    <w:multiLevelType w:val="hybridMultilevel"/>
    <w:tmpl w:val="5080AD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03265"/>
    <w:multiLevelType w:val="hybridMultilevel"/>
    <w:tmpl w:val="8D707202"/>
    <w:lvl w:ilvl="0" w:tplc="83225238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F72A1"/>
    <w:multiLevelType w:val="hybridMultilevel"/>
    <w:tmpl w:val="9D86AEBE"/>
    <w:lvl w:ilvl="0" w:tplc="04EAC26A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AFB081A0">
      <w:start w:val="5858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1DA50A4C"/>
    <w:multiLevelType w:val="hybridMultilevel"/>
    <w:tmpl w:val="4BD0E4C6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EAC26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1E47134"/>
    <w:multiLevelType w:val="hybridMultilevel"/>
    <w:tmpl w:val="7292D70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27A6604"/>
    <w:multiLevelType w:val="hybridMultilevel"/>
    <w:tmpl w:val="CA247F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673D0"/>
    <w:multiLevelType w:val="hybridMultilevel"/>
    <w:tmpl w:val="644401F2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A68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5C3C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4FA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4F5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0F8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826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006E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4AB8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8009C4"/>
    <w:multiLevelType w:val="hybridMultilevel"/>
    <w:tmpl w:val="80F4A6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DFA68C4">
      <w:start w:val="1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428213F"/>
    <w:multiLevelType w:val="hybridMultilevel"/>
    <w:tmpl w:val="288CD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D6531"/>
    <w:multiLevelType w:val="hybridMultilevel"/>
    <w:tmpl w:val="934C4326"/>
    <w:lvl w:ilvl="0" w:tplc="04EAC2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EA1D5E"/>
    <w:multiLevelType w:val="hybridMultilevel"/>
    <w:tmpl w:val="B61E5268"/>
    <w:lvl w:ilvl="0" w:tplc="C55034C6">
      <w:start w:val="1"/>
      <w:numFmt w:val="bullet"/>
      <w:lvlText w:val="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670DC5"/>
    <w:multiLevelType w:val="hybridMultilevel"/>
    <w:tmpl w:val="BCD61130"/>
    <w:lvl w:ilvl="0" w:tplc="04EAC26A">
      <w:start w:val="1"/>
      <w:numFmt w:val="bullet"/>
      <w:lvlText w:val="•"/>
      <w:lvlJc w:val="left"/>
      <w:pPr>
        <w:ind w:left="82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20" w15:restartNumberingAfterBreak="0">
    <w:nsid w:val="45FC1288"/>
    <w:multiLevelType w:val="hybridMultilevel"/>
    <w:tmpl w:val="7AD0DA84"/>
    <w:lvl w:ilvl="0" w:tplc="04EAC2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85B1F54"/>
    <w:multiLevelType w:val="hybridMultilevel"/>
    <w:tmpl w:val="28F23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A4EEE"/>
    <w:multiLevelType w:val="hybridMultilevel"/>
    <w:tmpl w:val="CB7E5D94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02E2C36"/>
    <w:multiLevelType w:val="hybridMultilevel"/>
    <w:tmpl w:val="C1ECEE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3023BA3"/>
    <w:multiLevelType w:val="hybridMultilevel"/>
    <w:tmpl w:val="5A8626D2"/>
    <w:lvl w:ilvl="0" w:tplc="13EEEF78">
      <w:start w:val="1"/>
      <w:numFmt w:val="decimal"/>
      <w:lvlText w:val="(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3397341"/>
    <w:multiLevelType w:val="hybridMultilevel"/>
    <w:tmpl w:val="803C0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 w15:restartNumberingAfterBreak="0">
    <w:nsid w:val="5D955FF0"/>
    <w:multiLevelType w:val="hybridMultilevel"/>
    <w:tmpl w:val="9E82865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D466F"/>
    <w:multiLevelType w:val="hybridMultilevel"/>
    <w:tmpl w:val="97B6A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64483"/>
    <w:multiLevelType w:val="hybridMultilevel"/>
    <w:tmpl w:val="17BCF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34F54"/>
    <w:multiLevelType w:val="hybridMultilevel"/>
    <w:tmpl w:val="C6BCCAA2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EAC26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543112D"/>
    <w:multiLevelType w:val="hybridMultilevel"/>
    <w:tmpl w:val="5A281FB6"/>
    <w:lvl w:ilvl="0" w:tplc="83225238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7D94D84"/>
    <w:multiLevelType w:val="hybridMultilevel"/>
    <w:tmpl w:val="1ADCBBB6"/>
    <w:lvl w:ilvl="0" w:tplc="E5AA6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E5C36">
      <w:start w:val="41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ECA820">
      <w:start w:val="41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A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82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0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28D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81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844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6119B6"/>
    <w:multiLevelType w:val="hybridMultilevel"/>
    <w:tmpl w:val="3CF28D0C"/>
    <w:lvl w:ilvl="0" w:tplc="04EAC2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9CC1570"/>
    <w:multiLevelType w:val="hybridMultilevel"/>
    <w:tmpl w:val="4162DBE8"/>
    <w:lvl w:ilvl="0" w:tplc="04EAC2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B3F1C44"/>
    <w:multiLevelType w:val="hybridMultilevel"/>
    <w:tmpl w:val="845C1B5C"/>
    <w:lvl w:ilvl="0" w:tplc="AFB081A0">
      <w:start w:val="5858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2BE4224"/>
    <w:multiLevelType w:val="hybridMultilevel"/>
    <w:tmpl w:val="277E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71936"/>
    <w:multiLevelType w:val="multilevel"/>
    <w:tmpl w:val="87E833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926AA4"/>
    <w:multiLevelType w:val="hybridMultilevel"/>
    <w:tmpl w:val="36AE2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B92FB7"/>
    <w:multiLevelType w:val="hybridMultilevel"/>
    <w:tmpl w:val="7DC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061AC8"/>
    <w:multiLevelType w:val="hybridMultilevel"/>
    <w:tmpl w:val="220ED3C6"/>
    <w:lvl w:ilvl="0" w:tplc="04EAC2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C92468E"/>
    <w:multiLevelType w:val="hybridMultilevel"/>
    <w:tmpl w:val="EF10F304"/>
    <w:lvl w:ilvl="0" w:tplc="95929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8ACF8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0178C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2F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9C2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24D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AA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E5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E5C63F1"/>
    <w:multiLevelType w:val="hybridMultilevel"/>
    <w:tmpl w:val="9B5ED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9"/>
  </w:num>
  <w:num w:numId="3">
    <w:abstractNumId w:val="17"/>
  </w:num>
  <w:num w:numId="4">
    <w:abstractNumId w:val="43"/>
  </w:num>
  <w:num w:numId="5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"/>
  </w:num>
  <w:num w:numId="7">
    <w:abstractNumId w:val="6"/>
  </w:num>
  <w:num w:numId="8">
    <w:abstractNumId w:val="34"/>
  </w:num>
  <w:num w:numId="9">
    <w:abstractNumId w:val="7"/>
  </w:num>
  <w:num w:numId="10">
    <w:abstractNumId w:val="37"/>
  </w:num>
  <w:num w:numId="11">
    <w:abstractNumId w:val="19"/>
  </w:num>
  <w:num w:numId="12">
    <w:abstractNumId w:val="32"/>
  </w:num>
  <w:num w:numId="13">
    <w:abstractNumId w:val="8"/>
  </w:num>
  <w:num w:numId="14">
    <w:abstractNumId w:val="24"/>
  </w:num>
  <w:num w:numId="15">
    <w:abstractNumId w:val="35"/>
  </w:num>
  <w:num w:numId="16">
    <w:abstractNumId w:val="14"/>
  </w:num>
  <w:num w:numId="17">
    <w:abstractNumId w:val="36"/>
  </w:num>
  <w:num w:numId="18">
    <w:abstractNumId w:val="20"/>
  </w:num>
  <w:num w:numId="19">
    <w:abstractNumId w:val="30"/>
  </w:num>
  <w:num w:numId="20">
    <w:abstractNumId w:val="11"/>
  </w:num>
  <w:num w:numId="21">
    <w:abstractNumId w:val="10"/>
  </w:num>
  <w:num w:numId="22">
    <w:abstractNumId w:val="26"/>
  </w:num>
  <w:num w:numId="23">
    <w:abstractNumId w:val="40"/>
  </w:num>
  <w:num w:numId="24">
    <w:abstractNumId w:val="38"/>
  </w:num>
  <w:num w:numId="25">
    <w:abstractNumId w:val="27"/>
  </w:num>
  <w:num w:numId="26">
    <w:abstractNumId w:val="31"/>
  </w:num>
  <w:num w:numId="27">
    <w:abstractNumId w:val="25"/>
  </w:num>
  <w:num w:numId="28">
    <w:abstractNumId w:val="22"/>
  </w:num>
  <w:num w:numId="29">
    <w:abstractNumId w:val="9"/>
  </w:num>
  <w:num w:numId="30">
    <w:abstractNumId w:val="23"/>
  </w:num>
  <w:num w:numId="31">
    <w:abstractNumId w:val="12"/>
  </w:num>
  <w:num w:numId="32">
    <w:abstractNumId w:val="28"/>
  </w:num>
  <w:num w:numId="33">
    <w:abstractNumId w:val="0"/>
  </w:num>
  <w:num w:numId="34">
    <w:abstractNumId w:val="29"/>
  </w:num>
  <w:num w:numId="35">
    <w:abstractNumId w:val="13"/>
  </w:num>
  <w:num w:numId="36">
    <w:abstractNumId w:val="18"/>
  </w:num>
  <w:num w:numId="37">
    <w:abstractNumId w:val="41"/>
  </w:num>
  <w:num w:numId="38">
    <w:abstractNumId w:val="15"/>
  </w:num>
  <w:num w:numId="39">
    <w:abstractNumId w:val="42"/>
  </w:num>
  <w:num w:numId="40">
    <w:abstractNumId w:val="44"/>
  </w:num>
  <w:num w:numId="41">
    <w:abstractNumId w:val="3"/>
  </w:num>
  <w:num w:numId="42">
    <w:abstractNumId w:val="4"/>
  </w:num>
  <w:num w:numId="43">
    <w:abstractNumId w:val="21"/>
  </w:num>
  <w:num w:numId="44">
    <w:abstractNumId w:val="5"/>
  </w:num>
  <w:num w:numId="45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0DC2"/>
    <w:rsid w:val="000051D1"/>
    <w:rsid w:val="000105E0"/>
    <w:rsid w:val="00010E6D"/>
    <w:rsid w:val="00010F1A"/>
    <w:rsid w:val="00013064"/>
    <w:rsid w:val="00016540"/>
    <w:rsid w:val="00020653"/>
    <w:rsid w:val="00023FD5"/>
    <w:rsid w:val="0002416C"/>
    <w:rsid w:val="00025877"/>
    <w:rsid w:val="0002754A"/>
    <w:rsid w:val="00027D4E"/>
    <w:rsid w:val="00027DEB"/>
    <w:rsid w:val="0003049C"/>
    <w:rsid w:val="00030C55"/>
    <w:rsid w:val="00032134"/>
    <w:rsid w:val="00033385"/>
    <w:rsid w:val="00033CBA"/>
    <w:rsid w:val="0003463C"/>
    <w:rsid w:val="00035B2C"/>
    <w:rsid w:val="00037132"/>
    <w:rsid w:val="00040F71"/>
    <w:rsid w:val="000415B1"/>
    <w:rsid w:val="0004243F"/>
    <w:rsid w:val="0004268F"/>
    <w:rsid w:val="000446AE"/>
    <w:rsid w:val="000453BF"/>
    <w:rsid w:val="000477B1"/>
    <w:rsid w:val="000479FD"/>
    <w:rsid w:val="0005011E"/>
    <w:rsid w:val="000501D5"/>
    <w:rsid w:val="0005085E"/>
    <w:rsid w:val="000510C2"/>
    <w:rsid w:val="000510E6"/>
    <w:rsid w:val="000517BF"/>
    <w:rsid w:val="00053012"/>
    <w:rsid w:val="00053532"/>
    <w:rsid w:val="0005567F"/>
    <w:rsid w:val="00056738"/>
    <w:rsid w:val="00060E7A"/>
    <w:rsid w:val="000655F9"/>
    <w:rsid w:val="00067B3E"/>
    <w:rsid w:val="00070B3F"/>
    <w:rsid w:val="0007182A"/>
    <w:rsid w:val="00072D0C"/>
    <w:rsid w:val="00073DF1"/>
    <w:rsid w:val="000778F9"/>
    <w:rsid w:val="00077CA7"/>
    <w:rsid w:val="0008039D"/>
    <w:rsid w:val="00080A9F"/>
    <w:rsid w:val="00082DC4"/>
    <w:rsid w:val="0008379A"/>
    <w:rsid w:val="00083B6C"/>
    <w:rsid w:val="00085155"/>
    <w:rsid w:val="0008554A"/>
    <w:rsid w:val="0008561A"/>
    <w:rsid w:val="000861DD"/>
    <w:rsid w:val="0009105B"/>
    <w:rsid w:val="00091395"/>
    <w:rsid w:val="000917C8"/>
    <w:rsid w:val="00091D39"/>
    <w:rsid w:val="000930E6"/>
    <w:rsid w:val="0009388F"/>
    <w:rsid w:val="0009615F"/>
    <w:rsid w:val="00096404"/>
    <w:rsid w:val="00096B86"/>
    <w:rsid w:val="00096CC2"/>
    <w:rsid w:val="000972FA"/>
    <w:rsid w:val="000A08A4"/>
    <w:rsid w:val="000A12FC"/>
    <w:rsid w:val="000A3110"/>
    <w:rsid w:val="000A46EF"/>
    <w:rsid w:val="000A679B"/>
    <w:rsid w:val="000A7983"/>
    <w:rsid w:val="000A7EA9"/>
    <w:rsid w:val="000B0034"/>
    <w:rsid w:val="000B0323"/>
    <w:rsid w:val="000B04DF"/>
    <w:rsid w:val="000B0E6F"/>
    <w:rsid w:val="000B24EF"/>
    <w:rsid w:val="000B4C97"/>
    <w:rsid w:val="000B4EF1"/>
    <w:rsid w:val="000B6A92"/>
    <w:rsid w:val="000C0298"/>
    <w:rsid w:val="000C02A3"/>
    <w:rsid w:val="000C12B5"/>
    <w:rsid w:val="000C50B3"/>
    <w:rsid w:val="000C5145"/>
    <w:rsid w:val="000C5475"/>
    <w:rsid w:val="000C595A"/>
    <w:rsid w:val="000D2638"/>
    <w:rsid w:val="000D73A8"/>
    <w:rsid w:val="000E0D5F"/>
    <w:rsid w:val="000E1174"/>
    <w:rsid w:val="000E2A3F"/>
    <w:rsid w:val="000E2D3D"/>
    <w:rsid w:val="000E2DAB"/>
    <w:rsid w:val="000E2DCF"/>
    <w:rsid w:val="000E3E4B"/>
    <w:rsid w:val="000E4689"/>
    <w:rsid w:val="000E59D1"/>
    <w:rsid w:val="000E5A74"/>
    <w:rsid w:val="000E5B9B"/>
    <w:rsid w:val="000E5F34"/>
    <w:rsid w:val="000E6899"/>
    <w:rsid w:val="000E71AC"/>
    <w:rsid w:val="000F2C4E"/>
    <w:rsid w:val="000F338A"/>
    <w:rsid w:val="000F4B45"/>
    <w:rsid w:val="000F4E99"/>
    <w:rsid w:val="000F68B8"/>
    <w:rsid w:val="000F7FA3"/>
    <w:rsid w:val="00101113"/>
    <w:rsid w:val="00101C9E"/>
    <w:rsid w:val="00102608"/>
    <w:rsid w:val="00102753"/>
    <w:rsid w:val="001048BB"/>
    <w:rsid w:val="00105926"/>
    <w:rsid w:val="001059A9"/>
    <w:rsid w:val="00105F38"/>
    <w:rsid w:val="00106265"/>
    <w:rsid w:val="00106E05"/>
    <w:rsid w:val="00110226"/>
    <w:rsid w:val="00111453"/>
    <w:rsid w:val="00111FA9"/>
    <w:rsid w:val="00112B4E"/>
    <w:rsid w:val="001133B7"/>
    <w:rsid w:val="00115D00"/>
    <w:rsid w:val="00115E9F"/>
    <w:rsid w:val="00116C15"/>
    <w:rsid w:val="001175DD"/>
    <w:rsid w:val="00126431"/>
    <w:rsid w:val="00126609"/>
    <w:rsid w:val="00127284"/>
    <w:rsid w:val="001301E2"/>
    <w:rsid w:val="00130DD0"/>
    <w:rsid w:val="00131C09"/>
    <w:rsid w:val="00131E0C"/>
    <w:rsid w:val="00134A7F"/>
    <w:rsid w:val="001368C0"/>
    <w:rsid w:val="001369CE"/>
    <w:rsid w:val="00136FA6"/>
    <w:rsid w:val="001374DD"/>
    <w:rsid w:val="00137CB5"/>
    <w:rsid w:val="00140388"/>
    <w:rsid w:val="00141E77"/>
    <w:rsid w:val="0014260C"/>
    <w:rsid w:val="00142896"/>
    <w:rsid w:val="0014576E"/>
    <w:rsid w:val="001459CF"/>
    <w:rsid w:val="001467F1"/>
    <w:rsid w:val="001507D8"/>
    <w:rsid w:val="0015197F"/>
    <w:rsid w:val="00151F28"/>
    <w:rsid w:val="00153474"/>
    <w:rsid w:val="001537DD"/>
    <w:rsid w:val="001539D7"/>
    <w:rsid w:val="0016298E"/>
    <w:rsid w:val="00162EE6"/>
    <w:rsid w:val="001630B9"/>
    <w:rsid w:val="00164EC9"/>
    <w:rsid w:val="00165D87"/>
    <w:rsid w:val="00166196"/>
    <w:rsid w:val="001662C4"/>
    <w:rsid w:val="00170B1F"/>
    <w:rsid w:val="00170EDC"/>
    <w:rsid w:val="001731E2"/>
    <w:rsid w:val="001735DF"/>
    <w:rsid w:val="00174E8A"/>
    <w:rsid w:val="00175594"/>
    <w:rsid w:val="00175AD3"/>
    <w:rsid w:val="00176A5F"/>
    <w:rsid w:val="00177C22"/>
    <w:rsid w:val="00181C2C"/>
    <w:rsid w:val="001828A6"/>
    <w:rsid w:val="00183002"/>
    <w:rsid w:val="001836B0"/>
    <w:rsid w:val="0018568C"/>
    <w:rsid w:val="00190B92"/>
    <w:rsid w:val="001917C2"/>
    <w:rsid w:val="00192135"/>
    <w:rsid w:val="00194448"/>
    <w:rsid w:val="00197942"/>
    <w:rsid w:val="001A172E"/>
    <w:rsid w:val="001A55D4"/>
    <w:rsid w:val="001A6432"/>
    <w:rsid w:val="001A6B2B"/>
    <w:rsid w:val="001A7A9B"/>
    <w:rsid w:val="001B0189"/>
    <w:rsid w:val="001B117F"/>
    <w:rsid w:val="001B1984"/>
    <w:rsid w:val="001B24AF"/>
    <w:rsid w:val="001B24EC"/>
    <w:rsid w:val="001B2AB4"/>
    <w:rsid w:val="001B4FE8"/>
    <w:rsid w:val="001B5771"/>
    <w:rsid w:val="001B7A9E"/>
    <w:rsid w:val="001C13F4"/>
    <w:rsid w:val="001C2B00"/>
    <w:rsid w:val="001C3FA9"/>
    <w:rsid w:val="001C4588"/>
    <w:rsid w:val="001C5D42"/>
    <w:rsid w:val="001C6EAB"/>
    <w:rsid w:val="001C7896"/>
    <w:rsid w:val="001D17B1"/>
    <w:rsid w:val="001D7789"/>
    <w:rsid w:val="001D7DCD"/>
    <w:rsid w:val="001E0A77"/>
    <w:rsid w:val="001E11A6"/>
    <w:rsid w:val="001E14B7"/>
    <w:rsid w:val="001E1575"/>
    <w:rsid w:val="001E3231"/>
    <w:rsid w:val="001E3539"/>
    <w:rsid w:val="001E3EFD"/>
    <w:rsid w:val="001E4077"/>
    <w:rsid w:val="001E4FED"/>
    <w:rsid w:val="001E5E9E"/>
    <w:rsid w:val="001E7CBB"/>
    <w:rsid w:val="001E7EDD"/>
    <w:rsid w:val="001F01F1"/>
    <w:rsid w:val="001F02BF"/>
    <w:rsid w:val="001F03FF"/>
    <w:rsid w:val="001F06A6"/>
    <w:rsid w:val="001F06B3"/>
    <w:rsid w:val="001F06FA"/>
    <w:rsid w:val="001F192F"/>
    <w:rsid w:val="001F1E5F"/>
    <w:rsid w:val="001F1EE9"/>
    <w:rsid w:val="001F28E4"/>
    <w:rsid w:val="001F5642"/>
    <w:rsid w:val="001F56FD"/>
    <w:rsid w:val="001F7A27"/>
    <w:rsid w:val="00201C4D"/>
    <w:rsid w:val="00202CC5"/>
    <w:rsid w:val="0020461D"/>
    <w:rsid w:val="002056B8"/>
    <w:rsid w:val="002067DA"/>
    <w:rsid w:val="00206B6B"/>
    <w:rsid w:val="00210E6F"/>
    <w:rsid w:val="002116BD"/>
    <w:rsid w:val="00212328"/>
    <w:rsid w:val="0021346E"/>
    <w:rsid w:val="00213C4E"/>
    <w:rsid w:val="00216B40"/>
    <w:rsid w:val="00217FE8"/>
    <w:rsid w:val="00224B20"/>
    <w:rsid w:val="00224BA3"/>
    <w:rsid w:val="00227350"/>
    <w:rsid w:val="00230375"/>
    <w:rsid w:val="002309DB"/>
    <w:rsid w:val="002313AB"/>
    <w:rsid w:val="0023246A"/>
    <w:rsid w:val="00233B90"/>
    <w:rsid w:val="00233EBD"/>
    <w:rsid w:val="00234190"/>
    <w:rsid w:val="002369E6"/>
    <w:rsid w:val="00236EB7"/>
    <w:rsid w:val="00237381"/>
    <w:rsid w:val="00237B40"/>
    <w:rsid w:val="00241B1C"/>
    <w:rsid w:val="0024330E"/>
    <w:rsid w:val="00243967"/>
    <w:rsid w:val="002460DA"/>
    <w:rsid w:val="00246C91"/>
    <w:rsid w:val="0025065E"/>
    <w:rsid w:val="00251A23"/>
    <w:rsid w:val="00252518"/>
    <w:rsid w:val="00254778"/>
    <w:rsid w:val="00255B7F"/>
    <w:rsid w:val="002562E2"/>
    <w:rsid w:val="002567DC"/>
    <w:rsid w:val="00257E91"/>
    <w:rsid w:val="0026077E"/>
    <w:rsid w:val="00262051"/>
    <w:rsid w:val="00262791"/>
    <w:rsid w:val="00262BDA"/>
    <w:rsid w:val="00262D5A"/>
    <w:rsid w:val="00263B24"/>
    <w:rsid w:val="002640D2"/>
    <w:rsid w:val="00264CDC"/>
    <w:rsid w:val="0026555D"/>
    <w:rsid w:val="00265DA1"/>
    <w:rsid w:val="00266873"/>
    <w:rsid w:val="002672E9"/>
    <w:rsid w:val="00267F34"/>
    <w:rsid w:val="002717B5"/>
    <w:rsid w:val="0027366C"/>
    <w:rsid w:val="002741EA"/>
    <w:rsid w:val="0027524F"/>
    <w:rsid w:val="00275314"/>
    <w:rsid w:val="00277909"/>
    <w:rsid w:val="002802A8"/>
    <w:rsid w:val="00282339"/>
    <w:rsid w:val="00282FDF"/>
    <w:rsid w:val="0028329D"/>
    <w:rsid w:val="00283511"/>
    <w:rsid w:val="00284545"/>
    <w:rsid w:val="00284D20"/>
    <w:rsid w:val="00285EF6"/>
    <w:rsid w:val="00287FAC"/>
    <w:rsid w:val="00290CF4"/>
    <w:rsid w:val="00292083"/>
    <w:rsid w:val="00293D71"/>
    <w:rsid w:val="00293F80"/>
    <w:rsid w:val="00294834"/>
    <w:rsid w:val="002A02A1"/>
    <w:rsid w:val="002A0607"/>
    <w:rsid w:val="002A412F"/>
    <w:rsid w:val="002A4CEE"/>
    <w:rsid w:val="002A5A39"/>
    <w:rsid w:val="002A638B"/>
    <w:rsid w:val="002A649C"/>
    <w:rsid w:val="002B059C"/>
    <w:rsid w:val="002B1662"/>
    <w:rsid w:val="002B1AED"/>
    <w:rsid w:val="002B21C8"/>
    <w:rsid w:val="002B51AC"/>
    <w:rsid w:val="002B5BEA"/>
    <w:rsid w:val="002B62C7"/>
    <w:rsid w:val="002B7CA2"/>
    <w:rsid w:val="002C06EC"/>
    <w:rsid w:val="002C0EA5"/>
    <w:rsid w:val="002C2D00"/>
    <w:rsid w:val="002C3018"/>
    <w:rsid w:val="002C413F"/>
    <w:rsid w:val="002C7506"/>
    <w:rsid w:val="002D0415"/>
    <w:rsid w:val="002D075E"/>
    <w:rsid w:val="002D1CA5"/>
    <w:rsid w:val="002D3A9B"/>
    <w:rsid w:val="002D435B"/>
    <w:rsid w:val="002D4998"/>
    <w:rsid w:val="002D685F"/>
    <w:rsid w:val="002D6C1D"/>
    <w:rsid w:val="002E3DB0"/>
    <w:rsid w:val="002E4F4D"/>
    <w:rsid w:val="002E728F"/>
    <w:rsid w:val="002F184B"/>
    <w:rsid w:val="002F310C"/>
    <w:rsid w:val="002F5B5F"/>
    <w:rsid w:val="002F69F9"/>
    <w:rsid w:val="002F709D"/>
    <w:rsid w:val="002F7A9F"/>
    <w:rsid w:val="00300E09"/>
    <w:rsid w:val="00302014"/>
    <w:rsid w:val="003037C6"/>
    <w:rsid w:val="00304751"/>
    <w:rsid w:val="0030616C"/>
    <w:rsid w:val="003066CE"/>
    <w:rsid w:val="00312883"/>
    <w:rsid w:val="003160A6"/>
    <w:rsid w:val="0031708F"/>
    <w:rsid w:val="003172FF"/>
    <w:rsid w:val="0032075E"/>
    <w:rsid w:val="003211EA"/>
    <w:rsid w:val="00322EF7"/>
    <w:rsid w:val="00324A3A"/>
    <w:rsid w:val="003250A8"/>
    <w:rsid w:val="0032597C"/>
    <w:rsid w:val="00327566"/>
    <w:rsid w:val="00327ED9"/>
    <w:rsid w:val="003300D3"/>
    <w:rsid w:val="003313CE"/>
    <w:rsid w:val="003318DB"/>
    <w:rsid w:val="00333A8C"/>
    <w:rsid w:val="0033469C"/>
    <w:rsid w:val="003355A2"/>
    <w:rsid w:val="00335C27"/>
    <w:rsid w:val="0033694A"/>
    <w:rsid w:val="0034067C"/>
    <w:rsid w:val="00341A67"/>
    <w:rsid w:val="00342B03"/>
    <w:rsid w:val="00342CE8"/>
    <w:rsid w:val="00343BD1"/>
    <w:rsid w:val="00344597"/>
    <w:rsid w:val="00344BB0"/>
    <w:rsid w:val="0034683B"/>
    <w:rsid w:val="003469CB"/>
    <w:rsid w:val="0035141B"/>
    <w:rsid w:val="00351BD7"/>
    <w:rsid w:val="00351BDA"/>
    <w:rsid w:val="00352201"/>
    <w:rsid w:val="00352AC8"/>
    <w:rsid w:val="00354FDE"/>
    <w:rsid w:val="00356A94"/>
    <w:rsid w:val="00357182"/>
    <w:rsid w:val="00360AE8"/>
    <w:rsid w:val="0036295F"/>
    <w:rsid w:val="003634C2"/>
    <w:rsid w:val="00363A0B"/>
    <w:rsid w:val="003653EF"/>
    <w:rsid w:val="00365735"/>
    <w:rsid w:val="003664A6"/>
    <w:rsid w:val="00366B5D"/>
    <w:rsid w:val="00370E1E"/>
    <w:rsid w:val="003718B9"/>
    <w:rsid w:val="00372F6C"/>
    <w:rsid w:val="003731EE"/>
    <w:rsid w:val="00375C79"/>
    <w:rsid w:val="00375EF9"/>
    <w:rsid w:val="003777C1"/>
    <w:rsid w:val="003851E7"/>
    <w:rsid w:val="003862B9"/>
    <w:rsid w:val="00386F5F"/>
    <w:rsid w:val="00387F15"/>
    <w:rsid w:val="00390214"/>
    <w:rsid w:val="00391277"/>
    <w:rsid w:val="003937FC"/>
    <w:rsid w:val="00394B57"/>
    <w:rsid w:val="00394F2D"/>
    <w:rsid w:val="00394F41"/>
    <w:rsid w:val="0039703C"/>
    <w:rsid w:val="00397F77"/>
    <w:rsid w:val="003A033E"/>
    <w:rsid w:val="003A0435"/>
    <w:rsid w:val="003A0609"/>
    <w:rsid w:val="003A1A67"/>
    <w:rsid w:val="003A3330"/>
    <w:rsid w:val="003A5682"/>
    <w:rsid w:val="003A5B34"/>
    <w:rsid w:val="003A7CE2"/>
    <w:rsid w:val="003B1D0B"/>
    <w:rsid w:val="003B24C6"/>
    <w:rsid w:val="003B2FDF"/>
    <w:rsid w:val="003B30AB"/>
    <w:rsid w:val="003B47C4"/>
    <w:rsid w:val="003B4AFE"/>
    <w:rsid w:val="003B50DC"/>
    <w:rsid w:val="003B54DB"/>
    <w:rsid w:val="003B72DC"/>
    <w:rsid w:val="003B7631"/>
    <w:rsid w:val="003B7DA3"/>
    <w:rsid w:val="003B7F2C"/>
    <w:rsid w:val="003C0DE6"/>
    <w:rsid w:val="003C407B"/>
    <w:rsid w:val="003C5201"/>
    <w:rsid w:val="003C583D"/>
    <w:rsid w:val="003C788D"/>
    <w:rsid w:val="003D0000"/>
    <w:rsid w:val="003D0365"/>
    <w:rsid w:val="003D09DE"/>
    <w:rsid w:val="003D0B6D"/>
    <w:rsid w:val="003D30DF"/>
    <w:rsid w:val="003D69C9"/>
    <w:rsid w:val="003E0F11"/>
    <w:rsid w:val="003E1B8C"/>
    <w:rsid w:val="003E27A3"/>
    <w:rsid w:val="003E2ED1"/>
    <w:rsid w:val="003E3C30"/>
    <w:rsid w:val="003E3D2B"/>
    <w:rsid w:val="003E7785"/>
    <w:rsid w:val="003F1597"/>
    <w:rsid w:val="003F1A4D"/>
    <w:rsid w:val="003F3D10"/>
    <w:rsid w:val="003F47CB"/>
    <w:rsid w:val="003F640D"/>
    <w:rsid w:val="003F7DA7"/>
    <w:rsid w:val="003F7FBE"/>
    <w:rsid w:val="00400293"/>
    <w:rsid w:val="004007F7"/>
    <w:rsid w:val="0040122C"/>
    <w:rsid w:val="00401F29"/>
    <w:rsid w:val="0040587E"/>
    <w:rsid w:val="004060D0"/>
    <w:rsid w:val="00406BE3"/>
    <w:rsid w:val="00410417"/>
    <w:rsid w:val="004107B5"/>
    <w:rsid w:val="0041094C"/>
    <w:rsid w:val="00410B71"/>
    <w:rsid w:val="00410F21"/>
    <w:rsid w:val="00414198"/>
    <w:rsid w:val="00416DE6"/>
    <w:rsid w:val="0041708A"/>
    <w:rsid w:val="00423C19"/>
    <w:rsid w:val="00423DEF"/>
    <w:rsid w:val="004240DF"/>
    <w:rsid w:val="00424627"/>
    <w:rsid w:val="00424667"/>
    <w:rsid w:val="00425285"/>
    <w:rsid w:val="004265E4"/>
    <w:rsid w:val="0042729F"/>
    <w:rsid w:val="004331A6"/>
    <w:rsid w:val="00433797"/>
    <w:rsid w:val="004342AB"/>
    <w:rsid w:val="00436C70"/>
    <w:rsid w:val="00440597"/>
    <w:rsid w:val="00440AEE"/>
    <w:rsid w:val="00444D1E"/>
    <w:rsid w:val="00447597"/>
    <w:rsid w:val="004501D9"/>
    <w:rsid w:val="00450D1E"/>
    <w:rsid w:val="00450E55"/>
    <w:rsid w:val="004514D3"/>
    <w:rsid w:val="004523A4"/>
    <w:rsid w:val="00454A85"/>
    <w:rsid w:val="00454E82"/>
    <w:rsid w:val="00455902"/>
    <w:rsid w:val="00455A8B"/>
    <w:rsid w:val="00456A5C"/>
    <w:rsid w:val="00463993"/>
    <w:rsid w:val="00466B85"/>
    <w:rsid w:val="00466C16"/>
    <w:rsid w:val="00466D28"/>
    <w:rsid w:val="00470E57"/>
    <w:rsid w:val="00471855"/>
    <w:rsid w:val="004721F4"/>
    <w:rsid w:val="00474681"/>
    <w:rsid w:val="00474BF1"/>
    <w:rsid w:val="00476E34"/>
    <w:rsid w:val="00480139"/>
    <w:rsid w:val="0048013E"/>
    <w:rsid w:val="00480E00"/>
    <w:rsid w:val="004838EF"/>
    <w:rsid w:val="00484718"/>
    <w:rsid w:val="004848BA"/>
    <w:rsid w:val="00487385"/>
    <w:rsid w:val="0048769A"/>
    <w:rsid w:val="00487F32"/>
    <w:rsid w:val="00490644"/>
    <w:rsid w:val="004906E8"/>
    <w:rsid w:val="004909A6"/>
    <w:rsid w:val="004928F3"/>
    <w:rsid w:val="00493B72"/>
    <w:rsid w:val="00493FD4"/>
    <w:rsid w:val="00495461"/>
    <w:rsid w:val="00496131"/>
    <w:rsid w:val="00497B9C"/>
    <w:rsid w:val="004A1568"/>
    <w:rsid w:val="004A1CD2"/>
    <w:rsid w:val="004A40C1"/>
    <w:rsid w:val="004A460F"/>
    <w:rsid w:val="004A6351"/>
    <w:rsid w:val="004A6A4D"/>
    <w:rsid w:val="004A700B"/>
    <w:rsid w:val="004A73F1"/>
    <w:rsid w:val="004A7AEB"/>
    <w:rsid w:val="004B0C97"/>
    <w:rsid w:val="004B149B"/>
    <w:rsid w:val="004B18D0"/>
    <w:rsid w:val="004B1F57"/>
    <w:rsid w:val="004B302B"/>
    <w:rsid w:val="004B34D1"/>
    <w:rsid w:val="004B4991"/>
    <w:rsid w:val="004B75A5"/>
    <w:rsid w:val="004B7725"/>
    <w:rsid w:val="004C01F2"/>
    <w:rsid w:val="004C2220"/>
    <w:rsid w:val="004C4497"/>
    <w:rsid w:val="004C4E22"/>
    <w:rsid w:val="004C7409"/>
    <w:rsid w:val="004D1592"/>
    <w:rsid w:val="004D2259"/>
    <w:rsid w:val="004D32E8"/>
    <w:rsid w:val="004D3811"/>
    <w:rsid w:val="004E070F"/>
    <w:rsid w:val="004E1845"/>
    <w:rsid w:val="004E29A4"/>
    <w:rsid w:val="004E4199"/>
    <w:rsid w:val="004E42E6"/>
    <w:rsid w:val="004E5208"/>
    <w:rsid w:val="004E681C"/>
    <w:rsid w:val="004E6AEA"/>
    <w:rsid w:val="004E6F59"/>
    <w:rsid w:val="004E7E7B"/>
    <w:rsid w:val="004F0E21"/>
    <w:rsid w:val="004F1719"/>
    <w:rsid w:val="004F3297"/>
    <w:rsid w:val="004F34C0"/>
    <w:rsid w:val="004F38D5"/>
    <w:rsid w:val="004F3D28"/>
    <w:rsid w:val="00500AA7"/>
    <w:rsid w:val="00501469"/>
    <w:rsid w:val="00501BF0"/>
    <w:rsid w:val="00502C7C"/>
    <w:rsid w:val="005045B9"/>
    <w:rsid w:val="005049A4"/>
    <w:rsid w:val="00505657"/>
    <w:rsid w:val="005079D2"/>
    <w:rsid w:val="00507D5F"/>
    <w:rsid w:val="0051014D"/>
    <w:rsid w:val="005106C3"/>
    <w:rsid w:val="00510F78"/>
    <w:rsid w:val="00511FD9"/>
    <w:rsid w:val="005132FB"/>
    <w:rsid w:val="00513799"/>
    <w:rsid w:val="00513A4C"/>
    <w:rsid w:val="005155C7"/>
    <w:rsid w:val="005170DC"/>
    <w:rsid w:val="00517F25"/>
    <w:rsid w:val="00520AD9"/>
    <w:rsid w:val="0052190B"/>
    <w:rsid w:val="00522336"/>
    <w:rsid w:val="00522A9A"/>
    <w:rsid w:val="005250CD"/>
    <w:rsid w:val="0052579C"/>
    <w:rsid w:val="0053015B"/>
    <w:rsid w:val="00530E1F"/>
    <w:rsid w:val="00531DCE"/>
    <w:rsid w:val="00532139"/>
    <w:rsid w:val="005330DB"/>
    <w:rsid w:val="00535D9D"/>
    <w:rsid w:val="005372FD"/>
    <w:rsid w:val="00537CA4"/>
    <w:rsid w:val="00540748"/>
    <w:rsid w:val="0054194E"/>
    <w:rsid w:val="00542F64"/>
    <w:rsid w:val="00545AD4"/>
    <w:rsid w:val="005464E6"/>
    <w:rsid w:val="00546B89"/>
    <w:rsid w:val="005502F9"/>
    <w:rsid w:val="005504F1"/>
    <w:rsid w:val="00551171"/>
    <w:rsid w:val="005543F3"/>
    <w:rsid w:val="00555372"/>
    <w:rsid w:val="00555F8B"/>
    <w:rsid w:val="005561FF"/>
    <w:rsid w:val="0055644B"/>
    <w:rsid w:val="00556756"/>
    <w:rsid w:val="00562CEC"/>
    <w:rsid w:val="00562D10"/>
    <w:rsid w:val="005635D8"/>
    <w:rsid w:val="005646FE"/>
    <w:rsid w:val="005652F6"/>
    <w:rsid w:val="00565454"/>
    <w:rsid w:val="00566674"/>
    <w:rsid w:val="00570705"/>
    <w:rsid w:val="00571E55"/>
    <w:rsid w:val="00574309"/>
    <w:rsid w:val="005748EC"/>
    <w:rsid w:val="005760E4"/>
    <w:rsid w:val="005770B2"/>
    <w:rsid w:val="00583510"/>
    <w:rsid w:val="00584FF1"/>
    <w:rsid w:val="0058505D"/>
    <w:rsid w:val="00587035"/>
    <w:rsid w:val="00593A02"/>
    <w:rsid w:val="00595D22"/>
    <w:rsid w:val="00596162"/>
    <w:rsid w:val="00596D09"/>
    <w:rsid w:val="005A18E7"/>
    <w:rsid w:val="005A3246"/>
    <w:rsid w:val="005A4CCD"/>
    <w:rsid w:val="005A7399"/>
    <w:rsid w:val="005A74C5"/>
    <w:rsid w:val="005B1E01"/>
    <w:rsid w:val="005B5070"/>
    <w:rsid w:val="005B5B0D"/>
    <w:rsid w:val="005B73FD"/>
    <w:rsid w:val="005C1616"/>
    <w:rsid w:val="005C4022"/>
    <w:rsid w:val="005C4C34"/>
    <w:rsid w:val="005C4C9E"/>
    <w:rsid w:val="005C5018"/>
    <w:rsid w:val="005C66E9"/>
    <w:rsid w:val="005C6900"/>
    <w:rsid w:val="005C6A06"/>
    <w:rsid w:val="005C76AD"/>
    <w:rsid w:val="005C7A3B"/>
    <w:rsid w:val="005D1719"/>
    <w:rsid w:val="005D3A18"/>
    <w:rsid w:val="005D4214"/>
    <w:rsid w:val="005D497B"/>
    <w:rsid w:val="005D4DB2"/>
    <w:rsid w:val="005E05C4"/>
    <w:rsid w:val="005E188E"/>
    <w:rsid w:val="005E27CE"/>
    <w:rsid w:val="005E63DE"/>
    <w:rsid w:val="005E6C96"/>
    <w:rsid w:val="005F0A20"/>
    <w:rsid w:val="005F3D27"/>
    <w:rsid w:val="005F5991"/>
    <w:rsid w:val="00600092"/>
    <w:rsid w:val="006028C8"/>
    <w:rsid w:val="00602969"/>
    <w:rsid w:val="0060726F"/>
    <w:rsid w:val="006075F6"/>
    <w:rsid w:val="006123FD"/>
    <w:rsid w:val="00612B3C"/>
    <w:rsid w:val="00612EF2"/>
    <w:rsid w:val="00613770"/>
    <w:rsid w:val="00613CA6"/>
    <w:rsid w:val="006148A1"/>
    <w:rsid w:val="00615C24"/>
    <w:rsid w:val="006167DF"/>
    <w:rsid w:val="00617108"/>
    <w:rsid w:val="00617A9E"/>
    <w:rsid w:val="006209F5"/>
    <w:rsid w:val="006238D3"/>
    <w:rsid w:val="00623DD8"/>
    <w:rsid w:val="00624576"/>
    <w:rsid w:val="00625391"/>
    <w:rsid w:val="00627B69"/>
    <w:rsid w:val="00627F3E"/>
    <w:rsid w:val="006315B8"/>
    <w:rsid w:val="00631CA7"/>
    <w:rsid w:val="00632DB7"/>
    <w:rsid w:val="006337C5"/>
    <w:rsid w:val="006357A0"/>
    <w:rsid w:val="0063595B"/>
    <w:rsid w:val="0063598E"/>
    <w:rsid w:val="00636B9C"/>
    <w:rsid w:val="00637713"/>
    <w:rsid w:val="00637D79"/>
    <w:rsid w:val="00640D7A"/>
    <w:rsid w:val="006435BF"/>
    <w:rsid w:val="00643DB9"/>
    <w:rsid w:val="00644076"/>
    <w:rsid w:val="00644FCE"/>
    <w:rsid w:val="00646F4D"/>
    <w:rsid w:val="00647BC8"/>
    <w:rsid w:val="00650171"/>
    <w:rsid w:val="00650C75"/>
    <w:rsid w:val="00653D64"/>
    <w:rsid w:val="00654A81"/>
    <w:rsid w:val="00656846"/>
    <w:rsid w:val="00657EC1"/>
    <w:rsid w:val="00660F9E"/>
    <w:rsid w:val="00661B19"/>
    <w:rsid w:val="00662EEB"/>
    <w:rsid w:val="006637A4"/>
    <w:rsid w:val="00664C92"/>
    <w:rsid w:val="00664E34"/>
    <w:rsid w:val="006656B3"/>
    <w:rsid w:val="00667038"/>
    <w:rsid w:val="00670167"/>
    <w:rsid w:val="00671551"/>
    <w:rsid w:val="006716B5"/>
    <w:rsid w:val="00671BCE"/>
    <w:rsid w:val="00671FA8"/>
    <w:rsid w:val="0067235E"/>
    <w:rsid w:val="00674934"/>
    <w:rsid w:val="00677D1A"/>
    <w:rsid w:val="00680331"/>
    <w:rsid w:val="00680A1D"/>
    <w:rsid w:val="00680AB7"/>
    <w:rsid w:val="0068124A"/>
    <w:rsid w:val="0068161E"/>
    <w:rsid w:val="006821C7"/>
    <w:rsid w:val="00682732"/>
    <w:rsid w:val="006829ED"/>
    <w:rsid w:val="0068354A"/>
    <w:rsid w:val="00684B57"/>
    <w:rsid w:val="00684BB6"/>
    <w:rsid w:val="00685E5B"/>
    <w:rsid w:val="0068720A"/>
    <w:rsid w:val="00687312"/>
    <w:rsid w:val="006879B5"/>
    <w:rsid w:val="00692C66"/>
    <w:rsid w:val="006933DE"/>
    <w:rsid w:val="006934C8"/>
    <w:rsid w:val="00694157"/>
    <w:rsid w:val="00694453"/>
    <w:rsid w:val="00694DF8"/>
    <w:rsid w:val="00696EF7"/>
    <w:rsid w:val="00697EF2"/>
    <w:rsid w:val="006A3494"/>
    <w:rsid w:val="006A44B6"/>
    <w:rsid w:val="006A4521"/>
    <w:rsid w:val="006A61C9"/>
    <w:rsid w:val="006A6C33"/>
    <w:rsid w:val="006A7EBE"/>
    <w:rsid w:val="006B02F3"/>
    <w:rsid w:val="006B2E88"/>
    <w:rsid w:val="006B30CF"/>
    <w:rsid w:val="006B3172"/>
    <w:rsid w:val="006B4154"/>
    <w:rsid w:val="006B4BD2"/>
    <w:rsid w:val="006B5A63"/>
    <w:rsid w:val="006B7E1B"/>
    <w:rsid w:val="006C0E98"/>
    <w:rsid w:val="006C1E6F"/>
    <w:rsid w:val="006C463A"/>
    <w:rsid w:val="006C68CE"/>
    <w:rsid w:val="006D05E6"/>
    <w:rsid w:val="006D1E9F"/>
    <w:rsid w:val="006D3BD1"/>
    <w:rsid w:val="006D4DC2"/>
    <w:rsid w:val="006D5756"/>
    <w:rsid w:val="006D65A3"/>
    <w:rsid w:val="006E2F7B"/>
    <w:rsid w:val="006E42A9"/>
    <w:rsid w:val="006E4D23"/>
    <w:rsid w:val="006E5512"/>
    <w:rsid w:val="006E5808"/>
    <w:rsid w:val="006E7CE2"/>
    <w:rsid w:val="006F0306"/>
    <w:rsid w:val="006F0938"/>
    <w:rsid w:val="006F0E94"/>
    <w:rsid w:val="006F15AD"/>
    <w:rsid w:val="006F4813"/>
    <w:rsid w:val="006F4F5A"/>
    <w:rsid w:val="00701D87"/>
    <w:rsid w:val="00702107"/>
    <w:rsid w:val="00704CB4"/>
    <w:rsid w:val="00704D35"/>
    <w:rsid w:val="0070675E"/>
    <w:rsid w:val="00707B42"/>
    <w:rsid w:val="007110E2"/>
    <w:rsid w:val="007125C8"/>
    <w:rsid w:val="00713D8C"/>
    <w:rsid w:val="00714502"/>
    <w:rsid w:val="00714888"/>
    <w:rsid w:val="00714B7B"/>
    <w:rsid w:val="00721344"/>
    <w:rsid w:val="00721644"/>
    <w:rsid w:val="0072321E"/>
    <w:rsid w:val="007242DA"/>
    <w:rsid w:val="007248AE"/>
    <w:rsid w:val="00726A03"/>
    <w:rsid w:val="00727A87"/>
    <w:rsid w:val="00730206"/>
    <w:rsid w:val="00731B5E"/>
    <w:rsid w:val="00731DEB"/>
    <w:rsid w:val="00734123"/>
    <w:rsid w:val="00735C20"/>
    <w:rsid w:val="00735C29"/>
    <w:rsid w:val="00735ED6"/>
    <w:rsid w:val="007379CB"/>
    <w:rsid w:val="007402EC"/>
    <w:rsid w:val="007403D3"/>
    <w:rsid w:val="007456EC"/>
    <w:rsid w:val="007457FA"/>
    <w:rsid w:val="00745EDC"/>
    <w:rsid w:val="0074684E"/>
    <w:rsid w:val="007516AC"/>
    <w:rsid w:val="00752BCA"/>
    <w:rsid w:val="00753092"/>
    <w:rsid w:val="00753F14"/>
    <w:rsid w:val="00756B20"/>
    <w:rsid w:val="00757B51"/>
    <w:rsid w:val="007604D8"/>
    <w:rsid w:val="00760554"/>
    <w:rsid w:val="00760882"/>
    <w:rsid w:val="00760A1D"/>
    <w:rsid w:val="00763227"/>
    <w:rsid w:val="007635AD"/>
    <w:rsid w:val="00764ADC"/>
    <w:rsid w:val="007665F6"/>
    <w:rsid w:val="007669D5"/>
    <w:rsid w:val="00766C4E"/>
    <w:rsid w:val="00767244"/>
    <w:rsid w:val="007679F3"/>
    <w:rsid w:val="00767A43"/>
    <w:rsid w:val="007700D8"/>
    <w:rsid w:val="007706E6"/>
    <w:rsid w:val="00773D11"/>
    <w:rsid w:val="0077568B"/>
    <w:rsid w:val="00775CA4"/>
    <w:rsid w:val="007772FD"/>
    <w:rsid w:val="00777363"/>
    <w:rsid w:val="0077740C"/>
    <w:rsid w:val="00777687"/>
    <w:rsid w:val="007813D4"/>
    <w:rsid w:val="00782300"/>
    <w:rsid w:val="00785ABC"/>
    <w:rsid w:val="00785ECB"/>
    <w:rsid w:val="007874A7"/>
    <w:rsid w:val="0079088E"/>
    <w:rsid w:val="00790ADB"/>
    <w:rsid w:val="00790F66"/>
    <w:rsid w:val="00792CEE"/>
    <w:rsid w:val="0079302B"/>
    <w:rsid w:val="007930C7"/>
    <w:rsid w:val="00793214"/>
    <w:rsid w:val="00794A36"/>
    <w:rsid w:val="007A05D2"/>
    <w:rsid w:val="007A0755"/>
    <w:rsid w:val="007A104A"/>
    <w:rsid w:val="007A20F8"/>
    <w:rsid w:val="007A3AAE"/>
    <w:rsid w:val="007A505D"/>
    <w:rsid w:val="007B1647"/>
    <w:rsid w:val="007B32E1"/>
    <w:rsid w:val="007B3E3C"/>
    <w:rsid w:val="007B446A"/>
    <w:rsid w:val="007B5AB3"/>
    <w:rsid w:val="007B646B"/>
    <w:rsid w:val="007B7696"/>
    <w:rsid w:val="007C00E4"/>
    <w:rsid w:val="007C2152"/>
    <w:rsid w:val="007C3045"/>
    <w:rsid w:val="007C39D5"/>
    <w:rsid w:val="007C4A23"/>
    <w:rsid w:val="007C6495"/>
    <w:rsid w:val="007D0D32"/>
    <w:rsid w:val="007D1E6C"/>
    <w:rsid w:val="007D2EC1"/>
    <w:rsid w:val="007D377A"/>
    <w:rsid w:val="007D43CB"/>
    <w:rsid w:val="007D4550"/>
    <w:rsid w:val="007D4EAB"/>
    <w:rsid w:val="007D5621"/>
    <w:rsid w:val="007E0BEC"/>
    <w:rsid w:val="007E34AE"/>
    <w:rsid w:val="007E426B"/>
    <w:rsid w:val="007E5698"/>
    <w:rsid w:val="007E6D52"/>
    <w:rsid w:val="007E7DC7"/>
    <w:rsid w:val="007F059C"/>
    <w:rsid w:val="007F1325"/>
    <w:rsid w:val="007F15C0"/>
    <w:rsid w:val="007F1883"/>
    <w:rsid w:val="007F265E"/>
    <w:rsid w:val="007F4EBA"/>
    <w:rsid w:val="007F55F4"/>
    <w:rsid w:val="007F5BCF"/>
    <w:rsid w:val="007F6260"/>
    <w:rsid w:val="007F6626"/>
    <w:rsid w:val="007F6896"/>
    <w:rsid w:val="007F7F69"/>
    <w:rsid w:val="008043E3"/>
    <w:rsid w:val="008100F5"/>
    <w:rsid w:val="00810A50"/>
    <w:rsid w:val="008140F2"/>
    <w:rsid w:val="00815C9E"/>
    <w:rsid w:val="00816A64"/>
    <w:rsid w:val="00820E68"/>
    <w:rsid w:val="00823BA0"/>
    <w:rsid w:val="00825803"/>
    <w:rsid w:val="0082717C"/>
    <w:rsid w:val="008308AE"/>
    <w:rsid w:val="00830FE1"/>
    <w:rsid w:val="008339DB"/>
    <w:rsid w:val="00834814"/>
    <w:rsid w:val="00837C6A"/>
    <w:rsid w:val="0084104D"/>
    <w:rsid w:val="00844795"/>
    <w:rsid w:val="0084508D"/>
    <w:rsid w:val="00845BED"/>
    <w:rsid w:val="00845D7A"/>
    <w:rsid w:val="00845E58"/>
    <w:rsid w:val="00851B50"/>
    <w:rsid w:val="00851F9A"/>
    <w:rsid w:val="008540FF"/>
    <w:rsid w:val="00854D88"/>
    <w:rsid w:val="00860BC9"/>
    <w:rsid w:val="00862A68"/>
    <w:rsid w:val="00863B87"/>
    <w:rsid w:val="0086536C"/>
    <w:rsid w:val="00865E3A"/>
    <w:rsid w:val="00866789"/>
    <w:rsid w:val="00867A06"/>
    <w:rsid w:val="00871E27"/>
    <w:rsid w:val="00873F40"/>
    <w:rsid w:val="00874911"/>
    <w:rsid w:val="00875E2A"/>
    <w:rsid w:val="00876242"/>
    <w:rsid w:val="00876410"/>
    <w:rsid w:val="00876E2F"/>
    <w:rsid w:val="0087701D"/>
    <w:rsid w:val="008773B4"/>
    <w:rsid w:val="00880617"/>
    <w:rsid w:val="008811E0"/>
    <w:rsid w:val="00882F27"/>
    <w:rsid w:val="0088324A"/>
    <w:rsid w:val="00883973"/>
    <w:rsid w:val="00885802"/>
    <w:rsid w:val="00886D45"/>
    <w:rsid w:val="0089081A"/>
    <w:rsid w:val="00892BC3"/>
    <w:rsid w:val="00893464"/>
    <w:rsid w:val="00893AE7"/>
    <w:rsid w:val="00894AB1"/>
    <w:rsid w:val="00897333"/>
    <w:rsid w:val="008A124C"/>
    <w:rsid w:val="008A222B"/>
    <w:rsid w:val="008A35AB"/>
    <w:rsid w:val="008A3D85"/>
    <w:rsid w:val="008A446C"/>
    <w:rsid w:val="008A4584"/>
    <w:rsid w:val="008A485A"/>
    <w:rsid w:val="008A4947"/>
    <w:rsid w:val="008A59BD"/>
    <w:rsid w:val="008A5E21"/>
    <w:rsid w:val="008A68CF"/>
    <w:rsid w:val="008B048C"/>
    <w:rsid w:val="008B10B1"/>
    <w:rsid w:val="008B3323"/>
    <w:rsid w:val="008B368A"/>
    <w:rsid w:val="008B670E"/>
    <w:rsid w:val="008B721F"/>
    <w:rsid w:val="008B766D"/>
    <w:rsid w:val="008B77C6"/>
    <w:rsid w:val="008C0286"/>
    <w:rsid w:val="008C05AC"/>
    <w:rsid w:val="008C1083"/>
    <w:rsid w:val="008C1ACC"/>
    <w:rsid w:val="008C44B2"/>
    <w:rsid w:val="008C53D2"/>
    <w:rsid w:val="008C705C"/>
    <w:rsid w:val="008C7B36"/>
    <w:rsid w:val="008D089A"/>
    <w:rsid w:val="008D1088"/>
    <w:rsid w:val="008D10FD"/>
    <w:rsid w:val="008D165B"/>
    <w:rsid w:val="008D2901"/>
    <w:rsid w:val="008D69C8"/>
    <w:rsid w:val="008E53CF"/>
    <w:rsid w:val="008E6B0D"/>
    <w:rsid w:val="008F1926"/>
    <w:rsid w:val="008F5CC2"/>
    <w:rsid w:val="008F6B2A"/>
    <w:rsid w:val="009007BA"/>
    <w:rsid w:val="00900D19"/>
    <w:rsid w:val="009012B8"/>
    <w:rsid w:val="00905534"/>
    <w:rsid w:val="00905D3A"/>
    <w:rsid w:val="00905DD5"/>
    <w:rsid w:val="00906165"/>
    <w:rsid w:val="00907173"/>
    <w:rsid w:val="0091096B"/>
    <w:rsid w:val="00910C6F"/>
    <w:rsid w:val="00911539"/>
    <w:rsid w:val="00911CA9"/>
    <w:rsid w:val="009132EC"/>
    <w:rsid w:val="009142C1"/>
    <w:rsid w:val="00914C1B"/>
    <w:rsid w:val="00915113"/>
    <w:rsid w:val="009154A5"/>
    <w:rsid w:val="0091635B"/>
    <w:rsid w:val="00921464"/>
    <w:rsid w:val="00922C8A"/>
    <w:rsid w:val="00926820"/>
    <w:rsid w:val="00930282"/>
    <w:rsid w:val="00932CCD"/>
    <w:rsid w:val="009336FA"/>
    <w:rsid w:val="00936475"/>
    <w:rsid w:val="00937476"/>
    <w:rsid w:val="00937CC5"/>
    <w:rsid w:val="0094001C"/>
    <w:rsid w:val="00945B1A"/>
    <w:rsid w:val="009460C4"/>
    <w:rsid w:val="00946924"/>
    <w:rsid w:val="00950ADC"/>
    <w:rsid w:val="00951A2F"/>
    <w:rsid w:val="0095280C"/>
    <w:rsid w:val="00952DA4"/>
    <w:rsid w:val="009532F4"/>
    <w:rsid w:val="00955A7C"/>
    <w:rsid w:val="0095665B"/>
    <w:rsid w:val="0095745F"/>
    <w:rsid w:val="00957D8F"/>
    <w:rsid w:val="00961793"/>
    <w:rsid w:val="0096185E"/>
    <w:rsid w:val="00963245"/>
    <w:rsid w:val="009636BF"/>
    <w:rsid w:val="009638BF"/>
    <w:rsid w:val="009663A6"/>
    <w:rsid w:val="00972DED"/>
    <w:rsid w:val="00975715"/>
    <w:rsid w:val="0097626B"/>
    <w:rsid w:val="00976829"/>
    <w:rsid w:val="009769AD"/>
    <w:rsid w:val="00980643"/>
    <w:rsid w:val="009819F2"/>
    <w:rsid w:val="00983433"/>
    <w:rsid w:val="00985126"/>
    <w:rsid w:val="00985AA8"/>
    <w:rsid w:val="00986028"/>
    <w:rsid w:val="00991EB6"/>
    <w:rsid w:val="00993067"/>
    <w:rsid w:val="00994C1F"/>
    <w:rsid w:val="00995799"/>
    <w:rsid w:val="009962E3"/>
    <w:rsid w:val="00997F23"/>
    <w:rsid w:val="009A0336"/>
    <w:rsid w:val="009A119C"/>
    <w:rsid w:val="009A43A4"/>
    <w:rsid w:val="009A507C"/>
    <w:rsid w:val="009A6391"/>
    <w:rsid w:val="009B0BD4"/>
    <w:rsid w:val="009B0F5F"/>
    <w:rsid w:val="009B43C3"/>
    <w:rsid w:val="009B5428"/>
    <w:rsid w:val="009C29F8"/>
    <w:rsid w:val="009C46C7"/>
    <w:rsid w:val="009D0456"/>
    <w:rsid w:val="009D0AE4"/>
    <w:rsid w:val="009D16BC"/>
    <w:rsid w:val="009D296A"/>
    <w:rsid w:val="009D36FC"/>
    <w:rsid w:val="009D4C0F"/>
    <w:rsid w:val="009D5641"/>
    <w:rsid w:val="009D5E4B"/>
    <w:rsid w:val="009D7447"/>
    <w:rsid w:val="009D7DF5"/>
    <w:rsid w:val="009E06AE"/>
    <w:rsid w:val="009E1772"/>
    <w:rsid w:val="009E2430"/>
    <w:rsid w:val="009E3008"/>
    <w:rsid w:val="009E3EB8"/>
    <w:rsid w:val="009E5381"/>
    <w:rsid w:val="009E6B97"/>
    <w:rsid w:val="009E791D"/>
    <w:rsid w:val="009F0A11"/>
    <w:rsid w:val="009F4FD1"/>
    <w:rsid w:val="00A01EEE"/>
    <w:rsid w:val="00A01F3C"/>
    <w:rsid w:val="00A05A71"/>
    <w:rsid w:val="00A06E97"/>
    <w:rsid w:val="00A07A13"/>
    <w:rsid w:val="00A07FC5"/>
    <w:rsid w:val="00A11DC8"/>
    <w:rsid w:val="00A11F7E"/>
    <w:rsid w:val="00A12AF7"/>
    <w:rsid w:val="00A13F15"/>
    <w:rsid w:val="00A1485F"/>
    <w:rsid w:val="00A1517D"/>
    <w:rsid w:val="00A15614"/>
    <w:rsid w:val="00A15E58"/>
    <w:rsid w:val="00A16C24"/>
    <w:rsid w:val="00A16CDC"/>
    <w:rsid w:val="00A17AB5"/>
    <w:rsid w:val="00A20893"/>
    <w:rsid w:val="00A2357D"/>
    <w:rsid w:val="00A243B0"/>
    <w:rsid w:val="00A25508"/>
    <w:rsid w:val="00A256AF"/>
    <w:rsid w:val="00A25D7E"/>
    <w:rsid w:val="00A25E10"/>
    <w:rsid w:val="00A27E15"/>
    <w:rsid w:val="00A31204"/>
    <w:rsid w:val="00A35018"/>
    <w:rsid w:val="00A3544C"/>
    <w:rsid w:val="00A369DE"/>
    <w:rsid w:val="00A36E75"/>
    <w:rsid w:val="00A42533"/>
    <w:rsid w:val="00A42AFF"/>
    <w:rsid w:val="00A42FA1"/>
    <w:rsid w:val="00A4608F"/>
    <w:rsid w:val="00A46724"/>
    <w:rsid w:val="00A514AA"/>
    <w:rsid w:val="00A56482"/>
    <w:rsid w:val="00A5654C"/>
    <w:rsid w:val="00A56721"/>
    <w:rsid w:val="00A57B02"/>
    <w:rsid w:val="00A6000D"/>
    <w:rsid w:val="00A60CFC"/>
    <w:rsid w:val="00A6103E"/>
    <w:rsid w:val="00A616A2"/>
    <w:rsid w:val="00A62766"/>
    <w:rsid w:val="00A66575"/>
    <w:rsid w:val="00A702AE"/>
    <w:rsid w:val="00A70DF5"/>
    <w:rsid w:val="00A72496"/>
    <w:rsid w:val="00A73A62"/>
    <w:rsid w:val="00A73C94"/>
    <w:rsid w:val="00A74B4B"/>
    <w:rsid w:val="00A75035"/>
    <w:rsid w:val="00A756F2"/>
    <w:rsid w:val="00A75E2F"/>
    <w:rsid w:val="00A77A63"/>
    <w:rsid w:val="00A80027"/>
    <w:rsid w:val="00A8087B"/>
    <w:rsid w:val="00A80BEF"/>
    <w:rsid w:val="00A80D16"/>
    <w:rsid w:val="00A80F85"/>
    <w:rsid w:val="00A82182"/>
    <w:rsid w:val="00A837CF"/>
    <w:rsid w:val="00A83861"/>
    <w:rsid w:val="00A83E51"/>
    <w:rsid w:val="00A8474B"/>
    <w:rsid w:val="00A847E0"/>
    <w:rsid w:val="00A84ECA"/>
    <w:rsid w:val="00A8506F"/>
    <w:rsid w:val="00A863A7"/>
    <w:rsid w:val="00A90135"/>
    <w:rsid w:val="00A90B6E"/>
    <w:rsid w:val="00A914CD"/>
    <w:rsid w:val="00A940DF"/>
    <w:rsid w:val="00AA0B21"/>
    <w:rsid w:val="00AA24C3"/>
    <w:rsid w:val="00AA2D90"/>
    <w:rsid w:val="00AA4B20"/>
    <w:rsid w:val="00AA4D13"/>
    <w:rsid w:val="00AA7111"/>
    <w:rsid w:val="00AB0295"/>
    <w:rsid w:val="00AB1759"/>
    <w:rsid w:val="00AB2761"/>
    <w:rsid w:val="00AB3957"/>
    <w:rsid w:val="00AB4199"/>
    <w:rsid w:val="00AB4FF5"/>
    <w:rsid w:val="00AB6FDE"/>
    <w:rsid w:val="00AC1509"/>
    <w:rsid w:val="00AC1935"/>
    <w:rsid w:val="00AC28A7"/>
    <w:rsid w:val="00AC7EC0"/>
    <w:rsid w:val="00AD12CB"/>
    <w:rsid w:val="00AD1729"/>
    <w:rsid w:val="00AD2948"/>
    <w:rsid w:val="00AD3572"/>
    <w:rsid w:val="00AD3629"/>
    <w:rsid w:val="00AD3C36"/>
    <w:rsid w:val="00AD3D1C"/>
    <w:rsid w:val="00AD45E2"/>
    <w:rsid w:val="00AD4C42"/>
    <w:rsid w:val="00AD5EB2"/>
    <w:rsid w:val="00AD7A1A"/>
    <w:rsid w:val="00AD7B2D"/>
    <w:rsid w:val="00AE0EA1"/>
    <w:rsid w:val="00AE4793"/>
    <w:rsid w:val="00AE5E82"/>
    <w:rsid w:val="00AF0A95"/>
    <w:rsid w:val="00AF1677"/>
    <w:rsid w:val="00AF222C"/>
    <w:rsid w:val="00AF70AC"/>
    <w:rsid w:val="00B001E9"/>
    <w:rsid w:val="00B032EA"/>
    <w:rsid w:val="00B03F50"/>
    <w:rsid w:val="00B0446B"/>
    <w:rsid w:val="00B05DC3"/>
    <w:rsid w:val="00B10A0E"/>
    <w:rsid w:val="00B136AC"/>
    <w:rsid w:val="00B17006"/>
    <w:rsid w:val="00B1725B"/>
    <w:rsid w:val="00B17352"/>
    <w:rsid w:val="00B20258"/>
    <w:rsid w:val="00B20E61"/>
    <w:rsid w:val="00B21018"/>
    <w:rsid w:val="00B2115F"/>
    <w:rsid w:val="00B212CF"/>
    <w:rsid w:val="00B23743"/>
    <w:rsid w:val="00B2468E"/>
    <w:rsid w:val="00B25B56"/>
    <w:rsid w:val="00B25D3E"/>
    <w:rsid w:val="00B264DC"/>
    <w:rsid w:val="00B31392"/>
    <w:rsid w:val="00B329DA"/>
    <w:rsid w:val="00B32FB6"/>
    <w:rsid w:val="00B341DA"/>
    <w:rsid w:val="00B348F0"/>
    <w:rsid w:val="00B35140"/>
    <w:rsid w:val="00B352D1"/>
    <w:rsid w:val="00B367A7"/>
    <w:rsid w:val="00B36C68"/>
    <w:rsid w:val="00B415BD"/>
    <w:rsid w:val="00B41922"/>
    <w:rsid w:val="00B42F4D"/>
    <w:rsid w:val="00B434E1"/>
    <w:rsid w:val="00B460A6"/>
    <w:rsid w:val="00B50DC2"/>
    <w:rsid w:val="00B50EBB"/>
    <w:rsid w:val="00B51493"/>
    <w:rsid w:val="00B516D1"/>
    <w:rsid w:val="00B53F35"/>
    <w:rsid w:val="00B56BAA"/>
    <w:rsid w:val="00B56C18"/>
    <w:rsid w:val="00B617D2"/>
    <w:rsid w:val="00B63474"/>
    <w:rsid w:val="00B635FB"/>
    <w:rsid w:val="00B67107"/>
    <w:rsid w:val="00B67502"/>
    <w:rsid w:val="00B678DF"/>
    <w:rsid w:val="00B67DF6"/>
    <w:rsid w:val="00B70B5B"/>
    <w:rsid w:val="00B71557"/>
    <w:rsid w:val="00B73619"/>
    <w:rsid w:val="00B75556"/>
    <w:rsid w:val="00B77255"/>
    <w:rsid w:val="00B80329"/>
    <w:rsid w:val="00B82589"/>
    <w:rsid w:val="00B84708"/>
    <w:rsid w:val="00B8501F"/>
    <w:rsid w:val="00B8564E"/>
    <w:rsid w:val="00B86575"/>
    <w:rsid w:val="00B919E9"/>
    <w:rsid w:val="00B91F4F"/>
    <w:rsid w:val="00B933EE"/>
    <w:rsid w:val="00B94565"/>
    <w:rsid w:val="00B957E0"/>
    <w:rsid w:val="00B95DD0"/>
    <w:rsid w:val="00B96565"/>
    <w:rsid w:val="00B96B4E"/>
    <w:rsid w:val="00B96FED"/>
    <w:rsid w:val="00B9765E"/>
    <w:rsid w:val="00BA055D"/>
    <w:rsid w:val="00BA11F5"/>
    <w:rsid w:val="00BA49F2"/>
    <w:rsid w:val="00BA4BCF"/>
    <w:rsid w:val="00BA4FEA"/>
    <w:rsid w:val="00BA633A"/>
    <w:rsid w:val="00BA72BA"/>
    <w:rsid w:val="00BB2054"/>
    <w:rsid w:val="00BB3921"/>
    <w:rsid w:val="00BB3D83"/>
    <w:rsid w:val="00BB4BF4"/>
    <w:rsid w:val="00BB699D"/>
    <w:rsid w:val="00BB7BC7"/>
    <w:rsid w:val="00BC07E2"/>
    <w:rsid w:val="00BC0AF9"/>
    <w:rsid w:val="00BC1C23"/>
    <w:rsid w:val="00BC1EE2"/>
    <w:rsid w:val="00BC20D0"/>
    <w:rsid w:val="00BC30CD"/>
    <w:rsid w:val="00BC450F"/>
    <w:rsid w:val="00BC54A7"/>
    <w:rsid w:val="00BC5B5C"/>
    <w:rsid w:val="00BC68FD"/>
    <w:rsid w:val="00BC737E"/>
    <w:rsid w:val="00BC7732"/>
    <w:rsid w:val="00BD060E"/>
    <w:rsid w:val="00BD19AF"/>
    <w:rsid w:val="00BD3DAF"/>
    <w:rsid w:val="00BD500A"/>
    <w:rsid w:val="00BD5715"/>
    <w:rsid w:val="00BD58B8"/>
    <w:rsid w:val="00BD58D4"/>
    <w:rsid w:val="00BD598E"/>
    <w:rsid w:val="00BD5C74"/>
    <w:rsid w:val="00BD61A7"/>
    <w:rsid w:val="00BD763C"/>
    <w:rsid w:val="00BD7C00"/>
    <w:rsid w:val="00BE097D"/>
    <w:rsid w:val="00BE125C"/>
    <w:rsid w:val="00BE5C70"/>
    <w:rsid w:val="00BE7245"/>
    <w:rsid w:val="00BF0356"/>
    <w:rsid w:val="00BF0FC9"/>
    <w:rsid w:val="00BF2555"/>
    <w:rsid w:val="00BF509F"/>
    <w:rsid w:val="00BF5BB6"/>
    <w:rsid w:val="00BF6183"/>
    <w:rsid w:val="00BF7AAD"/>
    <w:rsid w:val="00BF7BB2"/>
    <w:rsid w:val="00C02D22"/>
    <w:rsid w:val="00C03187"/>
    <w:rsid w:val="00C03634"/>
    <w:rsid w:val="00C03C9B"/>
    <w:rsid w:val="00C06B31"/>
    <w:rsid w:val="00C0764F"/>
    <w:rsid w:val="00C0778D"/>
    <w:rsid w:val="00C10A8C"/>
    <w:rsid w:val="00C1105D"/>
    <w:rsid w:val="00C11577"/>
    <w:rsid w:val="00C11AED"/>
    <w:rsid w:val="00C11C51"/>
    <w:rsid w:val="00C13780"/>
    <w:rsid w:val="00C13E8A"/>
    <w:rsid w:val="00C13FAB"/>
    <w:rsid w:val="00C15050"/>
    <w:rsid w:val="00C15415"/>
    <w:rsid w:val="00C160F7"/>
    <w:rsid w:val="00C20094"/>
    <w:rsid w:val="00C20F12"/>
    <w:rsid w:val="00C22F72"/>
    <w:rsid w:val="00C24B30"/>
    <w:rsid w:val="00C25477"/>
    <w:rsid w:val="00C259F4"/>
    <w:rsid w:val="00C27F9A"/>
    <w:rsid w:val="00C33096"/>
    <w:rsid w:val="00C33EA3"/>
    <w:rsid w:val="00C350BA"/>
    <w:rsid w:val="00C35840"/>
    <w:rsid w:val="00C36914"/>
    <w:rsid w:val="00C37290"/>
    <w:rsid w:val="00C40990"/>
    <w:rsid w:val="00C41666"/>
    <w:rsid w:val="00C41753"/>
    <w:rsid w:val="00C4256C"/>
    <w:rsid w:val="00C431F7"/>
    <w:rsid w:val="00C43284"/>
    <w:rsid w:val="00C439FD"/>
    <w:rsid w:val="00C453FA"/>
    <w:rsid w:val="00C462E4"/>
    <w:rsid w:val="00C465D1"/>
    <w:rsid w:val="00C47CAF"/>
    <w:rsid w:val="00C500B2"/>
    <w:rsid w:val="00C51BC7"/>
    <w:rsid w:val="00C54B98"/>
    <w:rsid w:val="00C57BEF"/>
    <w:rsid w:val="00C612F5"/>
    <w:rsid w:val="00C64335"/>
    <w:rsid w:val="00C65940"/>
    <w:rsid w:val="00C663C0"/>
    <w:rsid w:val="00C66776"/>
    <w:rsid w:val="00C6721C"/>
    <w:rsid w:val="00C7017A"/>
    <w:rsid w:val="00C70644"/>
    <w:rsid w:val="00C706AD"/>
    <w:rsid w:val="00C7178B"/>
    <w:rsid w:val="00C74706"/>
    <w:rsid w:val="00C753BB"/>
    <w:rsid w:val="00C75B6D"/>
    <w:rsid w:val="00C76F82"/>
    <w:rsid w:val="00C7755C"/>
    <w:rsid w:val="00C813CA"/>
    <w:rsid w:val="00C83E2C"/>
    <w:rsid w:val="00C8552E"/>
    <w:rsid w:val="00C8553D"/>
    <w:rsid w:val="00C8785C"/>
    <w:rsid w:val="00C90250"/>
    <w:rsid w:val="00C9172C"/>
    <w:rsid w:val="00C91EA6"/>
    <w:rsid w:val="00C93CA9"/>
    <w:rsid w:val="00C942DE"/>
    <w:rsid w:val="00C94971"/>
    <w:rsid w:val="00C95E7E"/>
    <w:rsid w:val="00CA2716"/>
    <w:rsid w:val="00CA3733"/>
    <w:rsid w:val="00CA48C9"/>
    <w:rsid w:val="00CA50C4"/>
    <w:rsid w:val="00CA6090"/>
    <w:rsid w:val="00CA64B2"/>
    <w:rsid w:val="00CA6503"/>
    <w:rsid w:val="00CB0D2C"/>
    <w:rsid w:val="00CB1031"/>
    <w:rsid w:val="00CB4989"/>
    <w:rsid w:val="00CB4A32"/>
    <w:rsid w:val="00CB56A8"/>
    <w:rsid w:val="00CB57CD"/>
    <w:rsid w:val="00CB5A1D"/>
    <w:rsid w:val="00CB5D74"/>
    <w:rsid w:val="00CB5E4B"/>
    <w:rsid w:val="00CB617D"/>
    <w:rsid w:val="00CB6D96"/>
    <w:rsid w:val="00CB77C1"/>
    <w:rsid w:val="00CB793D"/>
    <w:rsid w:val="00CC459F"/>
    <w:rsid w:val="00CC51B3"/>
    <w:rsid w:val="00CC5836"/>
    <w:rsid w:val="00CC691A"/>
    <w:rsid w:val="00CD1F0C"/>
    <w:rsid w:val="00CD3A42"/>
    <w:rsid w:val="00CD4040"/>
    <w:rsid w:val="00CD4777"/>
    <w:rsid w:val="00CD5610"/>
    <w:rsid w:val="00CD5B7A"/>
    <w:rsid w:val="00CE0EC0"/>
    <w:rsid w:val="00CE27B3"/>
    <w:rsid w:val="00CE2984"/>
    <w:rsid w:val="00CE70EC"/>
    <w:rsid w:val="00CF10E1"/>
    <w:rsid w:val="00CF1D23"/>
    <w:rsid w:val="00CF28BE"/>
    <w:rsid w:val="00CF350D"/>
    <w:rsid w:val="00CF436A"/>
    <w:rsid w:val="00CF710B"/>
    <w:rsid w:val="00CF79E4"/>
    <w:rsid w:val="00D02775"/>
    <w:rsid w:val="00D044E2"/>
    <w:rsid w:val="00D05466"/>
    <w:rsid w:val="00D05FE6"/>
    <w:rsid w:val="00D07376"/>
    <w:rsid w:val="00D073E2"/>
    <w:rsid w:val="00D07B12"/>
    <w:rsid w:val="00D07C0E"/>
    <w:rsid w:val="00D10932"/>
    <w:rsid w:val="00D1105B"/>
    <w:rsid w:val="00D1297F"/>
    <w:rsid w:val="00D133E9"/>
    <w:rsid w:val="00D141BD"/>
    <w:rsid w:val="00D15417"/>
    <w:rsid w:val="00D15B5D"/>
    <w:rsid w:val="00D1671F"/>
    <w:rsid w:val="00D167B7"/>
    <w:rsid w:val="00D16A5F"/>
    <w:rsid w:val="00D178CF"/>
    <w:rsid w:val="00D20B21"/>
    <w:rsid w:val="00D21D9A"/>
    <w:rsid w:val="00D22066"/>
    <w:rsid w:val="00D26AD3"/>
    <w:rsid w:val="00D27198"/>
    <w:rsid w:val="00D3158A"/>
    <w:rsid w:val="00D322D0"/>
    <w:rsid w:val="00D32886"/>
    <w:rsid w:val="00D334F2"/>
    <w:rsid w:val="00D35DBB"/>
    <w:rsid w:val="00D363C0"/>
    <w:rsid w:val="00D37EA6"/>
    <w:rsid w:val="00D41519"/>
    <w:rsid w:val="00D4412F"/>
    <w:rsid w:val="00D50888"/>
    <w:rsid w:val="00D50DFC"/>
    <w:rsid w:val="00D537CA"/>
    <w:rsid w:val="00D545F0"/>
    <w:rsid w:val="00D560B8"/>
    <w:rsid w:val="00D56267"/>
    <w:rsid w:val="00D5795D"/>
    <w:rsid w:val="00D62145"/>
    <w:rsid w:val="00D621E9"/>
    <w:rsid w:val="00D6294D"/>
    <w:rsid w:val="00D63927"/>
    <w:rsid w:val="00D63CE0"/>
    <w:rsid w:val="00D65BE1"/>
    <w:rsid w:val="00D676A3"/>
    <w:rsid w:val="00D676EC"/>
    <w:rsid w:val="00D67726"/>
    <w:rsid w:val="00D70A29"/>
    <w:rsid w:val="00D7202E"/>
    <w:rsid w:val="00D72D3B"/>
    <w:rsid w:val="00D73526"/>
    <w:rsid w:val="00D744C9"/>
    <w:rsid w:val="00D75237"/>
    <w:rsid w:val="00D76219"/>
    <w:rsid w:val="00D8024E"/>
    <w:rsid w:val="00D80BF2"/>
    <w:rsid w:val="00D80D07"/>
    <w:rsid w:val="00D810A5"/>
    <w:rsid w:val="00D82F9E"/>
    <w:rsid w:val="00D84790"/>
    <w:rsid w:val="00D8777A"/>
    <w:rsid w:val="00D87874"/>
    <w:rsid w:val="00D90BBF"/>
    <w:rsid w:val="00D90F4A"/>
    <w:rsid w:val="00D92CDA"/>
    <w:rsid w:val="00D9402D"/>
    <w:rsid w:val="00D94A67"/>
    <w:rsid w:val="00D95D70"/>
    <w:rsid w:val="00DA00E8"/>
    <w:rsid w:val="00DA0EAC"/>
    <w:rsid w:val="00DA1C09"/>
    <w:rsid w:val="00DA25D5"/>
    <w:rsid w:val="00DA4066"/>
    <w:rsid w:val="00DA5194"/>
    <w:rsid w:val="00DA6B22"/>
    <w:rsid w:val="00DA7554"/>
    <w:rsid w:val="00DB11B2"/>
    <w:rsid w:val="00DB124B"/>
    <w:rsid w:val="00DB1EC5"/>
    <w:rsid w:val="00DB213B"/>
    <w:rsid w:val="00DB4B26"/>
    <w:rsid w:val="00DB64A8"/>
    <w:rsid w:val="00DB6A1D"/>
    <w:rsid w:val="00DB6F89"/>
    <w:rsid w:val="00DB7619"/>
    <w:rsid w:val="00DC1588"/>
    <w:rsid w:val="00DC1856"/>
    <w:rsid w:val="00DC3F3A"/>
    <w:rsid w:val="00DC5A15"/>
    <w:rsid w:val="00DC73D3"/>
    <w:rsid w:val="00DD04C8"/>
    <w:rsid w:val="00DD1058"/>
    <w:rsid w:val="00DD1346"/>
    <w:rsid w:val="00DD1C8A"/>
    <w:rsid w:val="00DD1FB1"/>
    <w:rsid w:val="00DD42B0"/>
    <w:rsid w:val="00DD609D"/>
    <w:rsid w:val="00DD6E0C"/>
    <w:rsid w:val="00DD7015"/>
    <w:rsid w:val="00DE0573"/>
    <w:rsid w:val="00DE1C64"/>
    <w:rsid w:val="00DE3740"/>
    <w:rsid w:val="00DE53BC"/>
    <w:rsid w:val="00DE6C0F"/>
    <w:rsid w:val="00DE7240"/>
    <w:rsid w:val="00DE727F"/>
    <w:rsid w:val="00DF13F4"/>
    <w:rsid w:val="00DF15CF"/>
    <w:rsid w:val="00DF1B09"/>
    <w:rsid w:val="00DF2365"/>
    <w:rsid w:val="00DF287C"/>
    <w:rsid w:val="00DF33D8"/>
    <w:rsid w:val="00DF360A"/>
    <w:rsid w:val="00DF3AE4"/>
    <w:rsid w:val="00DF5164"/>
    <w:rsid w:val="00DF753F"/>
    <w:rsid w:val="00E10ABA"/>
    <w:rsid w:val="00E10CEE"/>
    <w:rsid w:val="00E10DC6"/>
    <w:rsid w:val="00E11291"/>
    <w:rsid w:val="00E13D6B"/>
    <w:rsid w:val="00E140C2"/>
    <w:rsid w:val="00E16163"/>
    <w:rsid w:val="00E169E6"/>
    <w:rsid w:val="00E2065B"/>
    <w:rsid w:val="00E20805"/>
    <w:rsid w:val="00E21F3F"/>
    <w:rsid w:val="00E242EA"/>
    <w:rsid w:val="00E254F3"/>
    <w:rsid w:val="00E26603"/>
    <w:rsid w:val="00E26E21"/>
    <w:rsid w:val="00E27448"/>
    <w:rsid w:val="00E30304"/>
    <w:rsid w:val="00E31185"/>
    <w:rsid w:val="00E33DA3"/>
    <w:rsid w:val="00E3409C"/>
    <w:rsid w:val="00E37F14"/>
    <w:rsid w:val="00E42EE0"/>
    <w:rsid w:val="00E433B6"/>
    <w:rsid w:val="00E45007"/>
    <w:rsid w:val="00E51AD5"/>
    <w:rsid w:val="00E523E5"/>
    <w:rsid w:val="00E54321"/>
    <w:rsid w:val="00E55319"/>
    <w:rsid w:val="00E55B37"/>
    <w:rsid w:val="00E6289B"/>
    <w:rsid w:val="00E6306B"/>
    <w:rsid w:val="00E632E3"/>
    <w:rsid w:val="00E64C71"/>
    <w:rsid w:val="00E65CF6"/>
    <w:rsid w:val="00E66858"/>
    <w:rsid w:val="00E66B0A"/>
    <w:rsid w:val="00E670B9"/>
    <w:rsid w:val="00E67446"/>
    <w:rsid w:val="00E70366"/>
    <w:rsid w:val="00E711BC"/>
    <w:rsid w:val="00E72995"/>
    <w:rsid w:val="00E739E7"/>
    <w:rsid w:val="00E74F4B"/>
    <w:rsid w:val="00E752E2"/>
    <w:rsid w:val="00E76F0A"/>
    <w:rsid w:val="00E77C17"/>
    <w:rsid w:val="00E800BF"/>
    <w:rsid w:val="00E8213E"/>
    <w:rsid w:val="00E83204"/>
    <w:rsid w:val="00E86977"/>
    <w:rsid w:val="00E876BB"/>
    <w:rsid w:val="00E87806"/>
    <w:rsid w:val="00E91842"/>
    <w:rsid w:val="00E91D94"/>
    <w:rsid w:val="00E91F3B"/>
    <w:rsid w:val="00E927F3"/>
    <w:rsid w:val="00E934B5"/>
    <w:rsid w:val="00E93BDB"/>
    <w:rsid w:val="00E93F1D"/>
    <w:rsid w:val="00E94C08"/>
    <w:rsid w:val="00E94DF6"/>
    <w:rsid w:val="00E95057"/>
    <w:rsid w:val="00E977CB"/>
    <w:rsid w:val="00EA10CE"/>
    <w:rsid w:val="00EA1215"/>
    <w:rsid w:val="00EA2A35"/>
    <w:rsid w:val="00EA617F"/>
    <w:rsid w:val="00EA64A5"/>
    <w:rsid w:val="00EA710A"/>
    <w:rsid w:val="00EA777B"/>
    <w:rsid w:val="00EB06A6"/>
    <w:rsid w:val="00EB0AE8"/>
    <w:rsid w:val="00EB1C95"/>
    <w:rsid w:val="00EB2B24"/>
    <w:rsid w:val="00EB2CD4"/>
    <w:rsid w:val="00EB3701"/>
    <w:rsid w:val="00EB4413"/>
    <w:rsid w:val="00EB5F94"/>
    <w:rsid w:val="00EB61C3"/>
    <w:rsid w:val="00EC1CB2"/>
    <w:rsid w:val="00EC2A7D"/>
    <w:rsid w:val="00EC2F91"/>
    <w:rsid w:val="00EC6965"/>
    <w:rsid w:val="00EC6E7C"/>
    <w:rsid w:val="00ED0842"/>
    <w:rsid w:val="00ED298B"/>
    <w:rsid w:val="00ED38FE"/>
    <w:rsid w:val="00ED3ECE"/>
    <w:rsid w:val="00ED44B6"/>
    <w:rsid w:val="00ED4744"/>
    <w:rsid w:val="00ED4847"/>
    <w:rsid w:val="00ED588F"/>
    <w:rsid w:val="00ED5925"/>
    <w:rsid w:val="00ED642E"/>
    <w:rsid w:val="00ED6658"/>
    <w:rsid w:val="00ED6DA9"/>
    <w:rsid w:val="00ED7F76"/>
    <w:rsid w:val="00EE02EB"/>
    <w:rsid w:val="00EE090E"/>
    <w:rsid w:val="00EE3343"/>
    <w:rsid w:val="00EE51B5"/>
    <w:rsid w:val="00EE5EC0"/>
    <w:rsid w:val="00EE60AC"/>
    <w:rsid w:val="00EE65DC"/>
    <w:rsid w:val="00EE6F3B"/>
    <w:rsid w:val="00EF0985"/>
    <w:rsid w:val="00EF172D"/>
    <w:rsid w:val="00EF21DC"/>
    <w:rsid w:val="00EF2809"/>
    <w:rsid w:val="00EF3582"/>
    <w:rsid w:val="00EF3A7C"/>
    <w:rsid w:val="00EF4966"/>
    <w:rsid w:val="00EF65D2"/>
    <w:rsid w:val="00EF77D5"/>
    <w:rsid w:val="00F00974"/>
    <w:rsid w:val="00F016E7"/>
    <w:rsid w:val="00F022DD"/>
    <w:rsid w:val="00F02337"/>
    <w:rsid w:val="00F02E78"/>
    <w:rsid w:val="00F03406"/>
    <w:rsid w:val="00F059BE"/>
    <w:rsid w:val="00F10088"/>
    <w:rsid w:val="00F12D7C"/>
    <w:rsid w:val="00F1442D"/>
    <w:rsid w:val="00F14D73"/>
    <w:rsid w:val="00F166F2"/>
    <w:rsid w:val="00F17056"/>
    <w:rsid w:val="00F17EBE"/>
    <w:rsid w:val="00F238BA"/>
    <w:rsid w:val="00F24CE2"/>
    <w:rsid w:val="00F25263"/>
    <w:rsid w:val="00F2552E"/>
    <w:rsid w:val="00F25F52"/>
    <w:rsid w:val="00F3238D"/>
    <w:rsid w:val="00F32ABA"/>
    <w:rsid w:val="00F34A65"/>
    <w:rsid w:val="00F362AF"/>
    <w:rsid w:val="00F378F7"/>
    <w:rsid w:val="00F37976"/>
    <w:rsid w:val="00F37DDC"/>
    <w:rsid w:val="00F41FCC"/>
    <w:rsid w:val="00F42132"/>
    <w:rsid w:val="00F438E8"/>
    <w:rsid w:val="00F43F36"/>
    <w:rsid w:val="00F4698E"/>
    <w:rsid w:val="00F478B6"/>
    <w:rsid w:val="00F51834"/>
    <w:rsid w:val="00F51D03"/>
    <w:rsid w:val="00F548FD"/>
    <w:rsid w:val="00F54AA3"/>
    <w:rsid w:val="00F55563"/>
    <w:rsid w:val="00F55CA5"/>
    <w:rsid w:val="00F56471"/>
    <w:rsid w:val="00F6069E"/>
    <w:rsid w:val="00F616B5"/>
    <w:rsid w:val="00F61835"/>
    <w:rsid w:val="00F65160"/>
    <w:rsid w:val="00F66AA4"/>
    <w:rsid w:val="00F67DDC"/>
    <w:rsid w:val="00F707F2"/>
    <w:rsid w:val="00F70B5B"/>
    <w:rsid w:val="00F71468"/>
    <w:rsid w:val="00F72867"/>
    <w:rsid w:val="00F73325"/>
    <w:rsid w:val="00F73368"/>
    <w:rsid w:val="00F741D6"/>
    <w:rsid w:val="00F74200"/>
    <w:rsid w:val="00F7581C"/>
    <w:rsid w:val="00F7724E"/>
    <w:rsid w:val="00F81BC1"/>
    <w:rsid w:val="00F828F6"/>
    <w:rsid w:val="00F8304A"/>
    <w:rsid w:val="00F83284"/>
    <w:rsid w:val="00F835E2"/>
    <w:rsid w:val="00F843CC"/>
    <w:rsid w:val="00F84790"/>
    <w:rsid w:val="00F84BA9"/>
    <w:rsid w:val="00F865C0"/>
    <w:rsid w:val="00F8799C"/>
    <w:rsid w:val="00F900CF"/>
    <w:rsid w:val="00F92D40"/>
    <w:rsid w:val="00F9313B"/>
    <w:rsid w:val="00F944B4"/>
    <w:rsid w:val="00F957E0"/>
    <w:rsid w:val="00F96FB0"/>
    <w:rsid w:val="00F97310"/>
    <w:rsid w:val="00F97AFE"/>
    <w:rsid w:val="00FA2BA4"/>
    <w:rsid w:val="00FA300A"/>
    <w:rsid w:val="00FA368B"/>
    <w:rsid w:val="00FA3F93"/>
    <w:rsid w:val="00FA57D5"/>
    <w:rsid w:val="00FA61D5"/>
    <w:rsid w:val="00FB0D2D"/>
    <w:rsid w:val="00FB1586"/>
    <w:rsid w:val="00FB1AF6"/>
    <w:rsid w:val="00FB2D57"/>
    <w:rsid w:val="00FB464F"/>
    <w:rsid w:val="00FB5DF6"/>
    <w:rsid w:val="00FB6194"/>
    <w:rsid w:val="00FB6631"/>
    <w:rsid w:val="00FB6B32"/>
    <w:rsid w:val="00FB7A6F"/>
    <w:rsid w:val="00FC1D2C"/>
    <w:rsid w:val="00FC1D41"/>
    <w:rsid w:val="00FC1FA3"/>
    <w:rsid w:val="00FC5302"/>
    <w:rsid w:val="00FD3986"/>
    <w:rsid w:val="00FD60AB"/>
    <w:rsid w:val="00FD747B"/>
    <w:rsid w:val="00FD781D"/>
    <w:rsid w:val="00FE09BE"/>
    <w:rsid w:val="00FE1C79"/>
    <w:rsid w:val="00FE4FBA"/>
    <w:rsid w:val="00FE58AD"/>
    <w:rsid w:val="00FE5D27"/>
    <w:rsid w:val="00FF063E"/>
    <w:rsid w:val="00FF0FEF"/>
    <w:rsid w:val="00FF163A"/>
    <w:rsid w:val="00FF3261"/>
    <w:rsid w:val="00FF3BAC"/>
    <w:rsid w:val="00FF40FD"/>
    <w:rsid w:val="00FF6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E67A45"/>
  <w15:docId w15:val="{816CA940-1D77-41F7-A48A-316DB738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FA61D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바닥글 Char"/>
    <w:basedOn w:val="a0"/>
    <w:link w:val="a4"/>
    <w:uiPriority w:val="99"/>
    <w:rsid w:val="00B50DC2"/>
    <w:rPr>
      <w:sz w:val="18"/>
      <w:szCs w:val="18"/>
    </w:rPr>
  </w:style>
  <w:style w:type="character" w:customStyle="1" w:styleId="1Char">
    <w:name w:val="제목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FA61D5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FA61D5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FA61D5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A61D5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FA61D5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FA61D5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5"/>
    <w:semiHidden/>
    <w:rsid w:val="00FA61D5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aliases w:val="- Bullets,リスト段落,列出段落,Lista1,?? ??,?????,????,中等深浅网格 1 - 着色 21,列表段落"/>
    <w:basedOn w:val="a"/>
    <w:link w:val="Char2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풍선 도움말 텍스트 Char"/>
    <w:basedOn w:val="a0"/>
    <w:link w:val="a7"/>
    <w:uiPriority w:val="99"/>
    <w:semiHidden/>
    <w:rsid w:val="00E93F1D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4"/>
    <w:uiPriority w:val="99"/>
    <w:semiHidden/>
    <w:unhideWhenUsed/>
    <w:rsid w:val="0063595B"/>
    <w:rPr>
      <w:rFonts w:ascii="SimSun"/>
      <w:sz w:val="18"/>
      <w:szCs w:val="18"/>
    </w:rPr>
  </w:style>
  <w:style w:type="character" w:customStyle="1" w:styleId="Char4">
    <w:name w:val="문서 구조 Char"/>
    <w:basedOn w:val="a0"/>
    <w:link w:val="a8"/>
    <w:uiPriority w:val="99"/>
    <w:semiHidden/>
    <w:rsid w:val="0063595B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본문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uiPriority w:val="99"/>
    <w:semiHidden/>
    <w:rsid w:val="00BF0FC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styleId="ab">
    <w:name w:val="caption"/>
    <w:aliases w:val="cap"/>
    <w:basedOn w:val="a"/>
    <w:next w:val="a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바탕"/>
      <w:lang w:val="en-US"/>
    </w:rPr>
  </w:style>
  <w:style w:type="paragraph" w:styleId="ae">
    <w:name w:val="No Spacing"/>
    <w:uiPriority w:val="1"/>
    <w:qFormat/>
    <w:rsid w:val="007F6896"/>
    <w:rPr>
      <w:rFonts w:ascii="Calibri" w:eastAsia="SimSun" w:hAnsi="Calibri" w:cs="Times New Roman"/>
      <w:kern w:val="0"/>
      <w:sz w:val="22"/>
    </w:rPr>
  </w:style>
  <w:style w:type="paragraph" w:customStyle="1" w:styleId="TAH">
    <w:name w:val="TAH"/>
    <w:basedOn w:val="a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캡션 Char"/>
    <w:aliases w:val="cap Char"/>
    <w:basedOn w:val="a0"/>
    <w:link w:val="ab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next w:val="a"/>
    <w:rsid w:val="00595D22"/>
    <w:pPr>
      <w:numPr>
        <w:numId w:val="1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"/>
    <w:next w:val="a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0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"/>
    <w:link w:val="B1Char"/>
    <w:qFormat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qFormat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link w:val="B3Char"/>
    <w:qFormat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uiPriority w:val="99"/>
    <w:qFormat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C4C9E"/>
    <w:pPr>
      <w:ind w:leftChars="400" w:left="100" w:hangingChars="200" w:hanging="200"/>
      <w:contextualSpacing/>
    </w:pPr>
  </w:style>
  <w:style w:type="paragraph" w:customStyle="1" w:styleId="10">
    <w:name w:val="列出段落1"/>
    <w:basedOn w:val="a"/>
    <w:link w:val="Char7"/>
    <w:uiPriority w:val="34"/>
    <w:qFormat/>
    <w:rsid w:val="008C1083"/>
    <w:pPr>
      <w:widowControl w:val="0"/>
      <w:spacing w:after="0"/>
      <w:ind w:firstLineChars="200" w:firstLine="420"/>
      <w:jc w:val="both"/>
    </w:pPr>
    <w:rPr>
      <w:rFonts w:ascii="Calibri" w:hAnsi="Calibri" w:cs="SimHei"/>
      <w:kern w:val="2"/>
      <w:sz w:val="21"/>
      <w:szCs w:val="22"/>
      <w:lang w:val="en-US" w:eastAsia="zh-CN"/>
    </w:rPr>
  </w:style>
  <w:style w:type="character" w:customStyle="1" w:styleId="Char7">
    <w:name w:val="列出段落 Char"/>
    <w:basedOn w:val="a0"/>
    <w:link w:val="10"/>
    <w:uiPriority w:val="34"/>
    <w:locked/>
    <w:rsid w:val="008C1083"/>
    <w:rPr>
      <w:rFonts w:ascii="Calibri" w:eastAsia="SimSun" w:hAnsi="Calibri" w:cs="SimHei"/>
    </w:rPr>
  </w:style>
  <w:style w:type="table" w:styleId="af0">
    <w:name w:val="Light List"/>
    <w:basedOn w:val="a1"/>
    <w:uiPriority w:val="61"/>
    <w:rsid w:val="004B772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f1">
    <w:name w:val="Placeholder Text"/>
    <w:basedOn w:val="a0"/>
    <w:uiPriority w:val="99"/>
    <w:semiHidden/>
    <w:rsid w:val="00A07A13"/>
    <w:rPr>
      <w:color w:val="808080"/>
    </w:rPr>
  </w:style>
  <w:style w:type="character" w:customStyle="1" w:styleId="Char2">
    <w:name w:val="목록 단락 Char"/>
    <w:aliases w:val="- Bullets Char,リスト段落 Char,列出段落 Char1,Lista1 Char,?? ?? Char,????? Char,???? Char,中等深浅网格 1 - 着色 21 Char,列表段落 Char"/>
    <w:link w:val="a6"/>
    <w:uiPriority w:val="34"/>
    <w:qFormat/>
    <w:locked/>
    <w:rsid w:val="00C1157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3300D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B10">
    <w:name w:val="B1 (文字)"/>
    <w:qFormat/>
    <w:locked/>
    <w:rsid w:val="003300D3"/>
    <w:rPr>
      <w:lang w:val="en-GB"/>
    </w:rPr>
  </w:style>
  <w:style w:type="character" w:customStyle="1" w:styleId="B3Char">
    <w:name w:val="B3 Char"/>
    <w:basedOn w:val="a0"/>
    <w:link w:val="B3"/>
    <w:rsid w:val="00F034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C753BB"/>
    <w:pPr>
      <w:numPr>
        <w:numId w:val="34"/>
      </w:numPr>
      <w:spacing w:after="0"/>
    </w:pPr>
    <w:rPr>
      <w:rFonts w:ascii="Times" w:eastAsia="바탕" w:hAnsi="Times"/>
      <w:szCs w:val="24"/>
    </w:rPr>
  </w:style>
  <w:style w:type="paragraph" w:customStyle="1" w:styleId="bullet2">
    <w:name w:val="bullet2"/>
    <w:basedOn w:val="a"/>
    <w:link w:val="bullet2Char"/>
    <w:qFormat/>
    <w:rsid w:val="00C753BB"/>
    <w:pPr>
      <w:numPr>
        <w:ilvl w:val="1"/>
        <w:numId w:val="34"/>
      </w:numPr>
      <w:spacing w:after="0"/>
    </w:pPr>
    <w:rPr>
      <w:rFonts w:ascii="Times" w:eastAsia="바탕" w:hAnsi="Times"/>
      <w:szCs w:val="24"/>
    </w:rPr>
  </w:style>
  <w:style w:type="character" w:customStyle="1" w:styleId="bullet1Char">
    <w:name w:val="bullet1 Char"/>
    <w:link w:val="bullet1"/>
    <w:rsid w:val="00C753BB"/>
    <w:rPr>
      <w:rFonts w:ascii="Times" w:eastAsia="바탕" w:hAnsi="Times" w:cs="Times New Roman"/>
      <w:kern w:val="0"/>
      <w:sz w:val="20"/>
      <w:szCs w:val="24"/>
      <w:lang w:val="en-GB" w:eastAsia="en-US"/>
    </w:rPr>
  </w:style>
  <w:style w:type="paragraph" w:customStyle="1" w:styleId="bullet3">
    <w:name w:val="bullet3"/>
    <w:basedOn w:val="a"/>
    <w:qFormat/>
    <w:rsid w:val="00C753BB"/>
    <w:pPr>
      <w:numPr>
        <w:ilvl w:val="2"/>
        <w:numId w:val="34"/>
      </w:numPr>
      <w:spacing w:after="0"/>
      <w:ind w:hanging="18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C753BB"/>
    <w:pPr>
      <w:numPr>
        <w:ilvl w:val="3"/>
        <w:numId w:val="34"/>
      </w:numPr>
      <w:spacing w:after="0"/>
    </w:pPr>
    <w:rPr>
      <w:rFonts w:ascii="Times" w:eastAsia="바탕" w:hAnsi="Times"/>
      <w:szCs w:val="24"/>
    </w:rPr>
  </w:style>
  <w:style w:type="character" w:customStyle="1" w:styleId="bullet2Char">
    <w:name w:val="bullet2 Char"/>
    <w:link w:val="bullet2"/>
    <w:rsid w:val="00C753BB"/>
    <w:rPr>
      <w:rFonts w:ascii="Times" w:eastAsia="바탕" w:hAnsi="Times" w:cs="Times New Roman"/>
      <w:kern w:val="0"/>
      <w:sz w:val="20"/>
      <w:szCs w:val="24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2B62C7"/>
    <w:pPr>
      <w:numPr>
        <w:numId w:val="3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2B62C7"/>
    <w:rPr>
      <w:rFonts w:ascii="Times New Roman" w:eastAsia="SimSun" w:hAnsi="Times New Roman" w:cs="Times New Roman"/>
      <w:kern w:val="0"/>
      <w:sz w:val="22"/>
      <w:szCs w:val="20"/>
    </w:rPr>
  </w:style>
  <w:style w:type="table" w:styleId="50">
    <w:name w:val="Plain Table 5"/>
    <w:basedOn w:val="a1"/>
    <w:uiPriority w:val="45"/>
    <w:rsid w:val="00A665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Style1">
    <w:name w:val="Style1"/>
    <w:basedOn w:val="a"/>
    <w:link w:val="Style1Char"/>
    <w:qFormat/>
    <w:rsid w:val="00F438E8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rsid w:val="00F438E8"/>
    <w:rPr>
      <w:rFonts w:ascii="Times New Roman" w:eastAsia="SimSun" w:hAnsi="Times New Roman" w:cs="Times New Roman"/>
      <w:kern w:val="0"/>
      <w:sz w:val="20"/>
      <w:szCs w:val="20"/>
    </w:rPr>
  </w:style>
  <w:style w:type="paragraph" w:styleId="af2">
    <w:name w:val="annotation text"/>
    <w:basedOn w:val="a"/>
    <w:link w:val="Char8"/>
    <w:uiPriority w:val="99"/>
    <w:qFormat/>
    <w:rsid w:val="00F438E8"/>
    <w:pPr>
      <w:spacing w:after="0"/>
    </w:pPr>
    <w:rPr>
      <w:rFonts w:ascii="Times" w:eastAsia="바탕" w:hAnsi="Times"/>
    </w:rPr>
  </w:style>
  <w:style w:type="character" w:customStyle="1" w:styleId="Char8">
    <w:name w:val="메모 텍스트 Char"/>
    <w:basedOn w:val="a0"/>
    <w:link w:val="af2"/>
    <w:uiPriority w:val="99"/>
    <w:qFormat/>
    <w:rsid w:val="00F438E8"/>
    <w:rPr>
      <w:rFonts w:ascii="Times" w:eastAsia="바탕" w:hAnsi="Times" w:cs="Times New Roman"/>
      <w:kern w:val="0"/>
      <w:sz w:val="20"/>
      <w:szCs w:val="20"/>
      <w:lang w:val="en-GB" w:eastAsia="en-US"/>
    </w:rPr>
  </w:style>
  <w:style w:type="character" w:customStyle="1" w:styleId="LGTdocChar">
    <w:name w:val="LGTdoc_본문 Char"/>
    <w:link w:val="LGTdoc"/>
    <w:qFormat/>
    <w:rsid w:val="00F438E8"/>
    <w:rPr>
      <w:rFonts w:ascii="Times New Roman" w:eastAsia="바탕" w:hAnsi="Times New Roman" w:cs="Times New Roman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4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5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454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382958">
                                      <w:marLeft w:val="0"/>
                                      <w:marRight w:val="5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58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92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73578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6570784">
                                          <w:marLeft w:val="0"/>
                                          <w:marRight w:val="0"/>
                                          <w:marTop w:val="1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95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926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68057">
                                      <w:marLeft w:val="5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299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172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0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394551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361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4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4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13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00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40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709091">
                                      <w:marLeft w:val="0"/>
                                      <w:marRight w:val="5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09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985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523788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6211291">
                                          <w:marLeft w:val="0"/>
                                          <w:marRight w:val="0"/>
                                          <w:marTop w:val="1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891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2128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98499">
                                      <w:marLeft w:val="5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56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431140">
                                              <w:marLeft w:val="0"/>
                                              <w:marRight w:val="0"/>
                                              <w:marTop w:val="0"/>
                                              <w:marBottom w:val="10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765880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816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84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3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____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____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9.8697863333522151E-2"/>
          <c:y val="7.0086203080036671E-2"/>
          <c:w val="0.72220639627352468"/>
          <c:h val="0.8041597571387914"/>
        </c:manualLayout>
      </c:layout>
      <c:lineChart>
        <c:grouping val="standard"/>
        <c:varyColors val="0"/>
        <c:ser>
          <c:idx val="0"/>
          <c:order val="0"/>
          <c:tx>
            <c:strRef>
              <c:f>Sheet2!$B$1</c:f>
              <c:strCache>
                <c:ptCount val="1"/>
                <c:pt idx="0">
                  <c:v>11e, av0.0</c:v>
                </c:pt>
              </c:strCache>
            </c:strRef>
          </c:tx>
          <c:spPr>
            <a:ln w="22225" cap="rnd">
              <a:solidFill>
                <a:schemeClr val="accent2">
                  <a:lumMod val="75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Sheet2!$B$2:$B$9</c:f>
              <c:numCache>
                <c:formatCode>General</c:formatCode>
                <c:ptCount val="8"/>
                <c:pt idx="0">
                  <c:v>35.227086999999997</c:v>
                </c:pt>
                <c:pt idx="1">
                  <c:v>35.190817000000003</c:v>
                </c:pt>
                <c:pt idx="2">
                  <c:v>35.259110999999997</c:v>
                </c:pt>
                <c:pt idx="3">
                  <c:v>35.204613999999999</c:v>
                </c:pt>
                <c:pt idx="4">
                  <c:v>34.772288000000003</c:v>
                </c:pt>
                <c:pt idx="5">
                  <c:v>34.919423000000002</c:v>
                </c:pt>
                <c:pt idx="6">
                  <c:v>28.767237999999999</c:v>
                </c:pt>
                <c:pt idx="7">
                  <c:v>17.931031999999998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591-4883-8F0C-332D9C2EBC3D}"/>
            </c:ext>
          </c:extLst>
        </c:ser>
        <c:ser>
          <c:idx val="1"/>
          <c:order val="1"/>
          <c:tx>
            <c:strRef>
              <c:f>Sheet2!$C$1</c:f>
              <c:strCache>
                <c:ptCount val="1"/>
                <c:pt idx="0">
                  <c:v>11e, av0.2</c:v>
                </c:pt>
              </c:strCache>
            </c:strRef>
          </c:tx>
          <c:spPr>
            <a:ln w="22225" cap="rnd">
              <a:solidFill>
                <a:schemeClr val="accent2">
                  <a:lumMod val="40000"/>
                  <a:lumOff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Sheet2!$C$2:$C$9</c:f>
              <c:numCache>
                <c:formatCode>General</c:formatCode>
                <c:ptCount val="8"/>
                <c:pt idx="0">
                  <c:v>35.136493999999999</c:v>
                </c:pt>
                <c:pt idx="1">
                  <c:v>34.957220999999997</c:v>
                </c:pt>
                <c:pt idx="2">
                  <c:v>35.192494000000003</c:v>
                </c:pt>
                <c:pt idx="3">
                  <c:v>34.956491999999997</c:v>
                </c:pt>
                <c:pt idx="4">
                  <c:v>35.156779</c:v>
                </c:pt>
                <c:pt idx="5">
                  <c:v>34.800902999999998</c:v>
                </c:pt>
                <c:pt idx="6">
                  <c:v>28.019141000000001</c:v>
                </c:pt>
                <c:pt idx="7">
                  <c:v>17.717355000000001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591-4883-8F0C-332D9C2EBC3D}"/>
            </c:ext>
          </c:extLst>
        </c:ser>
        <c:ser>
          <c:idx val="2"/>
          <c:order val="2"/>
          <c:tx>
            <c:strRef>
              <c:f>Sheet2!$D$1</c:f>
              <c:strCache>
                <c:ptCount val="1"/>
                <c:pt idx="0">
                  <c:v>11e, av0.4</c:v>
                </c:pt>
              </c:strCache>
            </c:strRef>
          </c:tx>
          <c:spPr>
            <a:ln w="22225" cap="rnd">
              <a:solidFill>
                <a:schemeClr val="accent2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Sheet2!$D$2:$D$9</c:f>
              <c:numCache>
                <c:formatCode>General</c:formatCode>
                <c:ptCount val="8"/>
                <c:pt idx="0">
                  <c:v>34.681441</c:v>
                </c:pt>
                <c:pt idx="1">
                  <c:v>34.786709999999999</c:v>
                </c:pt>
                <c:pt idx="2">
                  <c:v>34.977370000000001</c:v>
                </c:pt>
                <c:pt idx="3">
                  <c:v>35.120148</c:v>
                </c:pt>
                <c:pt idx="4">
                  <c:v>34.834964999999997</c:v>
                </c:pt>
                <c:pt idx="5">
                  <c:v>34.462508999999997</c:v>
                </c:pt>
                <c:pt idx="6">
                  <c:v>28.568037</c:v>
                </c:pt>
                <c:pt idx="7">
                  <c:v>17.452987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7591-4883-8F0C-332D9C2EBC3D}"/>
            </c:ext>
          </c:extLst>
        </c:ser>
        <c:ser>
          <c:idx val="3"/>
          <c:order val="3"/>
          <c:tx>
            <c:strRef>
              <c:f>Sheet2!$E$1</c:f>
              <c:strCache>
                <c:ptCount val="1"/>
                <c:pt idx="0">
                  <c:v>11e, av0.6</c:v>
                </c:pt>
              </c:strCache>
            </c:strRef>
          </c:tx>
          <c:spPr>
            <a:ln w="22225" cap="rnd">
              <a:solidFill>
                <a:schemeClr val="accent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Sheet2!$E$2:$E$9</c:f>
              <c:numCache>
                <c:formatCode>General</c:formatCode>
                <c:ptCount val="8"/>
                <c:pt idx="0">
                  <c:v>34.417827000000003</c:v>
                </c:pt>
                <c:pt idx="1">
                  <c:v>34.281407999999999</c:v>
                </c:pt>
                <c:pt idx="2">
                  <c:v>34.325834999999998</c:v>
                </c:pt>
                <c:pt idx="3">
                  <c:v>34.381748999999999</c:v>
                </c:pt>
                <c:pt idx="4">
                  <c:v>34.258997000000001</c:v>
                </c:pt>
                <c:pt idx="5">
                  <c:v>34.253166</c:v>
                </c:pt>
                <c:pt idx="6">
                  <c:v>28.506053000000001</c:v>
                </c:pt>
                <c:pt idx="7">
                  <c:v>16.741144999999999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7591-4883-8F0C-332D9C2EBC3D}"/>
            </c:ext>
          </c:extLst>
        </c:ser>
        <c:ser>
          <c:idx val="4"/>
          <c:order val="4"/>
          <c:tx>
            <c:strRef>
              <c:f>Sheet2!$F$1</c:f>
              <c:strCache>
                <c:ptCount val="1"/>
                <c:pt idx="0">
                  <c:v>11e, av0.8</c:v>
                </c:pt>
              </c:strCache>
            </c:strRef>
          </c:tx>
          <c:spPr>
            <a:ln w="22225" cap="rnd">
              <a:solidFill>
                <a:schemeClr val="accent2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Sheet2!$F$2:$F$9</c:f>
              <c:numCache>
                <c:formatCode>General</c:formatCode>
                <c:ptCount val="8"/>
                <c:pt idx="0">
                  <c:v>33.544896999999999</c:v>
                </c:pt>
                <c:pt idx="1">
                  <c:v>33.290151999999999</c:v>
                </c:pt>
                <c:pt idx="2">
                  <c:v>33.227134</c:v>
                </c:pt>
                <c:pt idx="3">
                  <c:v>33.676160000000003</c:v>
                </c:pt>
                <c:pt idx="4">
                  <c:v>33.125103000000003</c:v>
                </c:pt>
                <c:pt idx="5">
                  <c:v>32.877972</c:v>
                </c:pt>
                <c:pt idx="6">
                  <c:v>27.847491999999999</c:v>
                </c:pt>
                <c:pt idx="7">
                  <c:v>16.344370000000001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7591-4883-8F0C-332D9C2EBC3D}"/>
            </c:ext>
          </c:extLst>
        </c:ser>
        <c:ser>
          <c:idx val="5"/>
          <c:order val="5"/>
          <c:tx>
            <c:strRef>
              <c:f>Sheet2!$G$1</c:f>
              <c:strCache>
                <c:ptCount val="1"/>
                <c:pt idx="0">
                  <c:v>11n, av0.0</c:v>
                </c:pt>
              </c:strCache>
            </c:strRef>
          </c:tx>
          <c:spPr>
            <a:ln w="22225" cap="rnd">
              <a:solidFill>
                <a:schemeClr val="accent4">
                  <a:lumMod val="75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Sheet2!$G$2:$G$9</c:f>
              <c:numCache>
                <c:formatCode>General</c:formatCode>
                <c:ptCount val="8"/>
                <c:pt idx="0">
                  <c:v>41.131836999999997</c:v>
                </c:pt>
                <c:pt idx="1">
                  <c:v>14.403504</c:v>
                </c:pt>
                <c:pt idx="2">
                  <c:v>12.235804</c:v>
                </c:pt>
                <c:pt idx="3">
                  <c:v>10.637646</c:v>
                </c:pt>
                <c:pt idx="4">
                  <c:v>10.009952999999999</c:v>
                </c:pt>
                <c:pt idx="5">
                  <c:v>9.9866139999999994</c:v>
                </c:pt>
                <c:pt idx="6">
                  <c:v>10.038824</c:v>
                </c:pt>
                <c:pt idx="7">
                  <c:v>9.6703790000000005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7591-4883-8F0C-332D9C2EBC3D}"/>
            </c:ext>
          </c:extLst>
        </c:ser>
        <c:ser>
          <c:idx val="6"/>
          <c:order val="6"/>
          <c:tx>
            <c:strRef>
              <c:f>Sheet2!$H$1</c:f>
              <c:strCache>
                <c:ptCount val="1"/>
                <c:pt idx="0">
                  <c:v>11n, av0.2</c:v>
                </c:pt>
              </c:strCache>
            </c:strRef>
          </c:tx>
          <c:spPr>
            <a:ln w="22225" cap="rnd">
              <a:solidFill>
                <a:schemeClr val="accent4">
                  <a:lumMod val="40000"/>
                  <a:lumOff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Sheet2!$H$2:$H$9</c:f>
              <c:numCache>
                <c:formatCode>General</c:formatCode>
                <c:ptCount val="8"/>
                <c:pt idx="0">
                  <c:v>41.239975999999999</c:v>
                </c:pt>
                <c:pt idx="1">
                  <c:v>14.436832000000001</c:v>
                </c:pt>
                <c:pt idx="2">
                  <c:v>12.182964</c:v>
                </c:pt>
                <c:pt idx="3">
                  <c:v>10.889662</c:v>
                </c:pt>
                <c:pt idx="4">
                  <c:v>9.8684700000000003</c:v>
                </c:pt>
                <c:pt idx="5">
                  <c:v>9.8933959999999992</c:v>
                </c:pt>
                <c:pt idx="6">
                  <c:v>9.9004390000000004</c:v>
                </c:pt>
                <c:pt idx="7">
                  <c:v>9.7401009999999992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7591-4883-8F0C-332D9C2EBC3D}"/>
            </c:ext>
          </c:extLst>
        </c:ser>
        <c:ser>
          <c:idx val="7"/>
          <c:order val="7"/>
          <c:tx>
            <c:strRef>
              <c:f>Sheet2!$I$1</c:f>
              <c:strCache>
                <c:ptCount val="1"/>
                <c:pt idx="0">
                  <c:v>11n, av0.4</c:v>
                </c:pt>
              </c:strCache>
            </c:strRef>
          </c:tx>
          <c:spPr>
            <a:ln w="22225" cap="rnd">
              <a:solidFill>
                <a:schemeClr val="accent4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Sheet2!$I$2:$I$9</c:f>
              <c:numCache>
                <c:formatCode>General</c:formatCode>
                <c:ptCount val="8"/>
                <c:pt idx="0">
                  <c:v>40.904539</c:v>
                </c:pt>
                <c:pt idx="1">
                  <c:v>13.955109</c:v>
                </c:pt>
                <c:pt idx="2">
                  <c:v>11.942029</c:v>
                </c:pt>
                <c:pt idx="3">
                  <c:v>10.420213</c:v>
                </c:pt>
                <c:pt idx="4">
                  <c:v>9.7254140000000007</c:v>
                </c:pt>
                <c:pt idx="5">
                  <c:v>9.5502909999999996</c:v>
                </c:pt>
                <c:pt idx="6">
                  <c:v>9.8590140000000002</c:v>
                </c:pt>
                <c:pt idx="7">
                  <c:v>9.4230140000000002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7591-4883-8F0C-332D9C2EBC3D}"/>
            </c:ext>
          </c:extLst>
        </c:ser>
        <c:ser>
          <c:idx val="8"/>
          <c:order val="8"/>
          <c:tx>
            <c:strRef>
              <c:f>Sheet2!$J$1</c:f>
              <c:strCache>
                <c:ptCount val="1"/>
                <c:pt idx="0">
                  <c:v>11n, av0.6</c:v>
                </c:pt>
              </c:strCache>
            </c:strRef>
          </c:tx>
          <c:spPr>
            <a:ln w="22225" cap="rnd">
              <a:solidFill>
                <a:schemeClr val="accent4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Sheet2!$J$2:$J$9</c:f>
              <c:numCache>
                <c:formatCode>General</c:formatCode>
                <c:ptCount val="8"/>
                <c:pt idx="0">
                  <c:v>40.443136000000003</c:v>
                </c:pt>
                <c:pt idx="1">
                  <c:v>13.72756</c:v>
                </c:pt>
                <c:pt idx="2">
                  <c:v>11.520251</c:v>
                </c:pt>
                <c:pt idx="3">
                  <c:v>10.017314000000001</c:v>
                </c:pt>
                <c:pt idx="4">
                  <c:v>9.2658749999999994</c:v>
                </c:pt>
                <c:pt idx="5">
                  <c:v>9.1416000000000004</c:v>
                </c:pt>
                <c:pt idx="6">
                  <c:v>9.2868670000000009</c:v>
                </c:pt>
                <c:pt idx="7">
                  <c:v>8.9892179999999993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7591-4883-8F0C-332D9C2EBC3D}"/>
            </c:ext>
          </c:extLst>
        </c:ser>
        <c:ser>
          <c:idx val="9"/>
          <c:order val="9"/>
          <c:tx>
            <c:strRef>
              <c:f>Sheet2!$K$1</c:f>
              <c:strCache>
                <c:ptCount val="1"/>
                <c:pt idx="0">
                  <c:v>11n, av0.8</c:v>
                </c:pt>
              </c:strCache>
            </c:strRef>
          </c:tx>
          <c:spPr>
            <a:ln w="22225" cap="rnd">
              <a:solidFill>
                <a:schemeClr val="accent4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Sheet2!$K$2:$K$9</c:f>
              <c:numCache>
                <c:formatCode>General</c:formatCode>
                <c:ptCount val="8"/>
                <c:pt idx="0">
                  <c:v>39.760627999999997</c:v>
                </c:pt>
                <c:pt idx="1">
                  <c:v>13.018598000000001</c:v>
                </c:pt>
                <c:pt idx="2">
                  <c:v>10.991887999999999</c:v>
                </c:pt>
                <c:pt idx="3">
                  <c:v>9.1287900000000004</c:v>
                </c:pt>
                <c:pt idx="4">
                  <c:v>8.5311120000000003</c:v>
                </c:pt>
                <c:pt idx="5">
                  <c:v>8.2495200000000004</c:v>
                </c:pt>
                <c:pt idx="6">
                  <c:v>8.4110139999999998</c:v>
                </c:pt>
                <c:pt idx="7">
                  <c:v>8.4356229999999996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7591-4883-8F0C-332D9C2EBC3D}"/>
            </c:ext>
          </c:extLst>
        </c:ser>
        <c:ser>
          <c:idx val="10"/>
          <c:order val="10"/>
          <c:tx>
            <c:strRef>
              <c:f>Sheet2!$L$1</c:f>
              <c:strCache>
                <c:ptCount val="1"/>
                <c:pt idx="0">
                  <c:v>12e, av0.0</c:v>
                </c:pt>
              </c:strCache>
            </c:strRef>
          </c:tx>
          <c:spPr>
            <a:ln w="22225" cap="rnd">
              <a:solidFill>
                <a:schemeClr val="accent6">
                  <a:lumMod val="75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Sheet2!$L$2:$L$9</c:f>
              <c:numCache>
                <c:formatCode>General</c:formatCode>
                <c:ptCount val="8"/>
                <c:pt idx="0">
                  <c:v>4.2633390000000002</c:v>
                </c:pt>
                <c:pt idx="1">
                  <c:v>4.5533599999999996</c:v>
                </c:pt>
                <c:pt idx="2">
                  <c:v>4.6976100000000001</c:v>
                </c:pt>
                <c:pt idx="3">
                  <c:v>5.2797859999999996</c:v>
                </c:pt>
                <c:pt idx="4">
                  <c:v>5.2433810000000003</c:v>
                </c:pt>
                <c:pt idx="5">
                  <c:v>5.042961</c:v>
                </c:pt>
                <c:pt idx="6">
                  <c:v>5.1153709999999997</c:v>
                </c:pt>
                <c:pt idx="7">
                  <c:v>5.2347619999999999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7591-4883-8F0C-332D9C2EBC3D}"/>
            </c:ext>
          </c:extLst>
        </c:ser>
        <c:ser>
          <c:idx val="11"/>
          <c:order val="11"/>
          <c:tx>
            <c:strRef>
              <c:f>Sheet2!$M$1</c:f>
              <c:strCache>
                <c:ptCount val="1"/>
                <c:pt idx="0">
                  <c:v>12e, av0.2</c:v>
                </c:pt>
              </c:strCache>
            </c:strRef>
          </c:tx>
          <c:spPr>
            <a:ln w="22225" cap="rnd">
              <a:solidFill>
                <a:schemeClr val="accent6">
                  <a:lumMod val="40000"/>
                  <a:lumOff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Sheet2!$M$2:$M$9</c:f>
              <c:numCache>
                <c:formatCode>General</c:formatCode>
                <c:ptCount val="8"/>
                <c:pt idx="0">
                  <c:v>4.2126239999999999</c:v>
                </c:pt>
                <c:pt idx="1">
                  <c:v>4.3240259999999999</c:v>
                </c:pt>
                <c:pt idx="2">
                  <c:v>4.6090410000000004</c:v>
                </c:pt>
                <c:pt idx="3">
                  <c:v>5.1305899999999998</c:v>
                </c:pt>
                <c:pt idx="4">
                  <c:v>5.1763579999999996</c:v>
                </c:pt>
                <c:pt idx="5">
                  <c:v>5.0860960000000004</c:v>
                </c:pt>
                <c:pt idx="6">
                  <c:v>5.1672570000000002</c:v>
                </c:pt>
                <c:pt idx="7">
                  <c:v>5.0723589999999996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7591-4883-8F0C-332D9C2EBC3D}"/>
            </c:ext>
          </c:extLst>
        </c:ser>
        <c:ser>
          <c:idx val="12"/>
          <c:order val="12"/>
          <c:tx>
            <c:strRef>
              <c:f>Sheet2!$N$1</c:f>
              <c:strCache>
                <c:ptCount val="1"/>
                <c:pt idx="0">
                  <c:v>12e, av0.4</c:v>
                </c:pt>
              </c:strCache>
            </c:strRef>
          </c:tx>
          <c:spPr>
            <a:ln w="2222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Sheet2!$N$2:$N$9</c:f>
              <c:numCache>
                <c:formatCode>General</c:formatCode>
                <c:ptCount val="8"/>
                <c:pt idx="0">
                  <c:v>4.0932130000000004</c:v>
                </c:pt>
                <c:pt idx="1">
                  <c:v>3.9380250000000001</c:v>
                </c:pt>
                <c:pt idx="2">
                  <c:v>4.6530940000000003</c:v>
                </c:pt>
                <c:pt idx="3">
                  <c:v>4.710394</c:v>
                </c:pt>
                <c:pt idx="4">
                  <c:v>4.9839279999999997</c:v>
                </c:pt>
                <c:pt idx="5">
                  <c:v>4.822146</c:v>
                </c:pt>
                <c:pt idx="6">
                  <c:v>4.8648470000000001</c:v>
                </c:pt>
                <c:pt idx="7">
                  <c:v>4.7395810000000003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C-7591-4883-8F0C-332D9C2EBC3D}"/>
            </c:ext>
          </c:extLst>
        </c:ser>
        <c:ser>
          <c:idx val="13"/>
          <c:order val="13"/>
          <c:tx>
            <c:strRef>
              <c:f>Sheet2!$O$1</c:f>
              <c:strCache>
                <c:ptCount val="1"/>
                <c:pt idx="0">
                  <c:v>12e, av0.6</c:v>
                </c:pt>
              </c:strCache>
            </c:strRef>
          </c:tx>
          <c:spPr>
            <a:ln w="22225" cap="rnd">
              <a:solidFill>
                <a:schemeClr val="accent6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Sheet2!$O$2:$O$9</c:f>
              <c:numCache>
                <c:formatCode>General</c:formatCode>
                <c:ptCount val="8"/>
                <c:pt idx="0">
                  <c:v>3.6195119999999998</c:v>
                </c:pt>
                <c:pt idx="1">
                  <c:v>3.507943</c:v>
                </c:pt>
                <c:pt idx="2">
                  <c:v>3.9560580000000001</c:v>
                </c:pt>
                <c:pt idx="3">
                  <c:v>4.4478960000000001</c:v>
                </c:pt>
                <c:pt idx="4">
                  <c:v>4.3225600000000002</c:v>
                </c:pt>
                <c:pt idx="5">
                  <c:v>4.6239739999999996</c:v>
                </c:pt>
                <c:pt idx="6">
                  <c:v>4.3527449999999996</c:v>
                </c:pt>
                <c:pt idx="7">
                  <c:v>4.3536580000000002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7591-4883-8F0C-332D9C2EBC3D}"/>
            </c:ext>
          </c:extLst>
        </c:ser>
        <c:ser>
          <c:idx val="14"/>
          <c:order val="14"/>
          <c:tx>
            <c:strRef>
              <c:f>Sheet2!$P$1</c:f>
              <c:strCache>
                <c:ptCount val="1"/>
                <c:pt idx="0">
                  <c:v>12e, av0.8</c:v>
                </c:pt>
              </c:strCache>
            </c:strRef>
          </c:tx>
          <c:spPr>
            <a:ln w="22225" cap="rnd">
              <a:solidFill>
                <a:schemeClr val="accent6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Sheet2!$P$2:$P$9</c:f>
              <c:numCache>
                <c:formatCode>General</c:formatCode>
                <c:ptCount val="8"/>
                <c:pt idx="0">
                  <c:v>2.6959439999999999</c:v>
                </c:pt>
                <c:pt idx="1">
                  <c:v>2.5604840000000002</c:v>
                </c:pt>
                <c:pt idx="2">
                  <c:v>3.1343570000000001</c:v>
                </c:pt>
                <c:pt idx="3">
                  <c:v>3.7185260000000002</c:v>
                </c:pt>
                <c:pt idx="4">
                  <c:v>3.396423</c:v>
                </c:pt>
                <c:pt idx="5">
                  <c:v>3.407978</c:v>
                </c:pt>
                <c:pt idx="6">
                  <c:v>3.5412680000000001</c:v>
                </c:pt>
                <c:pt idx="7">
                  <c:v>3.8549159999999998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E-7591-4883-8F0C-332D9C2EBC3D}"/>
            </c:ext>
          </c:extLst>
        </c:ser>
        <c:ser>
          <c:idx val="15"/>
          <c:order val="15"/>
          <c:tx>
            <c:strRef>
              <c:f>Sheet2!$Q$1</c:f>
              <c:strCache>
                <c:ptCount val="1"/>
                <c:pt idx="0">
                  <c:v>12n, av0.0</c:v>
                </c:pt>
              </c:strCache>
            </c:strRef>
          </c:tx>
          <c:spPr>
            <a:ln w="22225" cap="rnd">
              <a:solidFill>
                <a:schemeClr val="accent5">
                  <a:lumMod val="75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Sheet2!$Q$2:$Q$9</c:f>
              <c:numCache>
                <c:formatCode>General</c:formatCode>
                <c:ptCount val="8"/>
                <c:pt idx="0">
                  <c:v>4.3274030000000003</c:v>
                </c:pt>
                <c:pt idx="1">
                  <c:v>4.6473500000000003</c:v>
                </c:pt>
                <c:pt idx="2">
                  <c:v>5.0098570000000002</c:v>
                </c:pt>
                <c:pt idx="3">
                  <c:v>5.4759979999999997</c:v>
                </c:pt>
                <c:pt idx="4">
                  <c:v>5.6837119999999999</c:v>
                </c:pt>
                <c:pt idx="5">
                  <c:v>5.9098980000000001</c:v>
                </c:pt>
                <c:pt idx="6">
                  <c:v>6.0431879999999998</c:v>
                </c:pt>
                <c:pt idx="7">
                  <c:v>6.155983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F-7591-4883-8F0C-332D9C2EBC3D}"/>
            </c:ext>
          </c:extLst>
        </c:ser>
        <c:ser>
          <c:idx val="16"/>
          <c:order val="16"/>
          <c:tx>
            <c:strRef>
              <c:f>Sheet2!$R$1</c:f>
              <c:strCache>
                <c:ptCount val="1"/>
                <c:pt idx="0">
                  <c:v>12n, av0.2</c:v>
                </c:pt>
              </c:strCache>
            </c:strRef>
          </c:tx>
          <c:spPr>
            <a:ln w="22225" cap="rnd">
              <a:solidFill>
                <a:schemeClr val="accent5">
                  <a:lumMod val="40000"/>
                  <a:lumOff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Sheet2!$R$2:$R$9</c:f>
              <c:numCache>
                <c:formatCode>General</c:formatCode>
                <c:ptCount val="8"/>
                <c:pt idx="0">
                  <c:v>4.2327000000000004</c:v>
                </c:pt>
                <c:pt idx="1">
                  <c:v>4.4999250000000002</c:v>
                </c:pt>
                <c:pt idx="2">
                  <c:v>4.947565</c:v>
                </c:pt>
                <c:pt idx="3">
                  <c:v>5.4859910000000003</c:v>
                </c:pt>
                <c:pt idx="4">
                  <c:v>5.6403949999999998</c:v>
                </c:pt>
                <c:pt idx="5">
                  <c:v>5.7291790000000002</c:v>
                </c:pt>
                <c:pt idx="6">
                  <c:v>6.0379019999999999</c:v>
                </c:pt>
                <c:pt idx="7">
                  <c:v>6.1019740000000002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0-7591-4883-8F0C-332D9C2EBC3D}"/>
            </c:ext>
          </c:extLst>
        </c:ser>
        <c:ser>
          <c:idx val="17"/>
          <c:order val="17"/>
          <c:tx>
            <c:strRef>
              <c:f>Sheet2!$S$1</c:f>
              <c:strCache>
                <c:ptCount val="1"/>
                <c:pt idx="0">
                  <c:v>12n, av0.4</c:v>
                </c:pt>
              </c:strCache>
            </c:strRef>
          </c:tx>
          <c:spPr>
            <a:ln w="22225" cap="rnd">
              <a:solidFill>
                <a:schemeClr val="accent5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Sheet2!$S$2:$S$9</c:f>
              <c:numCache>
                <c:formatCode>General</c:formatCode>
                <c:ptCount val="8"/>
                <c:pt idx="0">
                  <c:v>3.9840990000000001</c:v>
                </c:pt>
                <c:pt idx="1">
                  <c:v>4.0581250000000004</c:v>
                </c:pt>
                <c:pt idx="2">
                  <c:v>4.5832759999999997</c:v>
                </c:pt>
                <c:pt idx="3">
                  <c:v>5.1892709999999997</c:v>
                </c:pt>
                <c:pt idx="4">
                  <c:v>5.295547</c:v>
                </c:pt>
                <c:pt idx="5">
                  <c:v>5.7111280000000004</c:v>
                </c:pt>
                <c:pt idx="6">
                  <c:v>5.7356740000000004</c:v>
                </c:pt>
                <c:pt idx="7">
                  <c:v>5.942914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1-7591-4883-8F0C-332D9C2EBC3D}"/>
            </c:ext>
          </c:extLst>
        </c:ser>
        <c:ser>
          <c:idx val="18"/>
          <c:order val="18"/>
          <c:tx>
            <c:strRef>
              <c:f>Sheet2!$T$1</c:f>
              <c:strCache>
                <c:ptCount val="1"/>
                <c:pt idx="0">
                  <c:v>12n, av0.6</c:v>
                </c:pt>
              </c:strCache>
            </c:strRef>
          </c:tx>
          <c:spPr>
            <a:ln w="22225" cap="rnd">
              <a:solidFill>
                <a:schemeClr val="accent5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Sheet2!$T$2:$T$9</c:f>
              <c:numCache>
                <c:formatCode>General</c:formatCode>
                <c:ptCount val="8"/>
                <c:pt idx="0">
                  <c:v>3.6185900000000002</c:v>
                </c:pt>
                <c:pt idx="1">
                  <c:v>4.0599449999999999</c:v>
                </c:pt>
                <c:pt idx="2">
                  <c:v>4.15876</c:v>
                </c:pt>
                <c:pt idx="3">
                  <c:v>4.8946129999999997</c:v>
                </c:pt>
                <c:pt idx="4">
                  <c:v>5.1566320000000001</c:v>
                </c:pt>
                <c:pt idx="5">
                  <c:v>5.2488939999999999</c:v>
                </c:pt>
                <c:pt idx="6">
                  <c:v>5.3428240000000002</c:v>
                </c:pt>
                <c:pt idx="7">
                  <c:v>5.2684670000000002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2-7591-4883-8F0C-332D9C2EBC3D}"/>
            </c:ext>
          </c:extLst>
        </c:ser>
        <c:ser>
          <c:idx val="19"/>
          <c:order val="19"/>
          <c:tx>
            <c:strRef>
              <c:f>Sheet2!$U$1</c:f>
              <c:strCache>
                <c:ptCount val="1"/>
                <c:pt idx="0">
                  <c:v>12n, av0.8</c:v>
                </c:pt>
              </c:strCache>
            </c:strRef>
          </c:tx>
          <c:spPr>
            <a:ln w="22225" cap="rnd">
              <a:solidFill>
                <a:schemeClr val="accent5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Sheet2!$U$2:$U$9</c:f>
              <c:numCache>
                <c:formatCode>General</c:formatCode>
                <c:ptCount val="8"/>
                <c:pt idx="0">
                  <c:v>2.705317</c:v>
                </c:pt>
                <c:pt idx="1">
                  <c:v>2.9403510000000002</c:v>
                </c:pt>
                <c:pt idx="2">
                  <c:v>3.7629190000000001</c:v>
                </c:pt>
                <c:pt idx="3">
                  <c:v>3.497058</c:v>
                </c:pt>
                <c:pt idx="4">
                  <c:v>3.9515310000000001</c:v>
                </c:pt>
                <c:pt idx="5">
                  <c:v>4.1612010000000001</c:v>
                </c:pt>
                <c:pt idx="6">
                  <c:v>4.1763479999999999</c:v>
                </c:pt>
                <c:pt idx="7">
                  <c:v>4.326568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3-7591-4883-8F0C-332D9C2EBC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43694672"/>
        <c:axId val="640337728"/>
      </c:lineChart>
      <c:catAx>
        <c:axId val="3436946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altLang="ko-KR" sz="1000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Time variance </a:t>
                </a:r>
                <a:r>
                  <a:rPr lang="el-GR" altLang="ko-KR" sz="1000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τ</a:t>
                </a:r>
                <a:r>
                  <a:rPr lang="en-US" altLang="ko-KR" sz="1000" baseline="0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(/ symbol)</a:t>
                </a:r>
                <a:endParaRPr lang="ko-KR" altLang="en-US" sz="1000">
                  <a:solidFill>
                    <a:schemeClr val="tx1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ko-KR"/>
          </a:p>
        </c:txPr>
        <c:crossAx val="640337728"/>
        <c:crosses val="autoZero"/>
        <c:auto val="1"/>
        <c:lblAlgn val="ctr"/>
        <c:lblOffset val="100"/>
        <c:noMultiLvlLbl val="0"/>
      </c:catAx>
      <c:valAx>
        <c:axId val="640337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altLang="ko-KR" sz="1000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SINR (dB)</a:t>
                </a:r>
                <a:endParaRPr lang="ko-KR" altLang="en-US" sz="1000">
                  <a:solidFill>
                    <a:schemeClr val="tx1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4.8645274583538492E-3"/>
              <c:y val="0.3704950279659484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ko-KR"/>
          </a:p>
        </c:txPr>
        <c:crossAx val="3436946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82374230913361191"/>
          <c:y val="4.5856346106800512E-2"/>
          <c:w val="0.1616731865464541"/>
          <c:h val="0.9364333474909536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9.8697863333522151E-2"/>
          <c:y val="7.0086203080036671E-2"/>
          <c:w val="0.72220639627352468"/>
          <c:h val="0.8041597571387914"/>
        </c:manualLayout>
      </c:layout>
      <c:lineChart>
        <c:grouping val="standard"/>
        <c:varyColors val="0"/>
        <c:ser>
          <c:idx val="0"/>
          <c:order val="0"/>
          <c:tx>
            <c:strRef>
              <c:f>Sheet2!$B$1</c:f>
              <c:strCache>
                <c:ptCount val="1"/>
                <c:pt idx="0">
                  <c:v>23e, av0.0</c:v>
                </c:pt>
              </c:strCache>
            </c:strRef>
          </c:tx>
          <c:spPr>
            <a:ln w="22225" cap="rnd">
              <a:solidFill>
                <a:schemeClr val="accent2">
                  <a:lumMod val="75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Sheet2!$B$2:$B$9</c:f>
              <c:numCache>
                <c:formatCode>General</c:formatCode>
                <c:ptCount val="8"/>
                <c:pt idx="0">
                  <c:v>33.907753999999997</c:v>
                </c:pt>
                <c:pt idx="1">
                  <c:v>33.677613999999998</c:v>
                </c:pt>
                <c:pt idx="2">
                  <c:v>34.430193000000003</c:v>
                </c:pt>
                <c:pt idx="3">
                  <c:v>34.287815000000002</c:v>
                </c:pt>
                <c:pt idx="4">
                  <c:v>34.338346000000001</c:v>
                </c:pt>
                <c:pt idx="5">
                  <c:v>34.045924999999997</c:v>
                </c:pt>
                <c:pt idx="6">
                  <c:v>28.256982000000001</c:v>
                </c:pt>
                <c:pt idx="7">
                  <c:v>19.445170999999998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F66-4BAC-BA33-2DE40CB22AF0}"/>
            </c:ext>
          </c:extLst>
        </c:ser>
        <c:ser>
          <c:idx val="1"/>
          <c:order val="1"/>
          <c:tx>
            <c:strRef>
              <c:f>Sheet2!$C$1</c:f>
              <c:strCache>
                <c:ptCount val="1"/>
                <c:pt idx="0">
                  <c:v>23e, av0.2</c:v>
                </c:pt>
              </c:strCache>
            </c:strRef>
          </c:tx>
          <c:spPr>
            <a:ln w="22225" cap="rnd">
              <a:solidFill>
                <a:schemeClr val="accent2">
                  <a:lumMod val="40000"/>
                  <a:lumOff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Sheet2!$C$2:$C$9</c:f>
              <c:numCache>
                <c:formatCode>General</c:formatCode>
                <c:ptCount val="8"/>
                <c:pt idx="0">
                  <c:v>33.862048000000001</c:v>
                </c:pt>
                <c:pt idx="1">
                  <c:v>34.028165999999999</c:v>
                </c:pt>
                <c:pt idx="2">
                  <c:v>33.933495999999998</c:v>
                </c:pt>
                <c:pt idx="3">
                  <c:v>34.178483999999997</c:v>
                </c:pt>
                <c:pt idx="4">
                  <c:v>33.8748</c:v>
                </c:pt>
                <c:pt idx="5">
                  <c:v>33.997247999999999</c:v>
                </c:pt>
                <c:pt idx="6">
                  <c:v>28.178926000000001</c:v>
                </c:pt>
                <c:pt idx="7">
                  <c:v>18.733701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F66-4BAC-BA33-2DE40CB22AF0}"/>
            </c:ext>
          </c:extLst>
        </c:ser>
        <c:ser>
          <c:idx val="2"/>
          <c:order val="2"/>
          <c:tx>
            <c:strRef>
              <c:f>Sheet2!$D$1</c:f>
              <c:strCache>
                <c:ptCount val="1"/>
                <c:pt idx="0">
                  <c:v>23e, av0.4</c:v>
                </c:pt>
              </c:strCache>
            </c:strRef>
          </c:tx>
          <c:spPr>
            <a:ln w="22225" cap="rnd">
              <a:solidFill>
                <a:schemeClr val="accent2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Sheet2!$D$2:$D$9</c:f>
              <c:numCache>
                <c:formatCode>General</c:formatCode>
                <c:ptCount val="8"/>
                <c:pt idx="0">
                  <c:v>33.621023999999998</c:v>
                </c:pt>
                <c:pt idx="1">
                  <c:v>33.799587000000002</c:v>
                </c:pt>
                <c:pt idx="2">
                  <c:v>33.804749000000001</c:v>
                </c:pt>
                <c:pt idx="3">
                  <c:v>33.962018999999998</c:v>
                </c:pt>
                <c:pt idx="4">
                  <c:v>33.535893999999999</c:v>
                </c:pt>
                <c:pt idx="5">
                  <c:v>33.920377999999999</c:v>
                </c:pt>
                <c:pt idx="6">
                  <c:v>28.155192</c:v>
                </c:pt>
                <c:pt idx="7">
                  <c:v>18.700883999999999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F66-4BAC-BA33-2DE40CB22AF0}"/>
            </c:ext>
          </c:extLst>
        </c:ser>
        <c:ser>
          <c:idx val="3"/>
          <c:order val="3"/>
          <c:tx>
            <c:strRef>
              <c:f>Sheet2!$E$1</c:f>
              <c:strCache>
                <c:ptCount val="1"/>
                <c:pt idx="0">
                  <c:v>23e, av0.6</c:v>
                </c:pt>
              </c:strCache>
            </c:strRef>
          </c:tx>
          <c:spPr>
            <a:ln w="22225" cap="rnd">
              <a:solidFill>
                <a:schemeClr val="accent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Sheet2!$E$2:$E$9</c:f>
              <c:numCache>
                <c:formatCode>General</c:formatCode>
                <c:ptCount val="8"/>
                <c:pt idx="0">
                  <c:v>32.897052000000002</c:v>
                </c:pt>
                <c:pt idx="1">
                  <c:v>33.250767000000003</c:v>
                </c:pt>
                <c:pt idx="2">
                  <c:v>33.175528</c:v>
                </c:pt>
                <c:pt idx="3">
                  <c:v>33.549135</c:v>
                </c:pt>
                <c:pt idx="4">
                  <c:v>33.567525000000003</c:v>
                </c:pt>
                <c:pt idx="5">
                  <c:v>33.205258000000001</c:v>
                </c:pt>
                <c:pt idx="6">
                  <c:v>28.37885</c:v>
                </c:pt>
                <c:pt idx="7">
                  <c:v>18.64162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9F66-4BAC-BA33-2DE40CB22AF0}"/>
            </c:ext>
          </c:extLst>
        </c:ser>
        <c:ser>
          <c:idx val="4"/>
          <c:order val="4"/>
          <c:tx>
            <c:strRef>
              <c:f>Sheet2!$F$1</c:f>
              <c:strCache>
                <c:ptCount val="1"/>
                <c:pt idx="0">
                  <c:v>23e, av0.8</c:v>
                </c:pt>
              </c:strCache>
            </c:strRef>
          </c:tx>
          <c:spPr>
            <a:ln w="22225" cap="rnd">
              <a:solidFill>
                <a:schemeClr val="accent2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Sheet2!$F$2:$F$9</c:f>
              <c:numCache>
                <c:formatCode>General</c:formatCode>
                <c:ptCount val="8"/>
                <c:pt idx="0">
                  <c:v>32.228605000000002</c:v>
                </c:pt>
                <c:pt idx="1">
                  <c:v>32.483316000000002</c:v>
                </c:pt>
                <c:pt idx="2">
                  <c:v>32.381290999999997</c:v>
                </c:pt>
                <c:pt idx="3">
                  <c:v>32.473511999999999</c:v>
                </c:pt>
                <c:pt idx="4">
                  <c:v>32.189037999999996</c:v>
                </c:pt>
                <c:pt idx="5">
                  <c:v>32.523978</c:v>
                </c:pt>
                <c:pt idx="6">
                  <c:v>28.104151000000002</c:v>
                </c:pt>
                <c:pt idx="7">
                  <c:v>17.792646000000001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9F66-4BAC-BA33-2DE40CB22AF0}"/>
            </c:ext>
          </c:extLst>
        </c:ser>
        <c:ser>
          <c:idx val="5"/>
          <c:order val="5"/>
          <c:tx>
            <c:strRef>
              <c:f>Sheet2!$G$1</c:f>
              <c:strCache>
                <c:ptCount val="1"/>
                <c:pt idx="0">
                  <c:v>23n, av0.0</c:v>
                </c:pt>
              </c:strCache>
            </c:strRef>
          </c:tx>
          <c:spPr>
            <a:ln w="22225" cap="rnd">
              <a:solidFill>
                <a:schemeClr val="accent4">
                  <a:lumMod val="75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Sheet2!$G$2:$G$9</c:f>
              <c:numCache>
                <c:formatCode>General</c:formatCode>
                <c:ptCount val="8"/>
                <c:pt idx="0">
                  <c:v>38.525151000000001</c:v>
                </c:pt>
                <c:pt idx="1">
                  <c:v>16.130607000000001</c:v>
                </c:pt>
                <c:pt idx="2">
                  <c:v>14.369465</c:v>
                </c:pt>
                <c:pt idx="3">
                  <c:v>13.000033999999999</c:v>
                </c:pt>
                <c:pt idx="4">
                  <c:v>12.500904</c:v>
                </c:pt>
                <c:pt idx="5">
                  <c:v>12.332819000000001</c:v>
                </c:pt>
                <c:pt idx="6">
                  <c:v>12.402208</c:v>
                </c:pt>
                <c:pt idx="7">
                  <c:v>12.089679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9F66-4BAC-BA33-2DE40CB22AF0}"/>
            </c:ext>
          </c:extLst>
        </c:ser>
        <c:ser>
          <c:idx val="6"/>
          <c:order val="6"/>
          <c:tx>
            <c:strRef>
              <c:f>Sheet2!$H$1</c:f>
              <c:strCache>
                <c:ptCount val="1"/>
                <c:pt idx="0">
                  <c:v>23n, av0.2</c:v>
                </c:pt>
              </c:strCache>
            </c:strRef>
          </c:tx>
          <c:spPr>
            <a:ln w="22225" cap="rnd">
              <a:solidFill>
                <a:schemeClr val="accent4">
                  <a:lumMod val="40000"/>
                  <a:lumOff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Sheet2!$H$2:$H$9</c:f>
              <c:numCache>
                <c:formatCode>General</c:formatCode>
                <c:ptCount val="8"/>
                <c:pt idx="0">
                  <c:v>38.680965</c:v>
                </c:pt>
                <c:pt idx="1">
                  <c:v>16.168885</c:v>
                </c:pt>
                <c:pt idx="2">
                  <c:v>14.19598</c:v>
                </c:pt>
                <c:pt idx="3">
                  <c:v>12.943256</c:v>
                </c:pt>
                <c:pt idx="4">
                  <c:v>12.170468</c:v>
                </c:pt>
                <c:pt idx="5">
                  <c:v>12.112505000000001</c:v>
                </c:pt>
                <c:pt idx="6">
                  <c:v>12.245748000000001</c:v>
                </c:pt>
                <c:pt idx="7">
                  <c:v>11.695010999999999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9F66-4BAC-BA33-2DE40CB22AF0}"/>
            </c:ext>
          </c:extLst>
        </c:ser>
        <c:ser>
          <c:idx val="7"/>
          <c:order val="7"/>
          <c:tx>
            <c:strRef>
              <c:f>Sheet2!$I$1</c:f>
              <c:strCache>
                <c:ptCount val="1"/>
                <c:pt idx="0">
                  <c:v>23n av0.4</c:v>
                </c:pt>
              </c:strCache>
            </c:strRef>
          </c:tx>
          <c:spPr>
            <a:ln w="22225" cap="rnd">
              <a:solidFill>
                <a:schemeClr val="accent4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Sheet2!$I$2:$I$9</c:f>
              <c:numCache>
                <c:formatCode>General</c:formatCode>
                <c:ptCount val="8"/>
                <c:pt idx="0">
                  <c:v>38.413516999999999</c:v>
                </c:pt>
                <c:pt idx="1">
                  <c:v>15.792049</c:v>
                </c:pt>
                <c:pt idx="2">
                  <c:v>13.711605</c:v>
                </c:pt>
                <c:pt idx="3">
                  <c:v>13.090242</c:v>
                </c:pt>
                <c:pt idx="4">
                  <c:v>12.020372</c:v>
                </c:pt>
                <c:pt idx="5">
                  <c:v>12.2408</c:v>
                </c:pt>
                <c:pt idx="6">
                  <c:v>12.025987000000001</c:v>
                </c:pt>
                <c:pt idx="7">
                  <c:v>11.831227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9F66-4BAC-BA33-2DE40CB22AF0}"/>
            </c:ext>
          </c:extLst>
        </c:ser>
        <c:ser>
          <c:idx val="8"/>
          <c:order val="8"/>
          <c:tx>
            <c:strRef>
              <c:f>Sheet2!$J$1</c:f>
              <c:strCache>
                <c:ptCount val="1"/>
                <c:pt idx="0">
                  <c:v>23n, av0.6</c:v>
                </c:pt>
              </c:strCache>
            </c:strRef>
          </c:tx>
          <c:spPr>
            <a:ln w="22225" cap="rnd">
              <a:solidFill>
                <a:schemeClr val="accent4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Sheet2!$J$2:$J$9</c:f>
              <c:numCache>
                <c:formatCode>General</c:formatCode>
                <c:ptCount val="8"/>
                <c:pt idx="0">
                  <c:v>37.712240999999999</c:v>
                </c:pt>
                <c:pt idx="1">
                  <c:v>15.644511</c:v>
                </c:pt>
                <c:pt idx="2">
                  <c:v>13.345793</c:v>
                </c:pt>
                <c:pt idx="3">
                  <c:v>12.105383</c:v>
                </c:pt>
                <c:pt idx="4">
                  <c:v>11.487643</c:v>
                </c:pt>
                <c:pt idx="5">
                  <c:v>11.472587000000001</c:v>
                </c:pt>
                <c:pt idx="6">
                  <c:v>11.305598</c:v>
                </c:pt>
                <c:pt idx="7">
                  <c:v>11.122455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9F66-4BAC-BA33-2DE40CB22AF0}"/>
            </c:ext>
          </c:extLst>
        </c:ser>
        <c:ser>
          <c:idx val="9"/>
          <c:order val="9"/>
          <c:tx>
            <c:strRef>
              <c:f>Sheet2!$K$1</c:f>
              <c:strCache>
                <c:ptCount val="1"/>
                <c:pt idx="0">
                  <c:v>23n, av0.8</c:v>
                </c:pt>
              </c:strCache>
            </c:strRef>
          </c:tx>
          <c:spPr>
            <a:ln w="22225" cap="rnd">
              <a:solidFill>
                <a:schemeClr val="accent4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Sheet2!$K$2:$K$9</c:f>
              <c:numCache>
                <c:formatCode>General</c:formatCode>
                <c:ptCount val="8"/>
                <c:pt idx="0">
                  <c:v>37.110013000000002</c:v>
                </c:pt>
                <c:pt idx="1">
                  <c:v>14.514423000000001</c:v>
                </c:pt>
                <c:pt idx="2">
                  <c:v>12.437431</c:v>
                </c:pt>
                <c:pt idx="3">
                  <c:v>11.215885</c:v>
                </c:pt>
                <c:pt idx="4">
                  <c:v>10.505217999999999</c:v>
                </c:pt>
                <c:pt idx="5">
                  <c:v>10.577063000000001</c:v>
                </c:pt>
                <c:pt idx="6">
                  <c:v>10.723718</c:v>
                </c:pt>
                <c:pt idx="7">
                  <c:v>10.620106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9F66-4BAC-BA33-2DE40CB22AF0}"/>
            </c:ext>
          </c:extLst>
        </c:ser>
        <c:ser>
          <c:idx val="10"/>
          <c:order val="10"/>
          <c:tx>
            <c:strRef>
              <c:f>Sheet2!$L$1</c:f>
              <c:strCache>
                <c:ptCount val="1"/>
                <c:pt idx="0">
                  <c:v>24e, av0.0</c:v>
                </c:pt>
              </c:strCache>
            </c:strRef>
          </c:tx>
          <c:spPr>
            <a:ln w="22225" cap="rnd">
              <a:solidFill>
                <a:schemeClr val="accent6">
                  <a:lumMod val="75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Sheet2!$L$2:$L$9</c:f>
              <c:numCache>
                <c:formatCode>General</c:formatCode>
                <c:ptCount val="8"/>
                <c:pt idx="0">
                  <c:v>5.7505920000000001</c:v>
                </c:pt>
                <c:pt idx="1">
                  <c:v>5.8168550000000003</c:v>
                </c:pt>
                <c:pt idx="2">
                  <c:v>6.4105239999999997</c:v>
                </c:pt>
                <c:pt idx="3">
                  <c:v>6.7931309999999998</c:v>
                </c:pt>
                <c:pt idx="4">
                  <c:v>6.6601220000000003</c:v>
                </c:pt>
                <c:pt idx="5">
                  <c:v>6.8648769999999999</c:v>
                </c:pt>
                <c:pt idx="6">
                  <c:v>7.0572020000000002</c:v>
                </c:pt>
                <c:pt idx="7">
                  <c:v>6.9823839999999997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9F66-4BAC-BA33-2DE40CB22AF0}"/>
            </c:ext>
          </c:extLst>
        </c:ser>
        <c:ser>
          <c:idx val="11"/>
          <c:order val="11"/>
          <c:tx>
            <c:strRef>
              <c:f>Sheet2!$M$1</c:f>
              <c:strCache>
                <c:ptCount val="1"/>
                <c:pt idx="0">
                  <c:v>24e, av0.2</c:v>
                </c:pt>
              </c:strCache>
            </c:strRef>
          </c:tx>
          <c:spPr>
            <a:ln w="22225" cap="rnd">
              <a:solidFill>
                <a:schemeClr val="accent6">
                  <a:lumMod val="40000"/>
                  <a:lumOff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Sheet2!$M$2:$M$9</c:f>
              <c:numCache>
                <c:formatCode>General</c:formatCode>
                <c:ptCount val="8"/>
                <c:pt idx="0">
                  <c:v>5.6541969999999999</c:v>
                </c:pt>
                <c:pt idx="1">
                  <c:v>5.9381560000000002</c:v>
                </c:pt>
                <c:pt idx="2">
                  <c:v>6.2299189999999998</c:v>
                </c:pt>
                <c:pt idx="3">
                  <c:v>6.6377819999999996</c:v>
                </c:pt>
                <c:pt idx="4">
                  <c:v>6.8476720000000002</c:v>
                </c:pt>
                <c:pt idx="5">
                  <c:v>7.0032670000000001</c:v>
                </c:pt>
                <c:pt idx="6">
                  <c:v>6.820462</c:v>
                </c:pt>
                <c:pt idx="7">
                  <c:v>6.7702819999999999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9F66-4BAC-BA33-2DE40CB22AF0}"/>
            </c:ext>
          </c:extLst>
        </c:ser>
        <c:ser>
          <c:idx val="12"/>
          <c:order val="12"/>
          <c:tx>
            <c:strRef>
              <c:f>Sheet2!$N$1</c:f>
              <c:strCache>
                <c:ptCount val="1"/>
                <c:pt idx="0">
                  <c:v>24e, av0.4</c:v>
                </c:pt>
              </c:strCache>
            </c:strRef>
          </c:tx>
          <c:spPr>
            <a:ln w="2222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Sheet2!$N$2:$N$9</c:f>
              <c:numCache>
                <c:formatCode>General</c:formatCode>
                <c:ptCount val="8"/>
                <c:pt idx="0">
                  <c:v>5.558738</c:v>
                </c:pt>
                <c:pt idx="1">
                  <c:v>5.6124070000000001</c:v>
                </c:pt>
                <c:pt idx="2">
                  <c:v>5.9622489999999999</c:v>
                </c:pt>
                <c:pt idx="3">
                  <c:v>6.3825320000000003</c:v>
                </c:pt>
                <c:pt idx="4">
                  <c:v>6.8114020000000002</c:v>
                </c:pt>
                <c:pt idx="5">
                  <c:v>6.5323359999999999</c:v>
                </c:pt>
                <c:pt idx="6">
                  <c:v>6.5049570000000001</c:v>
                </c:pt>
                <c:pt idx="7">
                  <c:v>6.5299810000000003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C-9F66-4BAC-BA33-2DE40CB22AF0}"/>
            </c:ext>
          </c:extLst>
        </c:ser>
        <c:ser>
          <c:idx val="13"/>
          <c:order val="13"/>
          <c:tx>
            <c:strRef>
              <c:f>Sheet2!$O$1</c:f>
              <c:strCache>
                <c:ptCount val="1"/>
                <c:pt idx="0">
                  <c:v>24e, av0.6</c:v>
                </c:pt>
              </c:strCache>
            </c:strRef>
          </c:tx>
          <c:spPr>
            <a:ln w="22225" cap="rnd">
              <a:solidFill>
                <a:schemeClr val="accent6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Sheet2!$O$2:$O$9</c:f>
              <c:numCache>
                <c:formatCode>General</c:formatCode>
                <c:ptCount val="8"/>
                <c:pt idx="0">
                  <c:v>5.0228479999999998</c:v>
                </c:pt>
                <c:pt idx="1">
                  <c:v>5.1468489999999996</c:v>
                </c:pt>
                <c:pt idx="2">
                  <c:v>5.376735</c:v>
                </c:pt>
                <c:pt idx="3">
                  <c:v>5.9397159999999998</c:v>
                </c:pt>
                <c:pt idx="4">
                  <c:v>6.023002</c:v>
                </c:pt>
                <c:pt idx="5">
                  <c:v>6.0300849999999997</c:v>
                </c:pt>
                <c:pt idx="6">
                  <c:v>5.83026</c:v>
                </c:pt>
                <c:pt idx="7">
                  <c:v>5.8268620000000002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9F66-4BAC-BA33-2DE40CB22AF0}"/>
            </c:ext>
          </c:extLst>
        </c:ser>
        <c:ser>
          <c:idx val="14"/>
          <c:order val="14"/>
          <c:tx>
            <c:strRef>
              <c:f>Sheet2!$P$1</c:f>
              <c:strCache>
                <c:ptCount val="1"/>
                <c:pt idx="0">
                  <c:v>24e, av0.8</c:v>
                </c:pt>
              </c:strCache>
            </c:strRef>
          </c:tx>
          <c:spPr>
            <a:ln w="22225" cap="rnd">
              <a:solidFill>
                <a:schemeClr val="accent6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Sheet2!$P$2:$P$9</c:f>
              <c:numCache>
                <c:formatCode>General</c:formatCode>
                <c:ptCount val="8"/>
                <c:pt idx="0">
                  <c:v>4.2791790000000001</c:v>
                </c:pt>
                <c:pt idx="1">
                  <c:v>4.4204049999999997</c:v>
                </c:pt>
                <c:pt idx="2">
                  <c:v>4.6459390000000003</c:v>
                </c:pt>
                <c:pt idx="3">
                  <c:v>5.2214809999999998</c:v>
                </c:pt>
                <c:pt idx="4">
                  <c:v>5.4028109999999998</c:v>
                </c:pt>
                <c:pt idx="5">
                  <c:v>4.9583199999999996</c:v>
                </c:pt>
                <c:pt idx="6">
                  <c:v>5.1051890000000002</c:v>
                </c:pt>
                <c:pt idx="7">
                  <c:v>5.1843680000000001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E-9F66-4BAC-BA33-2DE40CB22AF0}"/>
            </c:ext>
          </c:extLst>
        </c:ser>
        <c:ser>
          <c:idx val="15"/>
          <c:order val="15"/>
          <c:tx>
            <c:strRef>
              <c:f>Sheet2!$Q$1</c:f>
              <c:strCache>
                <c:ptCount val="1"/>
                <c:pt idx="0">
                  <c:v>24n, av0.0</c:v>
                </c:pt>
              </c:strCache>
            </c:strRef>
          </c:tx>
          <c:spPr>
            <a:ln w="22225" cap="rnd">
              <a:solidFill>
                <a:schemeClr val="accent5">
                  <a:lumMod val="75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Sheet2!$Q$2:$Q$9</c:f>
              <c:numCache>
                <c:formatCode>General</c:formatCode>
                <c:ptCount val="8"/>
                <c:pt idx="0">
                  <c:v>5.757428</c:v>
                </c:pt>
                <c:pt idx="1">
                  <c:v>5.8566900000000004</c:v>
                </c:pt>
                <c:pt idx="2">
                  <c:v>6.4970509999999999</c:v>
                </c:pt>
                <c:pt idx="3">
                  <c:v>6.8233649999999999</c:v>
                </c:pt>
                <c:pt idx="4">
                  <c:v>7.3087520000000001</c:v>
                </c:pt>
                <c:pt idx="5">
                  <c:v>7.5150790000000001</c:v>
                </c:pt>
                <c:pt idx="6">
                  <c:v>7.7010889999999996</c:v>
                </c:pt>
                <c:pt idx="7">
                  <c:v>7.7396200000000004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F-9F66-4BAC-BA33-2DE40CB22AF0}"/>
            </c:ext>
          </c:extLst>
        </c:ser>
        <c:ser>
          <c:idx val="16"/>
          <c:order val="16"/>
          <c:tx>
            <c:strRef>
              <c:f>Sheet2!$R$1</c:f>
              <c:strCache>
                <c:ptCount val="1"/>
                <c:pt idx="0">
                  <c:v>24n, av0.2</c:v>
                </c:pt>
              </c:strCache>
            </c:strRef>
          </c:tx>
          <c:spPr>
            <a:ln w="22225" cap="rnd">
              <a:solidFill>
                <a:schemeClr val="accent5">
                  <a:lumMod val="40000"/>
                  <a:lumOff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Sheet2!$R$2:$R$9</c:f>
              <c:numCache>
                <c:formatCode>General</c:formatCode>
                <c:ptCount val="8"/>
                <c:pt idx="0">
                  <c:v>5.5859930000000002</c:v>
                </c:pt>
                <c:pt idx="1">
                  <c:v>5.9622469999999996</c:v>
                </c:pt>
                <c:pt idx="2">
                  <c:v>6.5523939999999996</c:v>
                </c:pt>
                <c:pt idx="3">
                  <c:v>7.0868419999999999</c:v>
                </c:pt>
                <c:pt idx="4">
                  <c:v>7.2645549999999997</c:v>
                </c:pt>
                <c:pt idx="5">
                  <c:v>7.5309520000000001</c:v>
                </c:pt>
                <c:pt idx="6">
                  <c:v>7.4161289999999997</c:v>
                </c:pt>
                <c:pt idx="7">
                  <c:v>7.8151330000000003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0-9F66-4BAC-BA33-2DE40CB22AF0}"/>
            </c:ext>
          </c:extLst>
        </c:ser>
        <c:ser>
          <c:idx val="17"/>
          <c:order val="17"/>
          <c:tx>
            <c:strRef>
              <c:f>Sheet2!$S$1</c:f>
              <c:strCache>
                <c:ptCount val="1"/>
                <c:pt idx="0">
                  <c:v>24n av0.4</c:v>
                </c:pt>
              </c:strCache>
            </c:strRef>
          </c:tx>
          <c:spPr>
            <a:ln w="22225" cap="rnd">
              <a:solidFill>
                <a:schemeClr val="accent5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Sheet2!$S$2:$S$9</c:f>
              <c:numCache>
                <c:formatCode>General</c:formatCode>
                <c:ptCount val="8"/>
                <c:pt idx="0">
                  <c:v>5.4470260000000001</c:v>
                </c:pt>
                <c:pt idx="1">
                  <c:v>5.7827549999999999</c:v>
                </c:pt>
                <c:pt idx="2">
                  <c:v>6.1943840000000003</c:v>
                </c:pt>
                <c:pt idx="3">
                  <c:v>6.5439299999999996</c:v>
                </c:pt>
                <c:pt idx="4">
                  <c:v>7.0272300000000003</c:v>
                </c:pt>
                <c:pt idx="5">
                  <c:v>7.0187759999999999</c:v>
                </c:pt>
                <c:pt idx="6">
                  <c:v>7.3712109999999997</c:v>
                </c:pt>
                <c:pt idx="7">
                  <c:v>7.4271469999999997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1-9F66-4BAC-BA33-2DE40CB22AF0}"/>
            </c:ext>
          </c:extLst>
        </c:ser>
        <c:ser>
          <c:idx val="18"/>
          <c:order val="18"/>
          <c:tx>
            <c:strRef>
              <c:f>Sheet2!$T$1</c:f>
              <c:strCache>
                <c:ptCount val="1"/>
                <c:pt idx="0">
                  <c:v>24n, av0.6</c:v>
                </c:pt>
              </c:strCache>
            </c:strRef>
          </c:tx>
          <c:spPr>
            <a:ln w="22225" cap="rnd">
              <a:solidFill>
                <a:schemeClr val="accent5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Sheet2!$T$2:$T$9</c:f>
              <c:numCache>
                <c:formatCode>General</c:formatCode>
                <c:ptCount val="8"/>
                <c:pt idx="0">
                  <c:v>4.978281</c:v>
                </c:pt>
                <c:pt idx="1">
                  <c:v>5.0913729999999999</c:v>
                </c:pt>
                <c:pt idx="2">
                  <c:v>5.6047909999999996</c:v>
                </c:pt>
                <c:pt idx="3">
                  <c:v>6.1327049999999996</c:v>
                </c:pt>
                <c:pt idx="4">
                  <c:v>6.306203</c:v>
                </c:pt>
                <c:pt idx="5">
                  <c:v>6.6007699999999998</c:v>
                </c:pt>
                <c:pt idx="6">
                  <c:v>6.9273490000000004</c:v>
                </c:pt>
                <c:pt idx="7">
                  <c:v>6.9896180000000001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2-9F66-4BAC-BA33-2DE40CB22AF0}"/>
            </c:ext>
          </c:extLst>
        </c:ser>
        <c:ser>
          <c:idx val="19"/>
          <c:order val="19"/>
          <c:tx>
            <c:strRef>
              <c:f>Sheet2!$U$1</c:f>
              <c:strCache>
                <c:ptCount val="1"/>
                <c:pt idx="0">
                  <c:v>24n, av0.8</c:v>
                </c:pt>
              </c:strCache>
            </c:strRef>
          </c:tx>
          <c:spPr>
            <a:ln w="22225" cap="rnd">
              <a:solidFill>
                <a:schemeClr val="accent5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Sheet2!$A$2:$A$9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0.6</c:v>
                </c:pt>
                <c:pt idx="7">
                  <c:v>0.7</c:v>
                </c:pt>
              </c:numCache>
            </c:numRef>
          </c:cat>
          <c:val>
            <c:numRef>
              <c:f>Sheet2!$U$2:$U$9</c:f>
              <c:numCache>
                <c:formatCode>General</c:formatCode>
                <c:ptCount val="8"/>
                <c:pt idx="0">
                  <c:v>4.4150150000000004</c:v>
                </c:pt>
                <c:pt idx="1">
                  <c:v>4.6306370000000001</c:v>
                </c:pt>
                <c:pt idx="2">
                  <c:v>4.9810660000000002</c:v>
                </c:pt>
                <c:pt idx="3">
                  <c:v>5.4547280000000002</c:v>
                </c:pt>
                <c:pt idx="4">
                  <c:v>5.7059480000000002</c:v>
                </c:pt>
                <c:pt idx="5">
                  <c:v>5.6421080000000003</c:v>
                </c:pt>
                <c:pt idx="6">
                  <c:v>5.976496</c:v>
                </c:pt>
                <c:pt idx="7">
                  <c:v>6.0018779999999996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3-9F66-4BAC-BA33-2DE40CB22A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05514256"/>
        <c:axId val="1005514648"/>
      </c:lineChart>
      <c:catAx>
        <c:axId val="10055142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altLang="ko-KR" sz="1000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Time variance </a:t>
                </a:r>
                <a:r>
                  <a:rPr lang="el-GR" altLang="ko-KR" sz="1000" b="0" i="0" u="none" strike="noStrike" baseline="0">
                    <a:effectLst/>
                  </a:rPr>
                  <a:t>τ</a:t>
                </a:r>
                <a:r>
                  <a:rPr lang="en-US" altLang="ko-KR" sz="1000" baseline="0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(/ symbol)</a:t>
                </a:r>
                <a:endParaRPr lang="ko-KR" altLang="en-US" sz="1000">
                  <a:solidFill>
                    <a:schemeClr val="tx1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ko-KR"/>
          </a:p>
        </c:txPr>
        <c:crossAx val="1005514648"/>
        <c:crosses val="autoZero"/>
        <c:auto val="1"/>
        <c:lblAlgn val="ctr"/>
        <c:lblOffset val="100"/>
        <c:noMultiLvlLbl val="0"/>
      </c:catAx>
      <c:valAx>
        <c:axId val="1005514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altLang="ko-KR" sz="1000">
                    <a:solidFill>
                      <a:schemeClr val="tx1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SINR (dB)</a:t>
                </a:r>
                <a:endParaRPr lang="ko-KR" altLang="en-US" sz="1000">
                  <a:solidFill>
                    <a:schemeClr val="tx1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4.8645274583538492E-3"/>
              <c:y val="0.3704950279659484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ko-KR"/>
          </a:p>
        </c:txPr>
        <c:crossAx val="10055142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82374230913361191"/>
          <c:y val="4.5856346106800512E-2"/>
          <c:w val="0.1616731865464541"/>
          <c:h val="0.9364333474909536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D9A82-E08B-477C-B83B-70B7385EB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36529</TotalTime>
  <Pages>5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Ki Hyeon Park</cp:lastModifiedBy>
  <cp:revision>138</cp:revision>
  <dcterms:created xsi:type="dcterms:W3CDTF">2016-04-01T07:01:00Z</dcterms:created>
  <dcterms:modified xsi:type="dcterms:W3CDTF">2019-08-16T12:22:00Z</dcterms:modified>
</cp:coreProperties>
</file>