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5B7584C9"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#9</w:t>
      </w:r>
      <w:r w:rsidR="00490EFA">
        <w:rPr>
          <w:rFonts w:cs="Arial"/>
          <w:noProof w:val="0"/>
          <w:sz w:val="28"/>
          <w:szCs w:val="28"/>
          <w:lang w:val="en-US"/>
        </w:rPr>
        <w:t>8</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7C5A7A">
        <w:rPr>
          <w:rFonts w:cs="Arial"/>
          <w:noProof w:val="0"/>
          <w:sz w:val="28"/>
          <w:szCs w:val="28"/>
          <w:lang w:val="en-US"/>
        </w:rPr>
        <w:t>9</w:t>
      </w:r>
      <w:r w:rsidR="008C6D1D" w:rsidRPr="008C6D1D">
        <w:rPr>
          <w:rFonts w:cs="Arial"/>
          <w:noProof w:val="0"/>
          <w:sz w:val="28"/>
          <w:szCs w:val="28"/>
          <w:lang w:val="en-US"/>
        </w:rPr>
        <w:t>09089</w:t>
      </w:r>
    </w:p>
    <w:p w14:paraId="7A7325BA" w14:textId="2A2E6EAF" w:rsidR="00A26C9B" w:rsidRPr="004266BD" w:rsidRDefault="00490EFA" w:rsidP="00A26C9B">
      <w:pPr>
        <w:pStyle w:val="a3"/>
        <w:rPr>
          <w:rFonts w:cs="Arial"/>
          <w:bCs/>
          <w:sz w:val="28"/>
          <w:lang w:val="en-US"/>
        </w:rPr>
      </w:pPr>
      <w:r>
        <w:rPr>
          <w:rFonts w:cs="Arial"/>
          <w:bCs/>
          <w:noProof w:val="0"/>
          <w:sz w:val="28"/>
        </w:rPr>
        <w:t>Prague</w:t>
      </w:r>
      <w:r w:rsidR="001D3AB4" w:rsidRPr="00263BA5">
        <w:rPr>
          <w:rFonts w:cs="Arial"/>
          <w:bCs/>
          <w:noProof w:val="0"/>
          <w:sz w:val="28"/>
        </w:rPr>
        <w:t xml:space="preserve">, </w:t>
      </w:r>
      <w:r w:rsidRPr="00A20D5F">
        <w:rPr>
          <w:rFonts w:cs="Arial"/>
          <w:noProof w:val="0"/>
          <w:sz w:val="28"/>
          <w:szCs w:val="28"/>
          <w:lang w:val="en-US"/>
        </w:rPr>
        <w:t>Czech Republic</w:t>
      </w:r>
      <w:r w:rsidR="001D3AB4" w:rsidRPr="00263BA5">
        <w:rPr>
          <w:rFonts w:cs="Arial"/>
          <w:bCs/>
          <w:noProof w:val="0"/>
          <w:sz w:val="28"/>
        </w:rPr>
        <w:t xml:space="preserve">, </w:t>
      </w:r>
      <w:r>
        <w:rPr>
          <w:rFonts w:cs="Arial" w:hint="eastAsia"/>
          <w:bCs/>
          <w:noProof w:val="0"/>
          <w:sz w:val="28"/>
        </w:rPr>
        <w:t>A</w:t>
      </w:r>
      <w:r>
        <w:rPr>
          <w:rFonts w:cs="Arial"/>
          <w:bCs/>
          <w:noProof w:val="0"/>
          <w:sz w:val="28"/>
        </w:rPr>
        <w:t>ugust</w:t>
      </w:r>
      <w:r w:rsidR="001D3AB4" w:rsidRPr="00263BA5">
        <w:rPr>
          <w:rFonts w:cs="Arial"/>
          <w:bCs/>
          <w:noProof w:val="0"/>
          <w:sz w:val="28"/>
        </w:rPr>
        <w:t xml:space="preserve"> </w:t>
      </w:r>
      <w:r>
        <w:rPr>
          <w:rFonts w:cs="Arial"/>
          <w:bCs/>
          <w:noProof w:val="0"/>
          <w:sz w:val="28"/>
        </w:rPr>
        <w:t>26</w:t>
      </w:r>
      <w:r w:rsidR="001D3AB4" w:rsidRPr="00263BA5">
        <w:rPr>
          <w:rFonts w:cs="Arial"/>
          <w:bCs/>
          <w:noProof w:val="0"/>
          <w:sz w:val="28"/>
          <w:vertAlign w:val="superscript"/>
        </w:rPr>
        <w:t>th</w:t>
      </w:r>
      <w:r w:rsidR="001D3AB4" w:rsidRPr="00263BA5">
        <w:rPr>
          <w:rFonts w:cs="Arial"/>
          <w:bCs/>
          <w:noProof w:val="0"/>
          <w:sz w:val="28"/>
        </w:rPr>
        <w:t xml:space="preserve"> – </w:t>
      </w:r>
      <w:r>
        <w:rPr>
          <w:rFonts w:cs="Arial"/>
          <w:bCs/>
          <w:noProof w:val="0"/>
          <w:sz w:val="28"/>
        </w:rPr>
        <w:t>30</w:t>
      </w:r>
      <w:r w:rsidR="001D3AB4" w:rsidRPr="00263BA5">
        <w:rPr>
          <w:rFonts w:cs="Arial"/>
          <w:bCs/>
          <w:noProof w:val="0"/>
          <w:sz w:val="28"/>
          <w:vertAlign w:val="superscript"/>
        </w:rPr>
        <w:t>th</w:t>
      </w:r>
      <w:r w:rsidR="001D3AB4" w:rsidRPr="00263BA5">
        <w:rPr>
          <w:rFonts w:cs="Arial"/>
          <w:bCs/>
          <w:noProof w:val="0"/>
          <w:sz w:val="28"/>
        </w:rPr>
        <w:t>, 2019</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539F3EAB"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662879">
        <w:rPr>
          <w:rFonts w:ascii="Arial" w:hAnsi="Arial" w:cs="Arial" w:hint="eastAsia"/>
          <w:b/>
          <w:sz w:val="28"/>
          <w:szCs w:val="28"/>
          <w:lang w:val="en-US"/>
        </w:rPr>
        <w:t>Initial access procedure for NR-U</w:t>
      </w:r>
    </w:p>
    <w:p w14:paraId="26DC8AEB" w14:textId="27A1E10B"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481D20">
        <w:rPr>
          <w:rFonts w:ascii="Arial" w:eastAsiaTheme="minorEastAsia" w:hAnsi="Arial" w:cs="Arial"/>
          <w:b/>
          <w:sz w:val="28"/>
          <w:szCs w:val="28"/>
          <w:lang w:val="pt-BR"/>
        </w:rPr>
        <w:t>7.</w:t>
      </w:r>
      <w:r w:rsidR="00662879" w:rsidRPr="00481D20">
        <w:rPr>
          <w:rFonts w:ascii="Arial" w:eastAsiaTheme="minorEastAsia" w:hAnsi="Arial" w:cs="Arial"/>
          <w:b/>
          <w:sz w:val="28"/>
          <w:szCs w:val="28"/>
          <w:lang w:val="pt-BR"/>
        </w:rPr>
        <w:t>2.2.2.2</w:t>
      </w:r>
      <w:bookmarkStart w:id="2" w:name="_GoBack"/>
      <w:bookmarkEnd w:id="2"/>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73F6048C" w:rsidR="00004B52" w:rsidRDefault="000F173B" w:rsidP="005544D4">
      <w:pPr>
        <w:pStyle w:val="10"/>
        <w:adjustRightInd w:val="0"/>
        <w:spacing w:before="100" w:beforeAutospacing="1" w:afterLines="0"/>
        <w:rPr>
          <w:lang w:val="en-US"/>
        </w:rPr>
      </w:pPr>
      <w:r>
        <w:rPr>
          <w:lang w:val="en-US"/>
        </w:rPr>
        <w:t>Background</w:t>
      </w:r>
    </w:p>
    <w:p w14:paraId="06534BFD" w14:textId="7F54BA89"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The following agreement</w:t>
      </w:r>
      <w:r w:rsidR="006A36DD">
        <w:rPr>
          <w:rFonts w:eastAsiaTheme="minorEastAsia" w:hint="eastAsia"/>
          <w:sz w:val="24"/>
          <w:szCs w:val="24"/>
          <w:lang w:eastAsia="ja-JP"/>
        </w:rPr>
        <w:t>s</w:t>
      </w:r>
      <w:r>
        <w:rPr>
          <w:rFonts w:eastAsiaTheme="minorEastAsia"/>
          <w:sz w:val="24"/>
          <w:szCs w:val="24"/>
          <w:lang w:eastAsia="ko-KR"/>
        </w:rPr>
        <w:t xml:space="preserve"> </w:t>
      </w:r>
      <w:r w:rsidR="006A36DD">
        <w:rPr>
          <w:rFonts w:eastAsiaTheme="minorEastAsia"/>
          <w:sz w:val="24"/>
          <w:szCs w:val="24"/>
          <w:lang w:eastAsia="ko-KR"/>
        </w:rPr>
        <w:t xml:space="preserve">were </w:t>
      </w:r>
      <w:r>
        <w:rPr>
          <w:rFonts w:eastAsiaTheme="minorEastAsia"/>
          <w:sz w:val="24"/>
          <w:szCs w:val="24"/>
          <w:lang w:eastAsia="ko-KR"/>
        </w:rPr>
        <w:t>achieved at RAN1#</w:t>
      </w:r>
      <w:r w:rsidR="00A50CB2">
        <w:rPr>
          <w:rFonts w:eastAsiaTheme="minorEastAsia"/>
          <w:sz w:val="24"/>
          <w:szCs w:val="24"/>
          <w:lang w:eastAsia="ko-KR"/>
        </w:rPr>
        <w:t xml:space="preserve">97 </w:t>
      </w:r>
      <w:r>
        <w:rPr>
          <w:rFonts w:eastAsiaTheme="minorEastAsia"/>
          <w:sz w:val="24"/>
          <w:szCs w:val="24"/>
          <w:lang w:eastAsia="ko-KR"/>
        </w:rPr>
        <w:t>meeting [1].</w:t>
      </w:r>
    </w:p>
    <w:tbl>
      <w:tblPr>
        <w:tblStyle w:val="af0"/>
        <w:tblW w:w="0" w:type="auto"/>
        <w:tblLook w:val="04A0" w:firstRow="1" w:lastRow="0" w:firstColumn="1" w:lastColumn="0" w:noHBand="0" w:noVBand="1"/>
      </w:tblPr>
      <w:tblGrid>
        <w:gridCol w:w="9631"/>
      </w:tblGrid>
      <w:tr w:rsidR="00662879" w14:paraId="2DD4B5DB" w14:textId="77777777" w:rsidTr="004C3099">
        <w:tc>
          <w:tcPr>
            <w:tcW w:w="9631" w:type="dxa"/>
          </w:tcPr>
          <w:p w14:paraId="760C924E" w14:textId="77777777" w:rsidR="00A50CB2" w:rsidRDefault="00A50CB2" w:rsidP="00A50CB2">
            <w:pPr>
              <w:snapToGrid/>
              <w:spacing w:after="0" w:afterAutospacing="0"/>
            </w:pPr>
            <w:r w:rsidRPr="00E758C5">
              <w:rPr>
                <w:highlight w:val="green"/>
              </w:rPr>
              <w:t>Agreement:</w:t>
            </w:r>
          </w:p>
          <w:p w14:paraId="5B55BC09" w14:textId="77777777" w:rsidR="00A50CB2" w:rsidRPr="002E53BC" w:rsidRDefault="00A50CB2" w:rsidP="00A50CB2">
            <w:pPr>
              <w:snapToGrid/>
              <w:spacing w:after="0" w:afterAutospacing="0"/>
              <w:rPr>
                <w:b/>
                <w:u w:val="single"/>
                <w:lang w:val="en-US"/>
              </w:rPr>
            </w:pPr>
            <w:r w:rsidRPr="002E53BC">
              <w:rPr>
                <w:lang w:val="en-US"/>
              </w:rPr>
              <w:t xml:space="preserve">The mechanism to determine serving cell timing is </w:t>
            </w:r>
            <w:r>
              <w:rPr>
                <w:lang w:val="en-US"/>
              </w:rPr>
              <w:t>as follows</w:t>
            </w:r>
            <w:r w:rsidRPr="002E53BC">
              <w:rPr>
                <w:lang w:val="en-US"/>
              </w:rPr>
              <w:t xml:space="preserve">: </w:t>
            </w:r>
          </w:p>
          <w:p w14:paraId="031B8F4C" w14:textId="77777777" w:rsidR="00A50CB2" w:rsidRPr="002E53BC" w:rsidRDefault="00A50CB2" w:rsidP="00A50CB2">
            <w:pPr>
              <w:numPr>
                <w:ilvl w:val="0"/>
                <w:numId w:val="29"/>
              </w:numPr>
              <w:snapToGrid/>
              <w:spacing w:after="0" w:afterAutospacing="0"/>
              <w:jc w:val="left"/>
              <w:rPr>
                <w:b/>
                <w:u w:val="single"/>
                <w:lang w:val="en-US"/>
              </w:rPr>
            </w:pPr>
            <w:r w:rsidRPr="002E53BC">
              <w:rPr>
                <w:lang w:val="en-US"/>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53550AE9" w14:textId="77777777" w:rsidR="00A50CB2" w:rsidRPr="002E53BC" w:rsidRDefault="00A50CB2" w:rsidP="00A50CB2">
            <w:pPr>
              <w:numPr>
                <w:ilvl w:val="0"/>
                <w:numId w:val="29"/>
              </w:numPr>
              <w:snapToGrid/>
              <w:spacing w:after="0" w:afterAutospacing="0"/>
              <w:jc w:val="left"/>
              <w:rPr>
                <w:b/>
                <w:u w:val="single"/>
                <w:lang w:val="en-US"/>
              </w:rPr>
            </w:pPr>
            <w:r w:rsidRPr="002E53BC">
              <w:rPr>
                <w:lang w:val="en-US"/>
              </w:rPr>
              <w:t xml:space="preserve">10-bits SFN and half-frame indicator are indicated as in Rel-15 </w:t>
            </w:r>
          </w:p>
          <w:p w14:paraId="00905E3F" w14:textId="77777777" w:rsidR="00A50CB2" w:rsidRPr="002E53BC" w:rsidRDefault="00A50CB2" w:rsidP="00A50CB2">
            <w:pPr>
              <w:numPr>
                <w:ilvl w:val="0"/>
                <w:numId w:val="29"/>
              </w:numPr>
              <w:snapToGrid/>
              <w:spacing w:after="0" w:afterAutospacing="0"/>
              <w:jc w:val="left"/>
              <w:rPr>
                <w:lang w:val="en-US"/>
              </w:rPr>
            </w:pPr>
            <w:r w:rsidRPr="002E53BC">
              <w:rPr>
                <w:lang w:val="en-US"/>
              </w:rPr>
              <w:t>PBCH payload size is not increased compared to Rel-15</w:t>
            </w:r>
          </w:p>
          <w:p w14:paraId="3D7C59F3" w14:textId="77777777" w:rsidR="00A50CB2" w:rsidRPr="002E53BC" w:rsidRDefault="00A50CB2" w:rsidP="00A50CB2">
            <w:pPr>
              <w:numPr>
                <w:ilvl w:val="1"/>
                <w:numId w:val="29"/>
              </w:numPr>
              <w:snapToGrid/>
              <w:spacing w:after="0" w:afterAutospacing="0"/>
              <w:jc w:val="left"/>
              <w:rPr>
                <w:b/>
                <w:u w:val="single"/>
                <w:lang w:val="en-US"/>
              </w:rPr>
            </w:pPr>
            <w:r w:rsidRPr="002E53BC">
              <w:rPr>
                <w:lang w:val="en-US"/>
              </w:rPr>
              <w:t>FFS: Whether reuse of other available bits in PBCH payload is also required for timing determination</w:t>
            </w:r>
          </w:p>
          <w:p w14:paraId="6693888E" w14:textId="77777777" w:rsidR="00A50CB2" w:rsidRPr="00FE78D0" w:rsidRDefault="00A50CB2" w:rsidP="00A50CB2">
            <w:pPr>
              <w:numPr>
                <w:ilvl w:val="0"/>
                <w:numId w:val="29"/>
              </w:numPr>
              <w:snapToGrid/>
              <w:spacing w:after="0" w:afterAutospacing="0"/>
              <w:jc w:val="left"/>
              <w:rPr>
                <w:b/>
                <w:u w:val="single"/>
                <w:lang w:val="en-US"/>
              </w:rPr>
            </w:pPr>
            <w:r>
              <w:rPr>
                <w:lang w:val="en-US"/>
              </w:rPr>
              <w:t xml:space="preserve">If the UE is required to perform PBCH decoding of neighbor cell(s) (e.g., in asynchronous deployments), an explicit time allowance for </w:t>
            </w:r>
            <w:r w:rsidRPr="002E53BC">
              <w:rPr>
                <w:lang w:val="en-US"/>
              </w:rPr>
              <w:t>acquisition of SSB index</w:t>
            </w:r>
            <w:r>
              <w:rPr>
                <w:lang w:val="en-US"/>
              </w:rPr>
              <w:t xml:space="preserve"> is provided to the UE</w:t>
            </w:r>
          </w:p>
          <w:p w14:paraId="6B92CEA2" w14:textId="5EAFB2E9" w:rsidR="001D3AB4" w:rsidRDefault="001D3AB4" w:rsidP="00A50CB2">
            <w:pPr>
              <w:snapToGrid/>
              <w:spacing w:after="0" w:afterAutospacing="0"/>
              <w:jc w:val="left"/>
              <w:rPr>
                <w:rFonts w:ascii="Times" w:eastAsia="Batang" w:hAnsi="Times"/>
                <w:sz w:val="20"/>
                <w:szCs w:val="24"/>
                <w:lang w:val="en-US" w:eastAsia="x-none"/>
              </w:rPr>
            </w:pPr>
          </w:p>
          <w:p w14:paraId="1AA9BA67" w14:textId="77777777" w:rsidR="00A50CB2" w:rsidRDefault="00A50CB2" w:rsidP="00A50CB2">
            <w:pPr>
              <w:snapToGrid/>
              <w:spacing w:after="0" w:afterAutospacing="0"/>
              <w:rPr>
                <w:lang w:val="en-US"/>
              </w:rPr>
            </w:pPr>
            <w:r w:rsidRPr="00BF13D8">
              <w:rPr>
                <w:highlight w:val="green"/>
                <w:lang w:val="en-US"/>
              </w:rPr>
              <w:t>Agreement:</w:t>
            </w:r>
          </w:p>
          <w:p w14:paraId="7C60D064" w14:textId="77777777" w:rsidR="00A50CB2" w:rsidRDefault="00A50CB2" w:rsidP="00A50CB2">
            <w:pPr>
              <w:snapToGrid/>
              <w:spacing w:after="0" w:afterAutospacing="0"/>
              <w:rPr>
                <w:lang w:val="en-US"/>
              </w:rPr>
            </w:pPr>
            <w:r>
              <w:rPr>
                <w:lang w:val="en-US"/>
              </w:rPr>
              <w:t>LBT category for msg 3 initial transmission is provided to the UE in RAR</w:t>
            </w:r>
          </w:p>
          <w:p w14:paraId="466B3CD9" w14:textId="77777777" w:rsidR="00A50CB2" w:rsidRDefault="00A50CB2" w:rsidP="00A50CB2">
            <w:pPr>
              <w:snapToGrid/>
              <w:spacing w:after="0" w:afterAutospacing="0"/>
              <w:rPr>
                <w:highlight w:val="green"/>
              </w:rPr>
            </w:pPr>
          </w:p>
          <w:p w14:paraId="72EF4372" w14:textId="4081962E" w:rsidR="00A50CB2" w:rsidRDefault="00A50CB2" w:rsidP="00A50CB2">
            <w:pPr>
              <w:snapToGrid/>
              <w:spacing w:after="0" w:afterAutospacing="0"/>
            </w:pPr>
            <w:r w:rsidRPr="005019C6">
              <w:rPr>
                <w:highlight w:val="green"/>
              </w:rPr>
              <w:t>Agreement:</w:t>
            </w:r>
          </w:p>
          <w:p w14:paraId="5FFB729C" w14:textId="77777777" w:rsidR="00A50CB2" w:rsidRPr="00C7545E" w:rsidRDefault="00A50CB2" w:rsidP="00A50CB2">
            <w:pPr>
              <w:pStyle w:val="aff5"/>
              <w:snapToGrid/>
              <w:spacing w:after="0" w:afterAutospacing="0"/>
              <w:ind w:leftChars="0" w:left="0"/>
              <w:rPr>
                <w:rFonts w:eastAsia="ＭＳ 明朝"/>
              </w:rPr>
            </w:pPr>
            <w:r>
              <w:t xml:space="preserve">For a serving cell, </w:t>
            </w:r>
            <w:r w:rsidRPr="00EB3222">
              <w:t xml:space="preserve">UE may assume a QCL relation between SS/PBCH blocks which are detected across DRS transmission windows and have the same value of </w:t>
            </w:r>
            <w:proofErr w:type="gramStart"/>
            <w:r w:rsidRPr="00EB3222">
              <w:t>modulo(</w:t>
            </w:r>
            <w:proofErr w:type="gramEnd"/>
            <w:r>
              <w:t>A, Q</w:t>
            </w:r>
            <w:r w:rsidRPr="00EB3222">
              <w:t>)</w:t>
            </w:r>
            <w:r>
              <w:t>, once Q is known to the UE</w:t>
            </w:r>
          </w:p>
          <w:p w14:paraId="4C68B0CC" w14:textId="77777777" w:rsidR="00A50CB2" w:rsidRPr="004901B0" w:rsidRDefault="00A50CB2" w:rsidP="00A50CB2">
            <w:pPr>
              <w:pStyle w:val="aff5"/>
              <w:numPr>
                <w:ilvl w:val="0"/>
                <w:numId w:val="30"/>
              </w:numPr>
              <w:snapToGrid/>
              <w:spacing w:after="0" w:afterAutospacing="0"/>
              <w:ind w:leftChars="0"/>
              <w:jc w:val="left"/>
              <w:rPr>
                <w:rFonts w:eastAsia="ＭＳ 明朝"/>
              </w:rPr>
            </w:pPr>
            <w:r>
              <w:t>FFS: A is the SSB candidate position index and/or PBCH DMRS sequence index</w:t>
            </w:r>
          </w:p>
          <w:p w14:paraId="6753720D" w14:textId="77777777" w:rsidR="00A50CB2" w:rsidRPr="004901B0" w:rsidRDefault="00A50CB2" w:rsidP="00A50CB2">
            <w:pPr>
              <w:pStyle w:val="aff5"/>
              <w:numPr>
                <w:ilvl w:val="0"/>
                <w:numId w:val="30"/>
              </w:numPr>
              <w:snapToGrid/>
              <w:spacing w:after="0" w:afterAutospacing="0"/>
              <w:ind w:leftChars="0"/>
              <w:jc w:val="left"/>
              <w:rPr>
                <w:rFonts w:eastAsia="ＭＳ 明朝"/>
              </w:rPr>
            </w:pPr>
            <w:r w:rsidRPr="004901B0">
              <w:rPr>
                <w:rFonts w:eastAsia="ＭＳ 明朝"/>
              </w:rPr>
              <w:t xml:space="preserve">FFS: </w:t>
            </w:r>
            <w:r>
              <w:rPr>
                <w:rFonts w:eastAsia="ＭＳ 明朝"/>
              </w:rPr>
              <w:t xml:space="preserve">How </w:t>
            </w:r>
            <w:r w:rsidRPr="004901B0">
              <w:rPr>
                <w:rFonts w:eastAsia="ＭＳ 明朝"/>
              </w:rPr>
              <w:t>Q is indicated</w:t>
            </w:r>
            <w:r>
              <w:rPr>
                <w:rFonts w:eastAsia="ＭＳ 明朝"/>
              </w:rPr>
              <w:t xml:space="preserve"> or determined </w:t>
            </w:r>
          </w:p>
          <w:p w14:paraId="074B44CD" w14:textId="77777777" w:rsidR="00A50CB2" w:rsidRPr="00AA5C0C" w:rsidRDefault="00A50CB2" w:rsidP="00A50CB2">
            <w:pPr>
              <w:pStyle w:val="aff5"/>
              <w:numPr>
                <w:ilvl w:val="0"/>
                <w:numId w:val="30"/>
              </w:numPr>
              <w:snapToGrid/>
              <w:spacing w:after="0" w:afterAutospacing="0"/>
              <w:ind w:leftChars="0"/>
              <w:jc w:val="left"/>
              <w:rPr>
                <w:rFonts w:eastAsia="ＭＳ 明朝"/>
              </w:rPr>
            </w:pPr>
            <w:r w:rsidRPr="004901B0">
              <w:t xml:space="preserve">FFS: Restriction on the range of </w:t>
            </w:r>
            <w:r>
              <w:t>Q.</w:t>
            </w:r>
          </w:p>
          <w:p w14:paraId="6D9B2B69" w14:textId="77777777" w:rsidR="00A50CB2" w:rsidRPr="00AA5C0C" w:rsidRDefault="00A50CB2" w:rsidP="00A50CB2">
            <w:pPr>
              <w:pStyle w:val="aff5"/>
              <w:snapToGrid/>
              <w:spacing w:after="0" w:afterAutospacing="0"/>
              <w:ind w:leftChars="0" w:left="0"/>
              <w:rPr>
                <w:rFonts w:eastAsia="ＭＳ 明朝"/>
              </w:rPr>
            </w:pPr>
            <w:r>
              <w:t xml:space="preserve">Note: </w:t>
            </w:r>
            <w:proofErr w:type="spellStart"/>
            <w:r>
              <w:t>Neighbor</w:t>
            </w:r>
            <w:proofErr w:type="spellEnd"/>
            <w:r>
              <w:t xml:space="preserve"> cell RRM measurements will be addressed separately</w:t>
            </w:r>
          </w:p>
          <w:p w14:paraId="74DD4B29" w14:textId="77777777" w:rsidR="00A50CB2" w:rsidRDefault="00A50CB2" w:rsidP="00A50CB2">
            <w:pPr>
              <w:snapToGrid/>
              <w:spacing w:after="0" w:afterAutospacing="0"/>
            </w:pPr>
          </w:p>
          <w:p w14:paraId="68995303" w14:textId="77777777" w:rsidR="00A50CB2" w:rsidRPr="00731B92" w:rsidRDefault="00A50CB2" w:rsidP="00A50CB2">
            <w:pPr>
              <w:snapToGrid/>
              <w:spacing w:after="0" w:afterAutospacing="0"/>
              <w:rPr>
                <w:szCs w:val="24"/>
              </w:rPr>
            </w:pPr>
            <w:r w:rsidRPr="00731B92">
              <w:rPr>
                <w:szCs w:val="24"/>
                <w:highlight w:val="green"/>
              </w:rPr>
              <w:lastRenderedPageBreak/>
              <w:t>Agreement:</w:t>
            </w:r>
          </w:p>
          <w:p w14:paraId="5D128250" w14:textId="77777777" w:rsidR="00A50CB2" w:rsidRPr="00731B92" w:rsidRDefault="00A50CB2" w:rsidP="00A50CB2">
            <w:pPr>
              <w:adjustRightInd w:val="0"/>
              <w:snapToGrid/>
              <w:spacing w:after="0" w:afterAutospacing="0"/>
              <w:rPr>
                <w:szCs w:val="24"/>
              </w:rPr>
            </w:pPr>
            <w:r w:rsidRPr="00731B92">
              <w:rPr>
                <w:szCs w:val="24"/>
              </w:rPr>
              <w:t>For SSB-based RLM, UE may assume the RLM measurement window to be the same as the DRS transmission window.</w:t>
            </w:r>
          </w:p>
          <w:p w14:paraId="2A1E2A4E" w14:textId="77777777" w:rsidR="00A50CB2" w:rsidRPr="00731B92" w:rsidRDefault="00A50CB2" w:rsidP="00A50CB2">
            <w:pPr>
              <w:numPr>
                <w:ilvl w:val="0"/>
                <w:numId w:val="31"/>
              </w:numPr>
              <w:adjustRightInd w:val="0"/>
              <w:snapToGrid/>
              <w:spacing w:after="0" w:afterAutospacing="0"/>
              <w:rPr>
                <w:szCs w:val="24"/>
              </w:rPr>
            </w:pPr>
            <w:r w:rsidRPr="00731B92">
              <w:rPr>
                <w:szCs w:val="24"/>
              </w:rPr>
              <w:t xml:space="preserve">Note: This implies that the SSB-based RLM-RS cannot fall outside the measurement window </w:t>
            </w:r>
          </w:p>
          <w:p w14:paraId="6249B3BF" w14:textId="77777777" w:rsidR="00A50CB2" w:rsidRPr="00731B92" w:rsidRDefault="00A50CB2" w:rsidP="00A50CB2">
            <w:pPr>
              <w:numPr>
                <w:ilvl w:val="0"/>
                <w:numId w:val="31"/>
              </w:numPr>
              <w:adjustRightInd w:val="0"/>
              <w:snapToGrid/>
              <w:spacing w:after="0" w:afterAutospacing="0"/>
              <w:rPr>
                <w:szCs w:val="24"/>
              </w:rPr>
            </w:pPr>
            <w:r w:rsidRPr="00731B92">
              <w:rPr>
                <w:szCs w:val="24"/>
              </w:rPr>
              <w:t>FFS: Whether and how DRS transmission window is configured to the UE</w:t>
            </w:r>
          </w:p>
          <w:p w14:paraId="32B2C968" w14:textId="77777777" w:rsidR="00662879" w:rsidRPr="00731B92" w:rsidRDefault="00662879" w:rsidP="001D3AB4">
            <w:pPr>
              <w:snapToGrid/>
              <w:spacing w:after="0" w:afterAutospacing="0"/>
              <w:jc w:val="left"/>
              <w:rPr>
                <w:rFonts w:eastAsia="Batang"/>
                <w:szCs w:val="24"/>
                <w:lang w:eastAsia="x-none"/>
              </w:rPr>
            </w:pPr>
          </w:p>
          <w:p w14:paraId="1D547B8B" w14:textId="77777777" w:rsidR="00731B92" w:rsidRPr="00731B92" w:rsidRDefault="00731B92" w:rsidP="00731B92">
            <w:pPr>
              <w:snapToGrid/>
              <w:spacing w:after="0" w:afterAutospacing="0"/>
              <w:jc w:val="left"/>
              <w:rPr>
                <w:rFonts w:eastAsia="Batang"/>
                <w:szCs w:val="24"/>
                <w:u w:val="single"/>
                <w:lang w:eastAsia="en-US"/>
              </w:rPr>
            </w:pPr>
            <w:r w:rsidRPr="00731B92">
              <w:rPr>
                <w:rFonts w:eastAsia="Batang"/>
                <w:szCs w:val="24"/>
                <w:u w:val="single"/>
                <w:lang w:eastAsia="en-US"/>
              </w:rPr>
              <w:t>Conclusion:</w:t>
            </w:r>
          </w:p>
          <w:p w14:paraId="4D1451F2" w14:textId="77777777" w:rsidR="00731B92" w:rsidRPr="00731B92" w:rsidRDefault="00731B92" w:rsidP="00731B92">
            <w:pPr>
              <w:snapToGrid/>
              <w:spacing w:after="0" w:afterAutospacing="0"/>
              <w:jc w:val="left"/>
              <w:rPr>
                <w:rFonts w:eastAsia="Batang"/>
                <w:szCs w:val="24"/>
                <w:lang w:eastAsia="en-US"/>
              </w:rPr>
            </w:pPr>
            <w:r w:rsidRPr="00731B92">
              <w:rPr>
                <w:rFonts w:eastAsia="Batang"/>
                <w:szCs w:val="24"/>
                <w:lang w:eastAsia="en-US"/>
              </w:rP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4CD1F5EF" w14:textId="0FE56051" w:rsidR="00731B92" w:rsidRPr="001D3AB4" w:rsidRDefault="00731B92" w:rsidP="001D3AB4">
            <w:pPr>
              <w:snapToGrid/>
              <w:spacing w:after="0" w:afterAutospacing="0"/>
              <w:jc w:val="left"/>
              <w:rPr>
                <w:rFonts w:ascii="Times" w:eastAsia="Batang" w:hAnsi="Times"/>
                <w:sz w:val="20"/>
                <w:szCs w:val="24"/>
                <w:lang w:eastAsia="x-none"/>
              </w:rPr>
            </w:pPr>
          </w:p>
        </w:tc>
      </w:tr>
    </w:tbl>
    <w:p w14:paraId="2338B9EE" w14:textId="7A474C27" w:rsidR="000E7F6F" w:rsidRDefault="000E7F6F" w:rsidP="000E7F6F"/>
    <w:p w14:paraId="1E114E28" w14:textId="11D02B70" w:rsidR="0092520A" w:rsidRDefault="00A50CB2" w:rsidP="00B67AEF">
      <w:pPr>
        <w:jc w:val="left"/>
        <w:rPr>
          <w:szCs w:val="24"/>
          <w:lang w:val="en-US"/>
        </w:rPr>
      </w:pPr>
      <w:r>
        <w:rPr>
          <w:szCs w:val="24"/>
          <w:lang w:val="en-US"/>
        </w:rPr>
        <w:t>Remaining details for initial access procedure are discussed.</w:t>
      </w:r>
    </w:p>
    <w:p w14:paraId="52EBAE40" w14:textId="653C322E" w:rsidR="003D799D" w:rsidRDefault="003D799D" w:rsidP="00A50CB2">
      <w:pPr>
        <w:pStyle w:val="10"/>
        <w:spacing w:after="180"/>
        <w:rPr>
          <w:lang w:val="en-US"/>
        </w:rPr>
      </w:pPr>
      <w:r>
        <w:rPr>
          <w:rFonts w:hint="eastAsia"/>
          <w:lang w:val="en-US"/>
        </w:rPr>
        <w:t>S</w:t>
      </w:r>
      <w:r>
        <w:rPr>
          <w:lang w:val="en-US"/>
        </w:rPr>
        <w:t>SB related procedure</w:t>
      </w:r>
    </w:p>
    <w:p w14:paraId="7C33582C" w14:textId="3DBE91C9" w:rsidR="005661AE" w:rsidRPr="008D5452" w:rsidRDefault="00A50CB2" w:rsidP="003D799D">
      <w:pPr>
        <w:pStyle w:val="20"/>
        <w:spacing w:after="180"/>
        <w:rPr>
          <w:lang w:val="en-US"/>
        </w:rPr>
      </w:pPr>
      <w:r>
        <w:rPr>
          <w:lang w:val="en-US"/>
        </w:rPr>
        <w:t>Remaining details for serving cell timing de</w:t>
      </w:r>
      <w:r w:rsidR="00347DEF">
        <w:rPr>
          <w:lang w:val="en-US"/>
        </w:rPr>
        <w:t>termination</w:t>
      </w:r>
    </w:p>
    <w:p w14:paraId="2B230332" w14:textId="00F75B80" w:rsidR="00EA7BBB" w:rsidRPr="00347DEF" w:rsidRDefault="00347DEF" w:rsidP="009B0580">
      <w:pPr>
        <w:jc w:val="left"/>
        <w:rPr>
          <w:szCs w:val="24"/>
          <w:lang w:val="en-US"/>
        </w:rPr>
      </w:pPr>
      <w:r>
        <w:rPr>
          <w:szCs w:val="24"/>
          <w:lang w:val="en-US"/>
        </w:rPr>
        <w:t>As agreed at RAN1#</w:t>
      </w:r>
      <w:r w:rsidR="00C141E6">
        <w:rPr>
          <w:szCs w:val="24"/>
          <w:lang w:val="en-US"/>
        </w:rPr>
        <w:t>9</w:t>
      </w:r>
      <w:r>
        <w:rPr>
          <w:szCs w:val="24"/>
          <w:lang w:val="en-US"/>
        </w:rPr>
        <w:t>7 meeting, serving cell timing is determined by the SS/PBCH block position index within a DRS transmission window and 1 bit for 15 kHz, or 2 bits for 30 kHz in the PBCH payload. One remaining detail is on which code point the “1 bit” or “2 bits” are mapped in the PBCH payload.</w:t>
      </w:r>
      <w:r w:rsidR="00024CAD">
        <w:rPr>
          <w:szCs w:val="24"/>
          <w:lang w:val="en-US"/>
        </w:rPr>
        <w:t xml:space="preserve"> In Rel-15 NR specification [2], a sequence for the timing related PBCH payload bits are defined as </w:t>
      </w:r>
      <w:r w:rsidR="00024CAD" w:rsidRPr="002625EB">
        <w:rPr>
          <w:position w:val="-12"/>
        </w:rPr>
        <w:object w:dxaOrig="2500" w:dyaOrig="360" w14:anchorId="0DF09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21.75pt" o:ole="">
            <v:imagedata r:id="rId8" o:title=""/>
          </v:shape>
          <o:OLEObject Type="Embed" ProgID="Equation.3" ShapeID="_x0000_i1025" DrawAspect="Content" ObjectID="_1627480807" r:id="rId9"/>
        </w:object>
      </w:r>
      <w:r w:rsidR="00024CAD">
        <w:t xml:space="preserve">. The </w:t>
      </w:r>
      <w:r w:rsidR="00024CAD" w:rsidRPr="002E53BC">
        <w:rPr>
          <w:lang w:val="en-US"/>
        </w:rPr>
        <w:t>3 available bits</w:t>
      </w:r>
      <w:r w:rsidR="00024CAD">
        <w:rPr>
          <w:lang w:val="en-US"/>
        </w:rPr>
        <w:t xml:space="preserve"> </w:t>
      </w:r>
      <w:r w:rsidR="00024CAD" w:rsidRPr="002625EB">
        <w:rPr>
          <w:position w:val="-12"/>
        </w:rPr>
        <w:object w:dxaOrig="1460" w:dyaOrig="360" w14:anchorId="7804DE80">
          <v:shape id="_x0000_i1026" type="#_x0000_t75" style="width:1in;height:21.75pt" o:ole="">
            <v:imagedata r:id="rId10" o:title=""/>
          </v:shape>
          <o:OLEObject Type="Embed" ProgID="Equation.3" ShapeID="_x0000_i1026" DrawAspect="Content" ObjectID="_1627480808" r:id="rId11"/>
        </w:object>
      </w:r>
      <w:r w:rsidR="00024CAD" w:rsidRPr="002625EB">
        <w:rPr>
          <w:rFonts w:hint="eastAsia"/>
          <w:lang w:eastAsia="zh-CN"/>
        </w:rPr>
        <w:t xml:space="preserve"> </w:t>
      </w:r>
      <w:r w:rsidR="00024CAD" w:rsidRPr="002E53BC">
        <w:rPr>
          <w:lang w:val="en-US"/>
        </w:rPr>
        <w:t>in the PBCH payload</w:t>
      </w:r>
      <w:r w:rsidR="00024CAD">
        <w:rPr>
          <w:lang w:val="en-US"/>
        </w:rPr>
        <w:t xml:space="preserve"> for </w:t>
      </w:r>
      <w:r w:rsidR="006A36DD">
        <w:rPr>
          <w:lang w:val="en-US"/>
        </w:rPr>
        <w:t xml:space="preserve">FR1 </w:t>
      </w:r>
      <w:r w:rsidR="00024CAD">
        <w:rPr>
          <w:lang w:val="en-US"/>
        </w:rPr>
        <w:t xml:space="preserve">is comprised of </w:t>
      </w:r>
      <w:r w:rsidR="00024CAD" w:rsidRPr="002625EB">
        <w:rPr>
          <w:position w:val="-14"/>
        </w:rPr>
        <w:object w:dxaOrig="480" w:dyaOrig="380" w14:anchorId="1BADA2B4">
          <v:shape id="_x0000_i1027" type="#_x0000_t75" style="width:21.75pt;height:21.75pt" o:ole="">
            <v:imagedata r:id="rId12" o:title=""/>
          </v:shape>
          <o:OLEObject Type="Embed" ProgID="Equation.3" ShapeID="_x0000_i1027" DrawAspect="Content" ObjectID="_1627480809" r:id="rId13"/>
        </w:object>
      </w:r>
      <w:r w:rsidR="00024CAD">
        <w:t xml:space="preserve"> as the MSB of subcarrier offset </w:t>
      </w:r>
      <w:proofErr w:type="spellStart"/>
      <w:r w:rsidR="00024CAD">
        <w:t>k</w:t>
      </w:r>
      <w:r w:rsidR="00024CAD" w:rsidRPr="00024CAD">
        <w:rPr>
          <w:vertAlign w:val="subscript"/>
        </w:rPr>
        <w:t>SSB</w:t>
      </w:r>
      <w:proofErr w:type="spellEnd"/>
      <w:r w:rsidR="00024CAD">
        <w:t xml:space="preserve">, and </w:t>
      </w:r>
      <w:r w:rsidR="00024CAD">
        <w:rPr>
          <w:lang w:val="en-US"/>
        </w:rPr>
        <w:t xml:space="preserve">2 reserved bits </w:t>
      </w:r>
      <w:r w:rsidR="00024CAD" w:rsidRPr="002625EB">
        <w:rPr>
          <w:position w:val="-14"/>
        </w:rPr>
        <w:object w:dxaOrig="999" w:dyaOrig="380" w14:anchorId="054E8A35">
          <v:shape id="_x0000_i1028" type="#_x0000_t75" style="width:50.25pt;height:21.75pt" o:ole="">
            <v:imagedata r:id="rId14" o:title=""/>
          </v:shape>
          <o:OLEObject Type="Embed" ProgID="Equation.3" ShapeID="_x0000_i1028" DrawAspect="Content" ObjectID="_1627480810" r:id="rId15"/>
        </w:object>
      </w:r>
      <w:r w:rsidR="00024CAD">
        <w:t xml:space="preserve">. A straight forward way is to map </w:t>
      </w:r>
      <w:r w:rsidR="00024CAD">
        <w:rPr>
          <w:szCs w:val="24"/>
          <w:lang w:val="en-US"/>
        </w:rPr>
        <w:t xml:space="preserve">“1 bit” or “2 bits” to the </w:t>
      </w:r>
      <w:r w:rsidR="00024CAD">
        <w:rPr>
          <w:lang w:val="en-US"/>
        </w:rPr>
        <w:t xml:space="preserve">2 reserved bits </w:t>
      </w:r>
      <w:r w:rsidR="00024CAD" w:rsidRPr="002625EB">
        <w:rPr>
          <w:position w:val="-14"/>
        </w:rPr>
        <w:object w:dxaOrig="999" w:dyaOrig="380" w14:anchorId="3F3CE05A">
          <v:shape id="_x0000_i1029" type="#_x0000_t75" style="width:50.25pt;height:21.75pt" o:ole="">
            <v:imagedata r:id="rId14" o:title=""/>
          </v:shape>
          <o:OLEObject Type="Embed" ProgID="Equation.3" ShapeID="_x0000_i1029" DrawAspect="Content" ObjectID="_1627480811" r:id="rId16"/>
        </w:object>
      </w:r>
      <w:r w:rsidR="00024CAD">
        <w:t xml:space="preserve"> since we haven’t agreed yet that the MSB of subcarrier offset </w:t>
      </w:r>
      <w:proofErr w:type="spellStart"/>
      <w:r w:rsidR="00024CAD">
        <w:t>k</w:t>
      </w:r>
      <w:r w:rsidR="00024CAD" w:rsidRPr="00024CAD">
        <w:rPr>
          <w:vertAlign w:val="subscript"/>
        </w:rPr>
        <w:t>SSB</w:t>
      </w:r>
      <w:proofErr w:type="spellEnd"/>
      <w:r w:rsidR="00024CAD">
        <w:t xml:space="preserve"> is not necessary for NR-U.</w:t>
      </w:r>
    </w:p>
    <w:p w14:paraId="04B170D3" w14:textId="799D33FB" w:rsidR="00A50CB2" w:rsidRPr="00024CAD" w:rsidRDefault="00024CAD" w:rsidP="009B0580">
      <w:pPr>
        <w:jc w:val="left"/>
        <w:rPr>
          <w:b/>
          <w:szCs w:val="24"/>
          <w:lang w:val="en-US"/>
        </w:rPr>
      </w:pPr>
      <w:r>
        <w:rPr>
          <w:b/>
          <w:szCs w:val="24"/>
          <w:lang w:val="en-US"/>
        </w:rPr>
        <w:t xml:space="preserve">Proposal 1: </w:t>
      </w:r>
      <w:r w:rsidRPr="00024CAD">
        <w:rPr>
          <w:b/>
        </w:rPr>
        <w:t xml:space="preserve">To map </w:t>
      </w:r>
      <w:r w:rsidRPr="00024CAD">
        <w:rPr>
          <w:b/>
          <w:szCs w:val="24"/>
          <w:lang w:val="en-US"/>
        </w:rPr>
        <w:t xml:space="preserve">“1 bit” or “2 bits” to the </w:t>
      </w:r>
      <w:r w:rsidRPr="00024CAD">
        <w:rPr>
          <w:b/>
          <w:lang w:val="en-US"/>
        </w:rPr>
        <w:t xml:space="preserve">2 reserved bits </w:t>
      </w:r>
      <w:r w:rsidRPr="00024CAD">
        <w:rPr>
          <w:b/>
          <w:position w:val="-14"/>
        </w:rPr>
        <w:object w:dxaOrig="999" w:dyaOrig="380" w14:anchorId="16B1EA0F">
          <v:shape id="_x0000_i1030" type="#_x0000_t75" style="width:50.25pt;height:21.75pt" o:ole="">
            <v:imagedata r:id="rId14" o:title=""/>
          </v:shape>
          <o:OLEObject Type="Embed" ProgID="Equation.3" ShapeID="_x0000_i1030" DrawAspect="Content" ObjectID="_1627480812" r:id="rId17"/>
        </w:object>
      </w:r>
      <w:r>
        <w:rPr>
          <w:b/>
        </w:rPr>
        <w:t xml:space="preserve"> in the PBCH payload.</w:t>
      </w:r>
    </w:p>
    <w:p w14:paraId="44B9A531" w14:textId="5916E273" w:rsidR="003D799D" w:rsidRPr="008D5452" w:rsidRDefault="003D799D" w:rsidP="003D799D">
      <w:pPr>
        <w:pStyle w:val="20"/>
        <w:spacing w:after="180"/>
        <w:rPr>
          <w:lang w:val="en-US"/>
        </w:rPr>
      </w:pPr>
      <w:r>
        <w:rPr>
          <w:lang w:val="en-US"/>
        </w:rPr>
        <w:t>Remaining details for QCL relation determination</w:t>
      </w:r>
    </w:p>
    <w:p w14:paraId="4A983D58" w14:textId="2C7DE0DE" w:rsidR="00A50CB2" w:rsidRDefault="003B1E97" w:rsidP="009B0580">
      <w:pPr>
        <w:jc w:val="left"/>
        <w:rPr>
          <w:szCs w:val="24"/>
          <w:lang w:val="en-US"/>
        </w:rPr>
      </w:pPr>
      <w:r>
        <w:rPr>
          <w:szCs w:val="24"/>
          <w:lang w:val="en-US"/>
        </w:rPr>
        <w:t xml:space="preserve">Remaining issues on QCL relation determination are 1) What is A, and 2) how Q is determined in the equation </w:t>
      </w:r>
      <w:r w:rsidR="006C337C">
        <w:rPr>
          <w:szCs w:val="24"/>
          <w:lang w:val="en-US"/>
        </w:rPr>
        <w:t xml:space="preserve">q = </w:t>
      </w:r>
      <w:proofErr w:type="gramStart"/>
      <w:r>
        <w:rPr>
          <w:szCs w:val="24"/>
          <w:lang w:val="en-US"/>
        </w:rPr>
        <w:t>mod(</w:t>
      </w:r>
      <w:proofErr w:type="gramEnd"/>
      <w:r>
        <w:rPr>
          <w:szCs w:val="24"/>
          <w:lang w:val="en-US"/>
        </w:rPr>
        <w:t>A, Q).</w:t>
      </w:r>
      <w:r w:rsidR="00CD798B">
        <w:rPr>
          <w:szCs w:val="24"/>
          <w:lang w:val="en-US"/>
        </w:rPr>
        <w:t xml:space="preserve"> In the agreement, it’s FFS that </w:t>
      </w:r>
      <w:r w:rsidR="006A36DD">
        <w:rPr>
          <w:szCs w:val="24"/>
          <w:lang w:val="en-US"/>
        </w:rPr>
        <w:t xml:space="preserve">the </w:t>
      </w:r>
      <w:r w:rsidR="00CD798B">
        <w:rPr>
          <w:szCs w:val="24"/>
          <w:lang w:val="en-US"/>
        </w:rPr>
        <w:t xml:space="preserve">A is the SSB candidate position index or PBCH DMRS sequence index. As </w:t>
      </w:r>
      <w:proofErr w:type="gramStart"/>
      <w:r w:rsidR="00CD798B">
        <w:rPr>
          <w:szCs w:val="24"/>
          <w:lang w:val="en-US"/>
        </w:rPr>
        <w:t>discussed</w:t>
      </w:r>
      <w:proofErr w:type="gramEnd"/>
      <w:r w:rsidR="00CD798B">
        <w:rPr>
          <w:szCs w:val="24"/>
          <w:lang w:val="en-US"/>
        </w:rPr>
        <w:t xml:space="preserve"> many times, if QCL relation determination is by the PBCH DMRS sequence index, the UE is not required to decode the PBCH for asynchronous neighbor cell measurement. </w:t>
      </w:r>
      <w:r w:rsidR="000B32DC">
        <w:rPr>
          <w:szCs w:val="24"/>
          <w:lang w:val="en-US"/>
        </w:rPr>
        <w:t>Thus, we slightly prefer to have A as PBCH DMRS sequence index.</w:t>
      </w:r>
    </w:p>
    <w:p w14:paraId="74175814" w14:textId="52F35FAB" w:rsidR="00CD798B" w:rsidRPr="000B32DC" w:rsidRDefault="000B32DC" w:rsidP="009B0580">
      <w:pPr>
        <w:jc w:val="left"/>
        <w:rPr>
          <w:b/>
          <w:szCs w:val="24"/>
          <w:lang w:val="en-US"/>
        </w:rPr>
      </w:pPr>
      <w:r w:rsidRPr="000B32DC">
        <w:rPr>
          <w:rFonts w:hint="eastAsia"/>
          <w:b/>
          <w:szCs w:val="24"/>
          <w:lang w:val="en-US"/>
        </w:rPr>
        <w:t>P</w:t>
      </w:r>
      <w:r w:rsidRPr="000B32DC">
        <w:rPr>
          <w:b/>
          <w:szCs w:val="24"/>
          <w:lang w:val="en-US"/>
        </w:rPr>
        <w:t xml:space="preserve">roposal 2: A </w:t>
      </w:r>
      <w:r w:rsidR="00227310">
        <w:rPr>
          <w:b/>
          <w:szCs w:val="24"/>
          <w:lang w:val="en-US"/>
        </w:rPr>
        <w:t>is</w:t>
      </w:r>
      <w:r w:rsidRPr="000B32DC">
        <w:rPr>
          <w:b/>
          <w:szCs w:val="24"/>
          <w:lang w:val="en-US"/>
        </w:rPr>
        <w:t xml:space="preserve"> PBCH DMRS sequence index.</w:t>
      </w:r>
    </w:p>
    <w:p w14:paraId="3D8430B8" w14:textId="54139107" w:rsidR="00212E69" w:rsidRDefault="00F4292B" w:rsidP="009B0580">
      <w:pPr>
        <w:jc w:val="left"/>
        <w:rPr>
          <w:szCs w:val="24"/>
          <w:lang w:val="en-US"/>
        </w:rPr>
      </w:pPr>
      <w:r>
        <w:rPr>
          <w:szCs w:val="24"/>
          <w:lang w:val="en-US"/>
        </w:rPr>
        <w:lastRenderedPageBreak/>
        <w:t xml:space="preserve">On the range of Q, </w:t>
      </w:r>
      <w:r w:rsidR="006A36DD">
        <w:rPr>
          <w:szCs w:val="24"/>
          <w:lang w:val="en-US"/>
        </w:rPr>
        <w:t xml:space="preserve">two sets of candidate values </w:t>
      </w:r>
      <w:r>
        <w:rPr>
          <w:szCs w:val="24"/>
          <w:lang w:val="en-US"/>
        </w:rPr>
        <w:t xml:space="preserve">{1,2,4,8} and {1,2,3,4,5,6,7,8} are discussed. </w:t>
      </w:r>
      <w:r w:rsidR="00183A9C">
        <w:rPr>
          <w:szCs w:val="24"/>
          <w:lang w:val="en-US"/>
        </w:rPr>
        <w:t xml:space="preserve">Table 1 shows an example for relation between DMRS index and QCL index with Q=3. </w:t>
      </w:r>
      <w:r w:rsidR="00B24DD5">
        <w:rPr>
          <w:szCs w:val="24"/>
          <w:lang w:val="en-US"/>
        </w:rPr>
        <w:t xml:space="preserve">In this example, the </w:t>
      </w:r>
      <w:proofErr w:type="spellStart"/>
      <w:r w:rsidR="00B24DD5">
        <w:rPr>
          <w:szCs w:val="24"/>
          <w:lang w:val="en-US"/>
        </w:rPr>
        <w:t>gNB</w:t>
      </w:r>
      <w:proofErr w:type="spellEnd"/>
      <w:r w:rsidR="00B24DD5">
        <w:rPr>
          <w:szCs w:val="24"/>
          <w:lang w:val="en-US"/>
        </w:rPr>
        <w:t xml:space="preserve"> can transmit SS/PBCH block with QCL index 0 in 8 positions. On the other hand, the </w:t>
      </w:r>
      <w:proofErr w:type="spellStart"/>
      <w:r w:rsidR="00B24DD5">
        <w:rPr>
          <w:szCs w:val="24"/>
          <w:lang w:val="en-US"/>
        </w:rPr>
        <w:t>gNB</w:t>
      </w:r>
      <w:proofErr w:type="spellEnd"/>
      <w:r w:rsidR="00B24DD5">
        <w:rPr>
          <w:szCs w:val="24"/>
          <w:lang w:val="en-US"/>
        </w:rPr>
        <w:t xml:space="preserve"> can transmit SS/PBCH block with QCL index 2 in 5 positions. This occurs when Q is not a divisor of 8</w:t>
      </w:r>
      <w:r w:rsidR="007E3015">
        <w:rPr>
          <w:szCs w:val="24"/>
          <w:lang w:val="en-US"/>
        </w:rPr>
        <w:t xml:space="preserve"> (i.e. number of DMRS sequences)</w:t>
      </w:r>
      <w:r w:rsidR="00B24DD5">
        <w:rPr>
          <w:szCs w:val="24"/>
          <w:lang w:val="en-US"/>
        </w:rPr>
        <w:t>.</w:t>
      </w:r>
      <w:r w:rsidR="004C3099">
        <w:rPr>
          <w:szCs w:val="24"/>
          <w:lang w:val="en-US"/>
        </w:rPr>
        <w:t xml:space="preserve"> </w:t>
      </w:r>
      <w:r w:rsidR="00586B6B">
        <w:rPr>
          <w:szCs w:val="24"/>
          <w:lang w:val="en-US"/>
        </w:rPr>
        <w:t>This kind of unfairness may cause unpredicted restriction on the deployment. Further, if the range is restricted to a divisor of 8, number of information bits can be reduced.</w:t>
      </w:r>
    </w:p>
    <w:p w14:paraId="092D7D4D" w14:textId="5B874DBE" w:rsidR="00586B6B" w:rsidRPr="00586B6B" w:rsidRDefault="00586B6B" w:rsidP="009B0580">
      <w:pPr>
        <w:jc w:val="left"/>
        <w:rPr>
          <w:b/>
          <w:szCs w:val="24"/>
          <w:lang w:val="en-US"/>
        </w:rPr>
      </w:pPr>
      <w:r w:rsidRPr="00586B6B">
        <w:rPr>
          <w:rFonts w:hint="eastAsia"/>
          <w:b/>
          <w:szCs w:val="24"/>
          <w:lang w:val="en-US"/>
        </w:rPr>
        <w:t>P</w:t>
      </w:r>
      <w:r w:rsidRPr="00586B6B">
        <w:rPr>
          <w:b/>
          <w:szCs w:val="24"/>
          <w:lang w:val="en-US"/>
        </w:rPr>
        <w:t xml:space="preserve">roposal </w:t>
      </w:r>
      <w:r w:rsidR="00A03F4C">
        <w:rPr>
          <w:b/>
          <w:szCs w:val="24"/>
          <w:lang w:val="en-US"/>
        </w:rPr>
        <w:t>3</w:t>
      </w:r>
      <w:r w:rsidRPr="00586B6B">
        <w:rPr>
          <w:b/>
          <w:szCs w:val="24"/>
          <w:lang w:val="en-US"/>
        </w:rPr>
        <w:t>: 1,2,4,8 can be configured for Q.</w:t>
      </w:r>
    </w:p>
    <w:p w14:paraId="7CDAC54D" w14:textId="78C3D205" w:rsidR="007E3015" w:rsidRPr="007E3015" w:rsidRDefault="007E3015" w:rsidP="00CF51EE">
      <w:pPr>
        <w:jc w:val="center"/>
        <w:rPr>
          <w:szCs w:val="24"/>
          <w:lang w:val="en-US"/>
        </w:rPr>
      </w:pPr>
      <w:r>
        <w:rPr>
          <w:szCs w:val="24"/>
          <w:lang w:val="en-US"/>
        </w:rPr>
        <w:t>Table 1: An example for relation between DMRS index and QCL index with Q=3</w:t>
      </w:r>
    </w:p>
    <w:tbl>
      <w:tblPr>
        <w:tblW w:w="10220" w:type="dxa"/>
        <w:tblCellMar>
          <w:left w:w="99" w:type="dxa"/>
          <w:right w:w="99" w:type="dxa"/>
        </w:tblCellMar>
        <w:tblLook w:val="04A0" w:firstRow="1" w:lastRow="0" w:firstColumn="1" w:lastColumn="0" w:noHBand="0" w:noVBand="1"/>
      </w:tblPr>
      <w:tblGrid>
        <w:gridCol w:w="1820"/>
        <w:gridCol w:w="420"/>
        <w:gridCol w:w="420"/>
        <w:gridCol w:w="420"/>
        <w:gridCol w:w="420"/>
        <w:gridCol w:w="420"/>
        <w:gridCol w:w="420"/>
        <w:gridCol w:w="420"/>
        <w:gridCol w:w="420"/>
        <w:gridCol w:w="420"/>
        <w:gridCol w:w="420"/>
        <w:gridCol w:w="443"/>
        <w:gridCol w:w="443"/>
        <w:gridCol w:w="443"/>
        <w:gridCol w:w="443"/>
        <w:gridCol w:w="443"/>
        <w:gridCol w:w="443"/>
        <w:gridCol w:w="443"/>
        <w:gridCol w:w="443"/>
        <w:gridCol w:w="443"/>
        <w:gridCol w:w="443"/>
      </w:tblGrid>
      <w:tr w:rsidR="00183A9C" w:rsidRPr="00183A9C" w14:paraId="3CD615C4" w14:textId="77777777" w:rsidTr="00183A9C">
        <w:trPr>
          <w:trHeight w:val="375"/>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F2BFD"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timing index</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66C76B4A"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0</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0B6BE2AF"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44E3FD29"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2</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7973E076"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3</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6D771583"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4</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0C812C2B"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5</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52881E8C"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6</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4B08D227"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7</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2C72EE39"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8</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5029C232"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9</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6D0BC88F"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10</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781A1254"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11</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1B3E0E70"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12</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36BCA426"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13</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7DF207E3"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14</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4925979C"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15</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42361729"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16</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3023516B"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17</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55F74153"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18</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14:paraId="0991E3A0"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19</w:t>
            </w:r>
          </w:p>
        </w:tc>
      </w:tr>
      <w:tr w:rsidR="00183A9C" w:rsidRPr="00183A9C" w14:paraId="265742BE" w14:textId="77777777" w:rsidTr="00183A9C">
        <w:trPr>
          <w:trHeight w:val="375"/>
        </w:trPr>
        <w:tc>
          <w:tcPr>
            <w:tcW w:w="1820" w:type="dxa"/>
            <w:tcBorders>
              <w:top w:val="nil"/>
              <w:left w:val="single" w:sz="4" w:space="0" w:color="auto"/>
              <w:bottom w:val="single" w:sz="4" w:space="0" w:color="auto"/>
              <w:right w:val="single" w:sz="4" w:space="0" w:color="auto"/>
            </w:tcBorders>
            <w:shd w:val="clear" w:color="auto" w:fill="auto"/>
            <w:noWrap/>
            <w:vAlign w:val="center"/>
            <w:hideMark/>
          </w:tcPr>
          <w:p w14:paraId="7C0DD338"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DMRS index</w:t>
            </w:r>
          </w:p>
        </w:tc>
        <w:tc>
          <w:tcPr>
            <w:tcW w:w="420" w:type="dxa"/>
            <w:tcBorders>
              <w:top w:val="nil"/>
              <w:left w:val="nil"/>
              <w:bottom w:val="single" w:sz="4" w:space="0" w:color="auto"/>
              <w:right w:val="single" w:sz="4" w:space="0" w:color="auto"/>
            </w:tcBorders>
            <w:shd w:val="clear" w:color="auto" w:fill="auto"/>
            <w:noWrap/>
            <w:vAlign w:val="center"/>
            <w:hideMark/>
          </w:tcPr>
          <w:p w14:paraId="396D1570"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0</w:t>
            </w:r>
          </w:p>
        </w:tc>
        <w:tc>
          <w:tcPr>
            <w:tcW w:w="420" w:type="dxa"/>
            <w:tcBorders>
              <w:top w:val="nil"/>
              <w:left w:val="nil"/>
              <w:bottom w:val="single" w:sz="4" w:space="0" w:color="auto"/>
              <w:right w:val="single" w:sz="4" w:space="0" w:color="auto"/>
            </w:tcBorders>
            <w:shd w:val="clear" w:color="auto" w:fill="auto"/>
            <w:noWrap/>
            <w:vAlign w:val="center"/>
            <w:hideMark/>
          </w:tcPr>
          <w:p w14:paraId="28DC3A89"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w:t>
            </w:r>
          </w:p>
        </w:tc>
        <w:tc>
          <w:tcPr>
            <w:tcW w:w="420" w:type="dxa"/>
            <w:tcBorders>
              <w:top w:val="nil"/>
              <w:left w:val="nil"/>
              <w:bottom w:val="single" w:sz="4" w:space="0" w:color="auto"/>
              <w:right w:val="single" w:sz="4" w:space="0" w:color="auto"/>
            </w:tcBorders>
            <w:shd w:val="clear" w:color="auto" w:fill="auto"/>
            <w:noWrap/>
            <w:vAlign w:val="center"/>
            <w:hideMark/>
          </w:tcPr>
          <w:p w14:paraId="23BE733C"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2</w:t>
            </w:r>
          </w:p>
        </w:tc>
        <w:tc>
          <w:tcPr>
            <w:tcW w:w="420" w:type="dxa"/>
            <w:tcBorders>
              <w:top w:val="nil"/>
              <w:left w:val="nil"/>
              <w:bottom w:val="single" w:sz="4" w:space="0" w:color="auto"/>
              <w:right w:val="single" w:sz="4" w:space="0" w:color="auto"/>
            </w:tcBorders>
            <w:shd w:val="clear" w:color="auto" w:fill="auto"/>
            <w:noWrap/>
            <w:vAlign w:val="center"/>
            <w:hideMark/>
          </w:tcPr>
          <w:p w14:paraId="5C5799FD"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3</w:t>
            </w:r>
          </w:p>
        </w:tc>
        <w:tc>
          <w:tcPr>
            <w:tcW w:w="420" w:type="dxa"/>
            <w:tcBorders>
              <w:top w:val="nil"/>
              <w:left w:val="nil"/>
              <w:bottom w:val="single" w:sz="4" w:space="0" w:color="auto"/>
              <w:right w:val="single" w:sz="4" w:space="0" w:color="auto"/>
            </w:tcBorders>
            <w:shd w:val="clear" w:color="auto" w:fill="auto"/>
            <w:noWrap/>
            <w:vAlign w:val="center"/>
            <w:hideMark/>
          </w:tcPr>
          <w:p w14:paraId="27BB6CE8"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4</w:t>
            </w:r>
          </w:p>
        </w:tc>
        <w:tc>
          <w:tcPr>
            <w:tcW w:w="420" w:type="dxa"/>
            <w:tcBorders>
              <w:top w:val="nil"/>
              <w:left w:val="nil"/>
              <w:bottom w:val="single" w:sz="4" w:space="0" w:color="auto"/>
              <w:right w:val="single" w:sz="4" w:space="0" w:color="auto"/>
            </w:tcBorders>
            <w:shd w:val="clear" w:color="auto" w:fill="auto"/>
            <w:noWrap/>
            <w:vAlign w:val="center"/>
            <w:hideMark/>
          </w:tcPr>
          <w:p w14:paraId="5C4DCCA2"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5</w:t>
            </w:r>
          </w:p>
        </w:tc>
        <w:tc>
          <w:tcPr>
            <w:tcW w:w="420" w:type="dxa"/>
            <w:tcBorders>
              <w:top w:val="nil"/>
              <w:left w:val="nil"/>
              <w:bottom w:val="single" w:sz="4" w:space="0" w:color="auto"/>
              <w:right w:val="single" w:sz="4" w:space="0" w:color="auto"/>
            </w:tcBorders>
            <w:shd w:val="clear" w:color="auto" w:fill="auto"/>
            <w:noWrap/>
            <w:vAlign w:val="center"/>
            <w:hideMark/>
          </w:tcPr>
          <w:p w14:paraId="2FB04037"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6</w:t>
            </w:r>
          </w:p>
        </w:tc>
        <w:tc>
          <w:tcPr>
            <w:tcW w:w="420" w:type="dxa"/>
            <w:tcBorders>
              <w:top w:val="nil"/>
              <w:left w:val="nil"/>
              <w:bottom w:val="single" w:sz="4" w:space="0" w:color="auto"/>
              <w:right w:val="single" w:sz="4" w:space="0" w:color="auto"/>
            </w:tcBorders>
            <w:shd w:val="clear" w:color="auto" w:fill="auto"/>
            <w:noWrap/>
            <w:vAlign w:val="center"/>
            <w:hideMark/>
          </w:tcPr>
          <w:p w14:paraId="179C3DE6"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7</w:t>
            </w:r>
          </w:p>
        </w:tc>
        <w:tc>
          <w:tcPr>
            <w:tcW w:w="420" w:type="dxa"/>
            <w:tcBorders>
              <w:top w:val="nil"/>
              <w:left w:val="nil"/>
              <w:bottom w:val="single" w:sz="4" w:space="0" w:color="auto"/>
              <w:right w:val="single" w:sz="4" w:space="0" w:color="auto"/>
            </w:tcBorders>
            <w:shd w:val="clear" w:color="auto" w:fill="auto"/>
            <w:noWrap/>
            <w:vAlign w:val="center"/>
            <w:hideMark/>
          </w:tcPr>
          <w:p w14:paraId="5FFF51B5"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0</w:t>
            </w:r>
          </w:p>
        </w:tc>
        <w:tc>
          <w:tcPr>
            <w:tcW w:w="420" w:type="dxa"/>
            <w:tcBorders>
              <w:top w:val="nil"/>
              <w:left w:val="nil"/>
              <w:bottom w:val="single" w:sz="4" w:space="0" w:color="auto"/>
              <w:right w:val="single" w:sz="4" w:space="0" w:color="auto"/>
            </w:tcBorders>
            <w:shd w:val="clear" w:color="auto" w:fill="auto"/>
            <w:noWrap/>
            <w:vAlign w:val="center"/>
            <w:hideMark/>
          </w:tcPr>
          <w:p w14:paraId="60EE6C96"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w:t>
            </w:r>
          </w:p>
        </w:tc>
        <w:tc>
          <w:tcPr>
            <w:tcW w:w="420" w:type="dxa"/>
            <w:tcBorders>
              <w:top w:val="nil"/>
              <w:left w:val="nil"/>
              <w:bottom w:val="single" w:sz="4" w:space="0" w:color="auto"/>
              <w:right w:val="single" w:sz="4" w:space="0" w:color="auto"/>
            </w:tcBorders>
            <w:shd w:val="clear" w:color="auto" w:fill="auto"/>
            <w:noWrap/>
            <w:vAlign w:val="center"/>
            <w:hideMark/>
          </w:tcPr>
          <w:p w14:paraId="35C89C8C"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2</w:t>
            </w:r>
          </w:p>
        </w:tc>
        <w:tc>
          <w:tcPr>
            <w:tcW w:w="420" w:type="dxa"/>
            <w:tcBorders>
              <w:top w:val="nil"/>
              <w:left w:val="nil"/>
              <w:bottom w:val="single" w:sz="4" w:space="0" w:color="auto"/>
              <w:right w:val="single" w:sz="4" w:space="0" w:color="auto"/>
            </w:tcBorders>
            <w:shd w:val="clear" w:color="auto" w:fill="auto"/>
            <w:noWrap/>
            <w:vAlign w:val="center"/>
            <w:hideMark/>
          </w:tcPr>
          <w:p w14:paraId="6C2A6978"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3</w:t>
            </w:r>
          </w:p>
        </w:tc>
        <w:tc>
          <w:tcPr>
            <w:tcW w:w="420" w:type="dxa"/>
            <w:tcBorders>
              <w:top w:val="nil"/>
              <w:left w:val="nil"/>
              <w:bottom w:val="single" w:sz="4" w:space="0" w:color="auto"/>
              <w:right w:val="single" w:sz="4" w:space="0" w:color="auto"/>
            </w:tcBorders>
            <w:shd w:val="clear" w:color="auto" w:fill="auto"/>
            <w:noWrap/>
            <w:vAlign w:val="center"/>
            <w:hideMark/>
          </w:tcPr>
          <w:p w14:paraId="321D0CCB"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4</w:t>
            </w:r>
          </w:p>
        </w:tc>
        <w:tc>
          <w:tcPr>
            <w:tcW w:w="420" w:type="dxa"/>
            <w:tcBorders>
              <w:top w:val="nil"/>
              <w:left w:val="nil"/>
              <w:bottom w:val="single" w:sz="4" w:space="0" w:color="auto"/>
              <w:right w:val="single" w:sz="4" w:space="0" w:color="auto"/>
            </w:tcBorders>
            <w:shd w:val="clear" w:color="auto" w:fill="auto"/>
            <w:noWrap/>
            <w:vAlign w:val="center"/>
            <w:hideMark/>
          </w:tcPr>
          <w:p w14:paraId="1F808650"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5</w:t>
            </w:r>
          </w:p>
        </w:tc>
        <w:tc>
          <w:tcPr>
            <w:tcW w:w="420" w:type="dxa"/>
            <w:tcBorders>
              <w:top w:val="nil"/>
              <w:left w:val="nil"/>
              <w:bottom w:val="single" w:sz="4" w:space="0" w:color="auto"/>
              <w:right w:val="single" w:sz="4" w:space="0" w:color="auto"/>
            </w:tcBorders>
            <w:shd w:val="clear" w:color="auto" w:fill="auto"/>
            <w:noWrap/>
            <w:vAlign w:val="center"/>
            <w:hideMark/>
          </w:tcPr>
          <w:p w14:paraId="20AD783E"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6</w:t>
            </w:r>
          </w:p>
        </w:tc>
        <w:tc>
          <w:tcPr>
            <w:tcW w:w="420" w:type="dxa"/>
            <w:tcBorders>
              <w:top w:val="nil"/>
              <w:left w:val="nil"/>
              <w:bottom w:val="single" w:sz="4" w:space="0" w:color="auto"/>
              <w:right w:val="single" w:sz="4" w:space="0" w:color="auto"/>
            </w:tcBorders>
            <w:shd w:val="clear" w:color="auto" w:fill="auto"/>
            <w:noWrap/>
            <w:vAlign w:val="center"/>
            <w:hideMark/>
          </w:tcPr>
          <w:p w14:paraId="39EA9972"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7</w:t>
            </w:r>
          </w:p>
        </w:tc>
        <w:tc>
          <w:tcPr>
            <w:tcW w:w="420" w:type="dxa"/>
            <w:tcBorders>
              <w:top w:val="nil"/>
              <w:left w:val="nil"/>
              <w:bottom w:val="single" w:sz="4" w:space="0" w:color="auto"/>
              <w:right w:val="single" w:sz="4" w:space="0" w:color="auto"/>
            </w:tcBorders>
            <w:shd w:val="clear" w:color="auto" w:fill="auto"/>
            <w:noWrap/>
            <w:vAlign w:val="center"/>
            <w:hideMark/>
          </w:tcPr>
          <w:p w14:paraId="780D89B8"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0</w:t>
            </w:r>
          </w:p>
        </w:tc>
        <w:tc>
          <w:tcPr>
            <w:tcW w:w="420" w:type="dxa"/>
            <w:tcBorders>
              <w:top w:val="nil"/>
              <w:left w:val="nil"/>
              <w:bottom w:val="single" w:sz="4" w:space="0" w:color="auto"/>
              <w:right w:val="single" w:sz="4" w:space="0" w:color="auto"/>
            </w:tcBorders>
            <w:shd w:val="clear" w:color="auto" w:fill="auto"/>
            <w:noWrap/>
            <w:vAlign w:val="center"/>
            <w:hideMark/>
          </w:tcPr>
          <w:p w14:paraId="3A6959D8"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w:t>
            </w:r>
          </w:p>
        </w:tc>
        <w:tc>
          <w:tcPr>
            <w:tcW w:w="420" w:type="dxa"/>
            <w:tcBorders>
              <w:top w:val="nil"/>
              <w:left w:val="nil"/>
              <w:bottom w:val="single" w:sz="4" w:space="0" w:color="auto"/>
              <w:right w:val="single" w:sz="4" w:space="0" w:color="auto"/>
            </w:tcBorders>
            <w:shd w:val="clear" w:color="auto" w:fill="auto"/>
            <w:noWrap/>
            <w:vAlign w:val="center"/>
            <w:hideMark/>
          </w:tcPr>
          <w:p w14:paraId="76A89300"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2</w:t>
            </w:r>
          </w:p>
        </w:tc>
        <w:tc>
          <w:tcPr>
            <w:tcW w:w="420" w:type="dxa"/>
            <w:tcBorders>
              <w:top w:val="nil"/>
              <w:left w:val="nil"/>
              <w:bottom w:val="single" w:sz="4" w:space="0" w:color="auto"/>
              <w:right w:val="single" w:sz="4" w:space="0" w:color="auto"/>
            </w:tcBorders>
            <w:shd w:val="clear" w:color="auto" w:fill="auto"/>
            <w:noWrap/>
            <w:vAlign w:val="center"/>
            <w:hideMark/>
          </w:tcPr>
          <w:p w14:paraId="3C1C578B"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3</w:t>
            </w:r>
          </w:p>
        </w:tc>
      </w:tr>
      <w:tr w:rsidR="00183A9C" w:rsidRPr="00183A9C" w14:paraId="10F7BB19" w14:textId="77777777" w:rsidTr="00183A9C">
        <w:trPr>
          <w:trHeight w:val="375"/>
        </w:trPr>
        <w:tc>
          <w:tcPr>
            <w:tcW w:w="1820" w:type="dxa"/>
            <w:tcBorders>
              <w:top w:val="nil"/>
              <w:left w:val="single" w:sz="4" w:space="0" w:color="auto"/>
              <w:bottom w:val="single" w:sz="4" w:space="0" w:color="auto"/>
              <w:right w:val="single" w:sz="4" w:space="0" w:color="auto"/>
            </w:tcBorders>
            <w:shd w:val="clear" w:color="auto" w:fill="auto"/>
            <w:noWrap/>
            <w:vAlign w:val="center"/>
            <w:hideMark/>
          </w:tcPr>
          <w:p w14:paraId="7CA8454B"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QCL index</w:t>
            </w:r>
          </w:p>
        </w:tc>
        <w:tc>
          <w:tcPr>
            <w:tcW w:w="420" w:type="dxa"/>
            <w:tcBorders>
              <w:top w:val="nil"/>
              <w:left w:val="nil"/>
              <w:bottom w:val="single" w:sz="4" w:space="0" w:color="auto"/>
              <w:right w:val="single" w:sz="4" w:space="0" w:color="auto"/>
            </w:tcBorders>
            <w:shd w:val="clear" w:color="auto" w:fill="auto"/>
            <w:noWrap/>
            <w:vAlign w:val="center"/>
            <w:hideMark/>
          </w:tcPr>
          <w:p w14:paraId="5E773904"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0</w:t>
            </w:r>
          </w:p>
        </w:tc>
        <w:tc>
          <w:tcPr>
            <w:tcW w:w="420" w:type="dxa"/>
            <w:tcBorders>
              <w:top w:val="nil"/>
              <w:left w:val="nil"/>
              <w:bottom w:val="single" w:sz="4" w:space="0" w:color="auto"/>
              <w:right w:val="single" w:sz="4" w:space="0" w:color="auto"/>
            </w:tcBorders>
            <w:shd w:val="clear" w:color="auto" w:fill="auto"/>
            <w:noWrap/>
            <w:vAlign w:val="center"/>
            <w:hideMark/>
          </w:tcPr>
          <w:p w14:paraId="1ED34883"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w:t>
            </w:r>
          </w:p>
        </w:tc>
        <w:tc>
          <w:tcPr>
            <w:tcW w:w="420" w:type="dxa"/>
            <w:tcBorders>
              <w:top w:val="nil"/>
              <w:left w:val="nil"/>
              <w:bottom w:val="single" w:sz="4" w:space="0" w:color="auto"/>
              <w:right w:val="single" w:sz="4" w:space="0" w:color="auto"/>
            </w:tcBorders>
            <w:shd w:val="clear" w:color="auto" w:fill="auto"/>
            <w:noWrap/>
            <w:vAlign w:val="center"/>
            <w:hideMark/>
          </w:tcPr>
          <w:p w14:paraId="2A919F4F"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2</w:t>
            </w:r>
          </w:p>
        </w:tc>
        <w:tc>
          <w:tcPr>
            <w:tcW w:w="420" w:type="dxa"/>
            <w:tcBorders>
              <w:top w:val="nil"/>
              <w:left w:val="nil"/>
              <w:bottom w:val="single" w:sz="4" w:space="0" w:color="auto"/>
              <w:right w:val="single" w:sz="4" w:space="0" w:color="auto"/>
            </w:tcBorders>
            <w:shd w:val="clear" w:color="auto" w:fill="auto"/>
            <w:noWrap/>
            <w:vAlign w:val="center"/>
            <w:hideMark/>
          </w:tcPr>
          <w:p w14:paraId="2F996BBF"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0</w:t>
            </w:r>
          </w:p>
        </w:tc>
        <w:tc>
          <w:tcPr>
            <w:tcW w:w="420" w:type="dxa"/>
            <w:tcBorders>
              <w:top w:val="nil"/>
              <w:left w:val="nil"/>
              <w:bottom w:val="single" w:sz="4" w:space="0" w:color="auto"/>
              <w:right w:val="single" w:sz="4" w:space="0" w:color="auto"/>
            </w:tcBorders>
            <w:shd w:val="clear" w:color="auto" w:fill="auto"/>
            <w:noWrap/>
            <w:vAlign w:val="center"/>
            <w:hideMark/>
          </w:tcPr>
          <w:p w14:paraId="2BC75442"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w:t>
            </w:r>
          </w:p>
        </w:tc>
        <w:tc>
          <w:tcPr>
            <w:tcW w:w="420" w:type="dxa"/>
            <w:tcBorders>
              <w:top w:val="nil"/>
              <w:left w:val="nil"/>
              <w:bottom w:val="single" w:sz="4" w:space="0" w:color="auto"/>
              <w:right w:val="single" w:sz="4" w:space="0" w:color="auto"/>
            </w:tcBorders>
            <w:shd w:val="clear" w:color="auto" w:fill="auto"/>
            <w:noWrap/>
            <w:vAlign w:val="center"/>
            <w:hideMark/>
          </w:tcPr>
          <w:p w14:paraId="18F82199"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2</w:t>
            </w:r>
          </w:p>
        </w:tc>
        <w:tc>
          <w:tcPr>
            <w:tcW w:w="420" w:type="dxa"/>
            <w:tcBorders>
              <w:top w:val="nil"/>
              <w:left w:val="nil"/>
              <w:bottom w:val="single" w:sz="4" w:space="0" w:color="auto"/>
              <w:right w:val="single" w:sz="4" w:space="0" w:color="auto"/>
            </w:tcBorders>
            <w:shd w:val="clear" w:color="auto" w:fill="auto"/>
            <w:noWrap/>
            <w:vAlign w:val="center"/>
            <w:hideMark/>
          </w:tcPr>
          <w:p w14:paraId="022DB836"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0</w:t>
            </w:r>
          </w:p>
        </w:tc>
        <w:tc>
          <w:tcPr>
            <w:tcW w:w="420" w:type="dxa"/>
            <w:tcBorders>
              <w:top w:val="nil"/>
              <w:left w:val="nil"/>
              <w:bottom w:val="single" w:sz="4" w:space="0" w:color="auto"/>
              <w:right w:val="single" w:sz="4" w:space="0" w:color="auto"/>
            </w:tcBorders>
            <w:shd w:val="clear" w:color="auto" w:fill="auto"/>
            <w:noWrap/>
            <w:vAlign w:val="center"/>
            <w:hideMark/>
          </w:tcPr>
          <w:p w14:paraId="2F00A9FD"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w:t>
            </w:r>
          </w:p>
        </w:tc>
        <w:tc>
          <w:tcPr>
            <w:tcW w:w="420" w:type="dxa"/>
            <w:tcBorders>
              <w:top w:val="nil"/>
              <w:left w:val="nil"/>
              <w:bottom w:val="single" w:sz="4" w:space="0" w:color="auto"/>
              <w:right w:val="single" w:sz="4" w:space="0" w:color="auto"/>
            </w:tcBorders>
            <w:shd w:val="clear" w:color="auto" w:fill="auto"/>
            <w:noWrap/>
            <w:vAlign w:val="center"/>
            <w:hideMark/>
          </w:tcPr>
          <w:p w14:paraId="4786157F"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0</w:t>
            </w:r>
          </w:p>
        </w:tc>
        <w:tc>
          <w:tcPr>
            <w:tcW w:w="420" w:type="dxa"/>
            <w:tcBorders>
              <w:top w:val="nil"/>
              <w:left w:val="nil"/>
              <w:bottom w:val="single" w:sz="4" w:space="0" w:color="auto"/>
              <w:right w:val="single" w:sz="4" w:space="0" w:color="auto"/>
            </w:tcBorders>
            <w:shd w:val="clear" w:color="auto" w:fill="auto"/>
            <w:noWrap/>
            <w:vAlign w:val="center"/>
            <w:hideMark/>
          </w:tcPr>
          <w:p w14:paraId="7DF377A8"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w:t>
            </w:r>
          </w:p>
        </w:tc>
        <w:tc>
          <w:tcPr>
            <w:tcW w:w="420" w:type="dxa"/>
            <w:tcBorders>
              <w:top w:val="nil"/>
              <w:left w:val="nil"/>
              <w:bottom w:val="single" w:sz="4" w:space="0" w:color="auto"/>
              <w:right w:val="single" w:sz="4" w:space="0" w:color="auto"/>
            </w:tcBorders>
            <w:shd w:val="clear" w:color="auto" w:fill="auto"/>
            <w:noWrap/>
            <w:vAlign w:val="center"/>
            <w:hideMark/>
          </w:tcPr>
          <w:p w14:paraId="00427606"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2</w:t>
            </w:r>
          </w:p>
        </w:tc>
        <w:tc>
          <w:tcPr>
            <w:tcW w:w="420" w:type="dxa"/>
            <w:tcBorders>
              <w:top w:val="nil"/>
              <w:left w:val="nil"/>
              <w:bottom w:val="single" w:sz="4" w:space="0" w:color="auto"/>
              <w:right w:val="single" w:sz="4" w:space="0" w:color="auto"/>
            </w:tcBorders>
            <w:shd w:val="clear" w:color="auto" w:fill="auto"/>
            <w:noWrap/>
            <w:vAlign w:val="center"/>
            <w:hideMark/>
          </w:tcPr>
          <w:p w14:paraId="10B67FC0"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0</w:t>
            </w:r>
          </w:p>
        </w:tc>
        <w:tc>
          <w:tcPr>
            <w:tcW w:w="420" w:type="dxa"/>
            <w:tcBorders>
              <w:top w:val="nil"/>
              <w:left w:val="nil"/>
              <w:bottom w:val="single" w:sz="4" w:space="0" w:color="auto"/>
              <w:right w:val="single" w:sz="4" w:space="0" w:color="auto"/>
            </w:tcBorders>
            <w:shd w:val="clear" w:color="auto" w:fill="auto"/>
            <w:noWrap/>
            <w:vAlign w:val="center"/>
            <w:hideMark/>
          </w:tcPr>
          <w:p w14:paraId="444FABBD"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w:t>
            </w:r>
          </w:p>
        </w:tc>
        <w:tc>
          <w:tcPr>
            <w:tcW w:w="420" w:type="dxa"/>
            <w:tcBorders>
              <w:top w:val="nil"/>
              <w:left w:val="nil"/>
              <w:bottom w:val="single" w:sz="4" w:space="0" w:color="auto"/>
              <w:right w:val="single" w:sz="4" w:space="0" w:color="auto"/>
            </w:tcBorders>
            <w:shd w:val="clear" w:color="auto" w:fill="auto"/>
            <w:noWrap/>
            <w:vAlign w:val="center"/>
            <w:hideMark/>
          </w:tcPr>
          <w:p w14:paraId="3F7C4257"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2</w:t>
            </w:r>
          </w:p>
        </w:tc>
        <w:tc>
          <w:tcPr>
            <w:tcW w:w="420" w:type="dxa"/>
            <w:tcBorders>
              <w:top w:val="nil"/>
              <w:left w:val="nil"/>
              <w:bottom w:val="single" w:sz="4" w:space="0" w:color="auto"/>
              <w:right w:val="single" w:sz="4" w:space="0" w:color="auto"/>
            </w:tcBorders>
            <w:shd w:val="clear" w:color="auto" w:fill="auto"/>
            <w:noWrap/>
            <w:vAlign w:val="center"/>
            <w:hideMark/>
          </w:tcPr>
          <w:p w14:paraId="1D09D701"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0</w:t>
            </w:r>
          </w:p>
        </w:tc>
        <w:tc>
          <w:tcPr>
            <w:tcW w:w="420" w:type="dxa"/>
            <w:tcBorders>
              <w:top w:val="nil"/>
              <w:left w:val="nil"/>
              <w:bottom w:val="single" w:sz="4" w:space="0" w:color="auto"/>
              <w:right w:val="single" w:sz="4" w:space="0" w:color="auto"/>
            </w:tcBorders>
            <w:shd w:val="clear" w:color="auto" w:fill="auto"/>
            <w:noWrap/>
            <w:vAlign w:val="center"/>
            <w:hideMark/>
          </w:tcPr>
          <w:p w14:paraId="1D89FB36"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w:t>
            </w:r>
          </w:p>
        </w:tc>
        <w:tc>
          <w:tcPr>
            <w:tcW w:w="420" w:type="dxa"/>
            <w:tcBorders>
              <w:top w:val="nil"/>
              <w:left w:val="nil"/>
              <w:bottom w:val="single" w:sz="4" w:space="0" w:color="auto"/>
              <w:right w:val="single" w:sz="4" w:space="0" w:color="auto"/>
            </w:tcBorders>
            <w:shd w:val="clear" w:color="auto" w:fill="auto"/>
            <w:noWrap/>
            <w:vAlign w:val="center"/>
            <w:hideMark/>
          </w:tcPr>
          <w:p w14:paraId="517702C9"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0</w:t>
            </w:r>
          </w:p>
        </w:tc>
        <w:tc>
          <w:tcPr>
            <w:tcW w:w="420" w:type="dxa"/>
            <w:tcBorders>
              <w:top w:val="nil"/>
              <w:left w:val="nil"/>
              <w:bottom w:val="single" w:sz="4" w:space="0" w:color="auto"/>
              <w:right w:val="single" w:sz="4" w:space="0" w:color="auto"/>
            </w:tcBorders>
            <w:shd w:val="clear" w:color="auto" w:fill="auto"/>
            <w:noWrap/>
            <w:vAlign w:val="center"/>
            <w:hideMark/>
          </w:tcPr>
          <w:p w14:paraId="5DB2AD63"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1</w:t>
            </w:r>
          </w:p>
        </w:tc>
        <w:tc>
          <w:tcPr>
            <w:tcW w:w="420" w:type="dxa"/>
            <w:tcBorders>
              <w:top w:val="nil"/>
              <w:left w:val="nil"/>
              <w:bottom w:val="single" w:sz="4" w:space="0" w:color="auto"/>
              <w:right w:val="single" w:sz="4" w:space="0" w:color="auto"/>
            </w:tcBorders>
            <w:shd w:val="clear" w:color="auto" w:fill="auto"/>
            <w:noWrap/>
            <w:vAlign w:val="center"/>
            <w:hideMark/>
          </w:tcPr>
          <w:p w14:paraId="2AB29D09"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2</w:t>
            </w:r>
          </w:p>
        </w:tc>
        <w:tc>
          <w:tcPr>
            <w:tcW w:w="420" w:type="dxa"/>
            <w:tcBorders>
              <w:top w:val="nil"/>
              <w:left w:val="nil"/>
              <w:bottom w:val="single" w:sz="4" w:space="0" w:color="auto"/>
              <w:right w:val="single" w:sz="4" w:space="0" w:color="auto"/>
            </w:tcBorders>
            <w:shd w:val="clear" w:color="auto" w:fill="auto"/>
            <w:noWrap/>
            <w:vAlign w:val="center"/>
            <w:hideMark/>
          </w:tcPr>
          <w:p w14:paraId="213F3598" w14:textId="77777777" w:rsidR="00183A9C" w:rsidRPr="00183A9C" w:rsidRDefault="00183A9C" w:rsidP="00CF51EE">
            <w:pPr>
              <w:snapToGrid/>
              <w:spacing w:after="0" w:afterAutospacing="0"/>
              <w:jc w:val="center"/>
              <w:rPr>
                <w:rFonts w:ascii="游ゴシック" w:eastAsia="游ゴシック" w:hAnsi="游ゴシック" w:cs="ＭＳ Ｐゴシック"/>
                <w:color w:val="000000"/>
                <w:sz w:val="22"/>
                <w:szCs w:val="22"/>
                <w:lang w:val="en-US"/>
              </w:rPr>
            </w:pPr>
            <w:r w:rsidRPr="00183A9C">
              <w:rPr>
                <w:rFonts w:ascii="游ゴシック" w:eastAsia="游ゴシック" w:hAnsi="游ゴシック" w:cs="ＭＳ Ｐゴシック" w:hint="eastAsia"/>
                <w:color w:val="000000"/>
                <w:sz w:val="22"/>
                <w:szCs w:val="22"/>
                <w:lang w:val="en-US"/>
              </w:rPr>
              <w:t>0</w:t>
            </w:r>
          </w:p>
        </w:tc>
      </w:tr>
    </w:tbl>
    <w:p w14:paraId="50699A0B" w14:textId="77777777" w:rsidR="00212E69" w:rsidRDefault="00212E69" w:rsidP="009B0580">
      <w:pPr>
        <w:jc w:val="left"/>
        <w:rPr>
          <w:szCs w:val="24"/>
          <w:lang w:val="en-US"/>
        </w:rPr>
      </w:pPr>
    </w:p>
    <w:p w14:paraId="1B0C0202" w14:textId="06A799F0" w:rsidR="00227310" w:rsidRDefault="00227310" w:rsidP="00D9565E">
      <w:pPr>
        <w:pStyle w:val="10"/>
        <w:spacing w:after="180"/>
        <w:rPr>
          <w:lang w:val="en-US"/>
        </w:rPr>
      </w:pPr>
      <w:r>
        <w:rPr>
          <w:rFonts w:hint="eastAsia"/>
          <w:lang w:val="en-US"/>
        </w:rPr>
        <w:t>R</w:t>
      </w:r>
      <w:r>
        <w:rPr>
          <w:lang w:val="en-US"/>
        </w:rPr>
        <w:t>ACH procedure</w:t>
      </w:r>
    </w:p>
    <w:p w14:paraId="09C3F6A1" w14:textId="2B962113" w:rsidR="00227310" w:rsidRDefault="00227310" w:rsidP="00227310">
      <w:pPr>
        <w:jc w:val="left"/>
        <w:rPr>
          <w:szCs w:val="24"/>
          <w:lang w:val="en-US"/>
        </w:rPr>
      </w:pPr>
      <w:r>
        <w:rPr>
          <w:rFonts w:hint="eastAsia"/>
          <w:szCs w:val="24"/>
          <w:lang w:val="en-US"/>
        </w:rPr>
        <w:t>F</w:t>
      </w:r>
      <w:r>
        <w:rPr>
          <w:szCs w:val="24"/>
          <w:lang w:val="en-US"/>
        </w:rPr>
        <w:t>or initial access, the UE is required to determine RACH occasion for detected SS/PBCH block based on SS/PBCH</w:t>
      </w:r>
      <w:r w:rsidR="006A36DD">
        <w:rPr>
          <w:szCs w:val="24"/>
          <w:lang w:val="en-US"/>
        </w:rPr>
        <w:t>-</w:t>
      </w:r>
      <w:r>
        <w:rPr>
          <w:szCs w:val="24"/>
          <w:lang w:val="en-US"/>
        </w:rPr>
        <w:t>to</w:t>
      </w:r>
      <w:r w:rsidR="006A36DD">
        <w:rPr>
          <w:szCs w:val="24"/>
          <w:lang w:val="en-US"/>
        </w:rPr>
        <w:t>-</w:t>
      </w:r>
      <w:r>
        <w:rPr>
          <w:szCs w:val="24"/>
          <w:lang w:val="en-US"/>
        </w:rPr>
        <w:t xml:space="preserve">RACH occasion association and transmit PRACH on the determined RACH occasion. </w:t>
      </w:r>
      <w:proofErr w:type="spellStart"/>
      <w:r>
        <w:rPr>
          <w:szCs w:val="24"/>
          <w:lang w:val="en-US"/>
        </w:rPr>
        <w:t>gNB</w:t>
      </w:r>
      <w:proofErr w:type="spellEnd"/>
      <w:r>
        <w:rPr>
          <w:szCs w:val="24"/>
          <w:lang w:val="en-US"/>
        </w:rPr>
        <w:t xml:space="preserve"> </w:t>
      </w:r>
      <w:r w:rsidR="006A36DD">
        <w:rPr>
          <w:szCs w:val="24"/>
          <w:lang w:val="en-US"/>
        </w:rPr>
        <w:t xml:space="preserve">needs to </w:t>
      </w:r>
      <w:r>
        <w:rPr>
          <w:szCs w:val="24"/>
          <w:lang w:val="en-US"/>
        </w:rPr>
        <w:t>understand which beam to be used for RAR transmission corresponding to the received PRACH</w:t>
      </w:r>
      <w:r w:rsidR="006A36DD">
        <w:rPr>
          <w:szCs w:val="24"/>
          <w:lang w:val="en-US"/>
        </w:rPr>
        <w:t xml:space="preserve"> based on the SS/PBCH-to-RACH occasion association</w:t>
      </w:r>
      <w:r>
        <w:rPr>
          <w:szCs w:val="24"/>
          <w:lang w:val="en-US"/>
        </w:rPr>
        <w:t xml:space="preserve">. Considering this principle, RACH occasion determination by “beam index” to “RACH occasion” association seems straight forward. In other words, the UE identifies a RACH occasion from multiple RACH occasions within an association period for PRACH by using beam index given based on the QCL relation equation. </w:t>
      </w:r>
    </w:p>
    <w:p w14:paraId="66C95012" w14:textId="5DA9F7DD" w:rsidR="00227310" w:rsidRDefault="00227310" w:rsidP="00227310">
      <w:pPr>
        <w:rPr>
          <w:rFonts w:eastAsia="SimSun"/>
          <w:lang w:val="en-US" w:eastAsia="zh-CN"/>
        </w:rPr>
      </w:pPr>
      <w:r w:rsidRPr="00E45DB7">
        <w:rPr>
          <w:rFonts w:hint="eastAsia"/>
          <w:b/>
          <w:szCs w:val="24"/>
          <w:lang w:val="en-US"/>
        </w:rPr>
        <w:t>P</w:t>
      </w:r>
      <w:r w:rsidRPr="00E45DB7">
        <w:rPr>
          <w:b/>
          <w:szCs w:val="24"/>
          <w:lang w:val="en-US"/>
        </w:rPr>
        <w:t xml:space="preserve">roposal </w:t>
      </w:r>
      <w:r w:rsidR="00A03F4C">
        <w:rPr>
          <w:b/>
          <w:szCs w:val="24"/>
          <w:lang w:val="en-US"/>
        </w:rPr>
        <w:t>4</w:t>
      </w:r>
      <w:r w:rsidRPr="00E45DB7">
        <w:rPr>
          <w:b/>
          <w:szCs w:val="24"/>
          <w:lang w:val="en-US"/>
        </w:rPr>
        <w:t>: The UE identifies a RACH occasion from multiple RACH occasions within an association period for PRACH by using beam index given based on the QCL relation equation.</w:t>
      </w:r>
    </w:p>
    <w:p w14:paraId="040E1726" w14:textId="70BE4BB6" w:rsidR="00D9565E" w:rsidRDefault="00AB654E" w:rsidP="00D9565E">
      <w:pPr>
        <w:pStyle w:val="10"/>
        <w:spacing w:after="180"/>
        <w:rPr>
          <w:lang w:val="en-US"/>
        </w:rPr>
      </w:pPr>
      <w:r>
        <w:rPr>
          <w:lang w:val="en-US"/>
        </w:rPr>
        <w:t xml:space="preserve">Type-0 PDCCH CSS </w:t>
      </w:r>
      <w:r w:rsidR="00227310">
        <w:rPr>
          <w:lang w:val="en-US"/>
        </w:rPr>
        <w:t>monitoring procedure</w:t>
      </w:r>
    </w:p>
    <w:p w14:paraId="652ED6C1" w14:textId="3C258A45" w:rsidR="00227310" w:rsidRDefault="00227310" w:rsidP="00227310">
      <w:pPr>
        <w:pStyle w:val="20"/>
        <w:rPr>
          <w:lang w:val="en-US" w:eastAsia="zh-CN"/>
        </w:rPr>
      </w:pPr>
      <w:r>
        <w:rPr>
          <w:lang w:val="en-US"/>
        </w:rPr>
        <w:t>Type-0 PDCCH CSS monitoring occasion</w:t>
      </w:r>
    </w:p>
    <w:p w14:paraId="1CA4466F" w14:textId="725ABFA2" w:rsidR="00227310" w:rsidRDefault="00A03F4C" w:rsidP="00227310">
      <w:pPr>
        <w:rPr>
          <w:lang w:val="en-US"/>
        </w:rPr>
      </w:pPr>
      <w:r>
        <w:rPr>
          <w:lang w:val="en-US"/>
        </w:rPr>
        <w:t>In Rel-15 NR, o</w:t>
      </w:r>
      <w:r w:rsidR="00211A16">
        <w:rPr>
          <w:lang w:val="en-US"/>
        </w:rPr>
        <w:t xml:space="preserve">nce the UE gets MIB, the UE monitors type-0 PDCCH CSS </w:t>
      </w:r>
      <w:r w:rsidR="00D006F1">
        <w:rPr>
          <w:lang w:val="en-US"/>
        </w:rPr>
        <w:t xml:space="preserve">set which corresponds </w:t>
      </w:r>
      <w:r>
        <w:rPr>
          <w:lang w:val="en-US"/>
        </w:rPr>
        <w:t>to the detected SS/PBCH block. Compared to Rel-15 NR, the UE needs to monitor type-0 PDCCH CSS</w:t>
      </w:r>
      <w:r w:rsidR="00D006F1">
        <w:rPr>
          <w:lang w:val="en-US"/>
        </w:rPr>
        <w:t xml:space="preserve"> set</w:t>
      </w:r>
      <w:r>
        <w:rPr>
          <w:lang w:val="en-US"/>
        </w:rPr>
        <w:t xml:space="preserve"> </w:t>
      </w:r>
      <w:r w:rsidR="00D006F1">
        <w:rPr>
          <w:lang w:val="en-US"/>
        </w:rPr>
        <w:t xml:space="preserve">which corresponds </w:t>
      </w:r>
      <w:r>
        <w:rPr>
          <w:lang w:val="en-US"/>
        </w:rPr>
        <w:t xml:space="preserve">to the beam index for the detected SS/PBCH block. Since the UE identifies the beam index by Q, thus, </w:t>
      </w:r>
    </w:p>
    <w:p w14:paraId="7731BCCD" w14:textId="1E769AB2" w:rsidR="00B227D2" w:rsidRDefault="00A03F4C" w:rsidP="00227310">
      <w:pPr>
        <w:rPr>
          <w:b/>
          <w:lang w:val="en-US"/>
        </w:rPr>
      </w:pPr>
      <w:r w:rsidRPr="00A03F4C">
        <w:rPr>
          <w:rFonts w:hint="eastAsia"/>
          <w:b/>
          <w:lang w:val="en-US"/>
        </w:rPr>
        <w:t>P</w:t>
      </w:r>
      <w:r w:rsidRPr="00A03F4C">
        <w:rPr>
          <w:b/>
          <w:lang w:val="en-US"/>
        </w:rPr>
        <w:t xml:space="preserve">roposal </w:t>
      </w:r>
      <w:r>
        <w:rPr>
          <w:b/>
          <w:lang w:val="en-US"/>
        </w:rPr>
        <w:t>5</w:t>
      </w:r>
      <w:r w:rsidRPr="00A03F4C">
        <w:rPr>
          <w:b/>
          <w:lang w:val="en-US"/>
        </w:rPr>
        <w:t>: The UE monitors type-0 PDCCH CSS</w:t>
      </w:r>
      <w:r w:rsidR="00B227D2">
        <w:rPr>
          <w:b/>
          <w:lang w:val="en-US"/>
        </w:rPr>
        <w:t xml:space="preserve"> set</w:t>
      </w:r>
      <w:r w:rsidRPr="00A03F4C">
        <w:rPr>
          <w:b/>
          <w:lang w:val="en-US"/>
        </w:rPr>
        <w:t xml:space="preserve"> </w:t>
      </w:r>
      <w:r w:rsidR="00B227D2">
        <w:rPr>
          <w:b/>
          <w:lang w:val="en-US"/>
        </w:rPr>
        <w:t xml:space="preserve">which </w:t>
      </w:r>
      <w:r w:rsidR="00B227D2" w:rsidRPr="00A03F4C">
        <w:rPr>
          <w:b/>
          <w:lang w:val="en-US"/>
        </w:rPr>
        <w:t>correspond</w:t>
      </w:r>
      <w:r w:rsidR="00B227D2">
        <w:rPr>
          <w:b/>
          <w:lang w:val="en-US"/>
        </w:rPr>
        <w:t>s</w:t>
      </w:r>
      <w:r w:rsidR="00B227D2" w:rsidRPr="00A03F4C">
        <w:rPr>
          <w:b/>
          <w:lang w:val="en-US"/>
        </w:rPr>
        <w:t xml:space="preserve"> </w:t>
      </w:r>
      <w:r w:rsidRPr="00A03F4C">
        <w:rPr>
          <w:b/>
          <w:lang w:val="en-US"/>
        </w:rPr>
        <w:t xml:space="preserve">to the beam index for the detected SS/PBCH block. </w:t>
      </w:r>
    </w:p>
    <w:p w14:paraId="4720FF98" w14:textId="5BFFB55B" w:rsidR="00A03F4C" w:rsidRPr="00A03F4C" w:rsidRDefault="00B227D2" w:rsidP="00227310">
      <w:pPr>
        <w:rPr>
          <w:b/>
          <w:lang w:val="en-US"/>
        </w:rPr>
      </w:pPr>
      <w:r>
        <w:rPr>
          <w:b/>
          <w:lang w:val="en-US"/>
        </w:rPr>
        <w:lastRenderedPageBreak/>
        <w:t xml:space="preserve">Proposal 6: </w:t>
      </w:r>
      <w:r w:rsidR="00A03F4C" w:rsidRPr="00A03F4C">
        <w:rPr>
          <w:b/>
          <w:lang w:val="en-US"/>
        </w:rPr>
        <w:t>Q is indicated by MIB.</w:t>
      </w:r>
    </w:p>
    <w:p w14:paraId="197179E8" w14:textId="458A5DA3" w:rsidR="00227310" w:rsidRDefault="00227310" w:rsidP="00227310">
      <w:pPr>
        <w:pStyle w:val="20"/>
        <w:rPr>
          <w:lang w:val="en-US" w:eastAsia="zh-CN"/>
        </w:rPr>
      </w:pPr>
      <w:r>
        <w:rPr>
          <w:lang w:val="en-US"/>
        </w:rPr>
        <w:t>Type-0 PDCCH CSS configuration</w:t>
      </w:r>
    </w:p>
    <w:p w14:paraId="07E85C43" w14:textId="0E2CEFE4" w:rsidR="00FA2099" w:rsidRPr="00FA2099" w:rsidRDefault="00513D59" w:rsidP="009349C3">
      <w:pPr>
        <w:rPr>
          <w:rFonts w:eastAsiaTheme="minorEastAsia"/>
          <w:b/>
        </w:rPr>
      </w:pPr>
      <w:r>
        <w:rPr>
          <w:rFonts w:eastAsiaTheme="minorEastAsia"/>
        </w:rPr>
        <w:t>As n</w:t>
      </w:r>
      <w:r w:rsidR="00731B92">
        <w:rPr>
          <w:rFonts w:eastAsiaTheme="minorEastAsia"/>
        </w:rPr>
        <w:t>o change on</w:t>
      </w:r>
      <w:r w:rsidR="00970192">
        <w:rPr>
          <w:rFonts w:eastAsiaTheme="minorEastAsia"/>
        </w:rPr>
        <w:t xml:space="preserve"> </w:t>
      </w:r>
      <w:r>
        <w:rPr>
          <w:rFonts w:eastAsiaTheme="minorEastAsia"/>
        </w:rPr>
        <w:t xml:space="preserve">the SSB positions and type-0 PDCCH </w:t>
      </w:r>
      <w:r w:rsidR="00211A16">
        <w:rPr>
          <w:rFonts w:eastAsiaTheme="minorEastAsia"/>
        </w:rPr>
        <w:t xml:space="preserve">CSS </w:t>
      </w:r>
      <w:r w:rsidR="00B227D2">
        <w:rPr>
          <w:rFonts w:eastAsiaTheme="minorEastAsia"/>
        </w:rPr>
        <w:t xml:space="preserve">set </w:t>
      </w:r>
      <w:r>
        <w:rPr>
          <w:rFonts w:eastAsiaTheme="minorEastAsia"/>
        </w:rPr>
        <w:t xml:space="preserve">monitoring in a slot is concluded at the last meeting, we need to focus on the Rel-15 type-0 PDCCH CSS </w:t>
      </w:r>
      <w:r w:rsidR="00B227D2">
        <w:rPr>
          <w:rFonts w:eastAsiaTheme="minorEastAsia"/>
        </w:rPr>
        <w:t xml:space="preserve">set </w:t>
      </w:r>
      <w:r>
        <w:rPr>
          <w:rFonts w:eastAsiaTheme="minorEastAsia"/>
        </w:rPr>
        <w:t xml:space="preserve">mapping. Figure 1 shows the type-0 PDCCH CSS </w:t>
      </w:r>
      <w:r w:rsidR="00B227D2">
        <w:rPr>
          <w:rFonts w:eastAsiaTheme="minorEastAsia"/>
        </w:rPr>
        <w:t xml:space="preserve">set </w:t>
      </w:r>
      <w:r>
        <w:rPr>
          <w:rFonts w:eastAsiaTheme="minorEastAsia"/>
        </w:rPr>
        <w:t>mapping in time domain for the case of 30 kHz SCS</w:t>
      </w:r>
      <w:r w:rsidR="00BE66A8">
        <w:rPr>
          <w:rFonts w:eastAsiaTheme="minorEastAsia"/>
        </w:rPr>
        <w:t xml:space="preserve"> and 1 OFDM symbol CORESET</w:t>
      </w:r>
      <w:r>
        <w:rPr>
          <w:rFonts w:eastAsiaTheme="minorEastAsia"/>
        </w:rPr>
        <w:t xml:space="preserve"> for each type-0 PDCCH CSS </w:t>
      </w:r>
      <w:r w:rsidR="00B227D2">
        <w:rPr>
          <w:rFonts w:eastAsiaTheme="minorEastAsia"/>
        </w:rPr>
        <w:t xml:space="preserve">set </w:t>
      </w:r>
      <w:r>
        <w:rPr>
          <w:rFonts w:eastAsiaTheme="minorEastAsia"/>
        </w:rPr>
        <w:t xml:space="preserve">configuration </w:t>
      </w:r>
      <w:r w:rsidR="00B227D2">
        <w:rPr>
          <w:rFonts w:eastAsiaTheme="minorEastAsia"/>
        </w:rPr>
        <w:t xml:space="preserve">(Value of </w:t>
      </w:r>
      <w:r w:rsidR="00B227D2" w:rsidRPr="00B227D2">
        <w:rPr>
          <w:rFonts w:eastAsiaTheme="minorEastAsia"/>
          <w:i/>
        </w:rPr>
        <w:t>SearchSpaceSIB1</w:t>
      </w:r>
      <w:r w:rsidR="00B227D2">
        <w:rPr>
          <w:rFonts w:eastAsiaTheme="minorEastAsia"/>
        </w:rPr>
        <w:t>)</w:t>
      </w:r>
      <w:r>
        <w:rPr>
          <w:rFonts w:eastAsiaTheme="minorEastAsia"/>
        </w:rPr>
        <w:t>.</w:t>
      </w:r>
      <w:r w:rsidR="00C307A4">
        <w:rPr>
          <w:rFonts w:eastAsiaTheme="minorEastAsia"/>
        </w:rPr>
        <w:t xml:space="preserve"> </w:t>
      </w:r>
      <w:r w:rsidR="001778BF">
        <w:rPr>
          <w:rFonts w:eastAsiaTheme="minorEastAsia"/>
        </w:rPr>
        <w:t xml:space="preserve">For 1 OFDM symbol CORESET, </w:t>
      </w:r>
      <w:r w:rsidR="00BE66A8">
        <w:rPr>
          <w:rFonts w:eastAsiaTheme="minorEastAsia"/>
        </w:rPr>
        <w:t xml:space="preserve">the configuration of </w:t>
      </w:r>
      <w:r w:rsidR="00BE66A8" w:rsidRPr="00BE66A8">
        <w:rPr>
          <w:rFonts w:eastAsiaTheme="minorEastAsia"/>
          <w:i/>
        </w:rPr>
        <w:t>SearchSpaceSIB1</w:t>
      </w:r>
      <w:r w:rsidR="00BE66A8">
        <w:rPr>
          <w:rFonts w:eastAsiaTheme="minorEastAsia"/>
        </w:rPr>
        <w:t xml:space="preserve">=1 could be the usable configuration for NR-U with use of 8 SS/PBCH blocks. </w:t>
      </w:r>
      <w:r w:rsidR="001778BF">
        <w:rPr>
          <w:rFonts w:eastAsiaTheme="minorEastAsia"/>
        </w:rPr>
        <w:t xml:space="preserve">For other </w:t>
      </w:r>
      <w:r w:rsidR="001004AD">
        <w:rPr>
          <w:rFonts w:eastAsiaTheme="minorEastAsia"/>
        </w:rPr>
        <w:t>configurations</w:t>
      </w:r>
      <w:r w:rsidR="001778BF">
        <w:rPr>
          <w:rFonts w:eastAsiaTheme="minorEastAsia"/>
        </w:rPr>
        <w:t>, the CSS</w:t>
      </w:r>
      <w:r w:rsidR="001004AD">
        <w:rPr>
          <w:rFonts w:eastAsiaTheme="minorEastAsia"/>
        </w:rPr>
        <w:t xml:space="preserve"> set</w:t>
      </w:r>
      <w:r w:rsidR="001778BF">
        <w:rPr>
          <w:rFonts w:eastAsiaTheme="minorEastAsia"/>
        </w:rPr>
        <w:t>s collides with SS/PBCH blocks or the CSS</w:t>
      </w:r>
      <w:r w:rsidR="001004AD">
        <w:rPr>
          <w:rFonts w:eastAsiaTheme="minorEastAsia"/>
        </w:rPr>
        <w:t xml:space="preserve"> set</w:t>
      </w:r>
      <w:r w:rsidR="001778BF">
        <w:rPr>
          <w:rFonts w:eastAsiaTheme="minorEastAsia"/>
        </w:rPr>
        <w:t xml:space="preserve">s are </w:t>
      </w:r>
      <w:r w:rsidR="001004AD">
        <w:rPr>
          <w:rFonts w:eastAsiaTheme="minorEastAsia"/>
        </w:rPr>
        <w:t xml:space="preserve">at </w:t>
      </w:r>
      <w:r w:rsidR="001778BF">
        <w:rPr>
          <w:rFonts w:eastAsiaTheme="minorEastAsia"/>
        </w:rPr>
        <w:t>totally different positions</w:t>
      </w:r>
      <w:r w:rsidR="001004AD">
        <w:rPr>
          <w:rFonts w:eastAsiaTheme="minorEastAsia"/>
        </w:rPr>
        <w:t xml:space="preserve"> (i.e. different slots)</w:t>
      </w:r>
      <w:r w:rsidR="001778BF">
        <w:rPr>
          <w:rFonts w:eastAsiaTheme="minorEastAsia"/>
        </w:rPr>
        <w:t xml:space="preserve">. So, we propose, </w:t>
      </w:r>
    </w:p>
    <w:p w14:paraId="3835DA4A" w14:textId="1209A9C4" w:rsidR="00FB02CF" w:rsidRPr="00C307A4" w:rsidRDefault="001778BF" w:rsidP="00FB02CF">
      <w:pPr>
        <w:rPr>
          <w:rFonts w:eastAsiaTheme="minorEastAsia"/>
          <w:b/>
        </w:rPr>
      </w:pPr>
      <w:r w:rsidRPr="00C307A4">
        <w:rPr>
          <w:rFonts w:eastAsiaTheme="minorEastAsia" w:hint="eastAsia"/>
          <w:b/>
        </w:rPr>
        <w:t>P</w:t>
      </w:r>
      <w:r w:rsidRPr="00C307A4">
        <w:rPr>
          <w:rFonts w:eastAsiaTheme="minorEastAsia"/>
          <w:b/>
        </w:rPr>
        <w:t>roposal</w:t>
      </w:r>
      <w:r w:rsidR="00C307A4" w:rsidRPr="00C307A4">
        <w:rPr>
          <w:rFonts w:eastAsiaTheme="minorEastAsia"/>
          <w:b/>
        </w:rPr>
        <w:t xml:space="preserve"> </w:t>
      </w:r>
      <w:r w:rsidR="00B227D2">
        <w:rPr>
          <w:rFonts w:eastAsiaTheme="minorEastAsia"/>
          <w:b/>
        </w:rPr>
        <w:t>7</w:t>
      </w:r>
      <w:r w:rsidRPr="00C307A4">
        <w:rPr>
          <w:rFonts w:eastAsiaTheme="minorEastAsia"/>
          <w:b/>
        </w:rPr>
        <w:t xml:space="preserve">: </w:t>
      </w:r>
      <w:r w:rsidR="001004AD">
        <w:rPr>
          <w:rFonts w:eastAsiaTheme="minorEastAsia"/>
          <w:b/>
        </w:rPr>
        <w:t>Design target for NR-U type-0 PDCCH CSS set should be</w:t>
      </w:r>
      <w:r w:rsidR="00C307A4" w:rsidRPr="00C307A4">
        <w:rPr>
          <w:rFonts w:eastAsiaTheme="minorEastAsia"/>
          <w:b/>
        </w:rPr>
        <w:t xml:space="preserve"> </w:t>
      </w:r>
      <w:r w:rsidR="000D3BB5" w:rsidRPr="000D3BB5">
        <w:rPr>
          <w:rFonts w:eastAsiaTheme="minorEastAsia"/>
          <w:b/>
          <w:i/>
        </w:rPr>
        <w:t>SearchSpaceSIB1</w:t>
      </w:r>
      <w:r w:rsidR="000D3BB5" w:rsidRPr="000D3BB5">
        <w:rPr>
          <w:rFonts w:eastAsiaTheme="minorEastAsia"/>
          <w:b/>
        </w:rPr>
        <w:t>=1</w:t>
      </w:r>
      <w:r w:rsidRPr="00C307A4">
        <w:rPr>
          <w:rFonts w:eastAsiaTheme="minorEastAsia"/>
          <w:b/>
        </w:rPr>
        <w:t xml:space="preserve"> with 1 OFDM symbol CORESET </w:t>
      </w:r>
      <w:r w:rsidR="000D3BB5">
        <w:rPr>
          <w:rFonts w:eastAsiaTheme="minorEastAsia"/>
          <w:b/>
        </w:rPr>
        <w:t>for 30 kHz SCS</w:t>
      </w:r>
      <w:r w:rsidRPr="00C307A4">
        <w:rPr>
          <w:rFonts w:eastAsiaTheme="minorEastAsia"/>
          <w:b/>
        </w:rPr>
        <w:t>.</w:t>
      </w:r>
    </w:p>
    <w:p w14:paraId="4DB17584" w14:textId="082AE06D" w:rsidR="00731B92" w:rsidRPr="00BE66A8" w:rsidRDefault="00BE66A8" w:rsidP="00FB02CF">
      <w:pPr>
        <w:rPr>
          <w:rFonts w:eastAsia="SimSun"/>
          <w:lang w:eastAsia="zh-CN"/>
        </w:rPr>
      </w:pPr>
      <w:r w:rsidRPr="00BE66A8">
        <w:rPr>
          <w:noProof/>
        </w:rPr>
        <w:drawing>
          <wp:inline distT="0" distB="0" distL="0" distR="0" wp14:anchorId="66FF9259" wp14:editId="6B3752B4">
            <wp:extent cx="6327140" cy="2166898"/>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27140" cy="2166898"/>
                    </a:xfrm>
                    <a:prstGeom prst="rect">
                      <a:avLst/>
                    </a:prstGeom>
                    <a:noFill/>
                    <a:ln>
                      <a:noFill/>
                    </a:ln>
                  </pic:spPr>
                </pic:pic>
              </a:graphicData>
            </a:graphic>
          </wp:inline>
        </w:drawing>
      </w:r>
    </w:p>
    <w:p w14:paraId="1C87B896" w14:textId="20AC513B" w:rsidR="00731B92" w:rsidRPr="005F57D4" w:rsidRDefault="005F57D4" w:rsidP="00E72CD7">
      <w:pPr>
        <w:jc w:val="center"/>
        <w:rPr>
          <w:rFonts w:eastAsiaTheme="minorEastAsia"/>
        </w:rPr>
      </w:pPr>
      <w:r>
        <w:rPr>
          <w:rFonts w:eastAsiaTheme="minorEastAsia" w:hint="eastAsia"/>
        </w:rPr>
        <w:t>F</w:t>
      </w:r>
      <w:r>
        <w:rPr>
          <w:rFonts w:eastAsiaTheme="minorEastAsia"/>
        </w:rPr>
        <w:t>igure 1: SS/PBCH block and type-0 PDCCH CSS</w:t>
      </w:r>
      <w:r w:rsidR="001004AD">
        <w:rPr>
          <w:rFonts w:eastAsiaTheme="minorEastAsia"/>
        </w:rPr>
        <w:t xml:space="preserve"> set</w:t>
      </w:r>
      <w:r>
        <w:rPr>
          <w:rFonts w:eastAsiaTheme="minorEastAsia"/>
        </w:rPr>
        <w:t xml:space="preserve"> mapping for a case of 30 kHz SCS and 1 OFDM symbol CORESET</w:t>
      </w:r>
    </w:p>
    <w:p w14:paraId="0F9072F3" w14:textId="4AB91C90" w:rsidR="00074F07" w:rsidRDefault="00074F07" w:rsidP="00074F07">
      <w:pPr>
        <w:rPr>
          <w:rFonts w:eastAsiaTheme="minorEastAsia"/>
        </w:rPr>
      </w:pPr>
      <w:r>
        <w:rPr>
          <w:rFonts w:eastAsiaTheme="minorEastAsia" w:hint="eastAsia"/>
        </w:rPr>
        <w:t>F</w:t>
      </w:r>
      <w:r>
        <w:rPr>
          <w:rFonts w:eastAsiaTheme="minorEastAsia"/>
        </w:rPr>
        <w:t xml:space="preserve">igure 2 shows the type-0 PDCCH CSS </w:t>
      </w:r>
      <w:r w:rsidR="001004AD">
        <w:rPr>
          <w:rFonts w:eastAsiaTheme="minorEastAsia"/>
        </w:rPr>
        <w:t xml:space="preserve">set </w:t>
      </w:r>
      <w:r>
        <w:rPr>
          <w:rFonts w:eastAsiaTheme="minorEastAsia"/>
        </w:rPr>
        <w:t xml:space="preserve">mapping in time domain for the case of 30 kHz SCS and 2 OFDM symbol CORESET for each type-0 PDCCH CSS </w:t>
      </w:r>
      <w:r w:rsidR="001004AD">
        <w:rPr>
          <w:rFonts w:eastAsiaTheme="minorEastAsia"/>
        </w:rPr>
        <w:t xml:space="preserve">set </w:t>
      </w:r>
      <w:r>
        <w:rPr>
          <w:rFonts w:eastAsiaTheme="minorEastAsia"/>
        </w:rPr>
        <w:t>configuration</w:t>
      </w:r>
      <w:r w:rsidR="001004AD">
        <w:rPr>
          <w:rFonts w:eastAsiaTheme="minorEastAsia"/>
        </w:rPr>
        <w:t>s</w:t>
      </w:r>
      <w:r>
        <w:rPr>
          <w:rFonts w:eastAsiaTheme="minorEastAsia"/>
        </w:rPr>
        <w:t>.</w:t>
      </w:r>
      <w:r w:rsidRPr="00C307A4">
        <w:rPr>
          <w:rFonts w:eastAsiaTheme="minorEastAsia"/>
        </w:rPr>
        <w:t xml:space="preserve"> </w:t>
      </w:r>
      <w:r>
        <w:rPr>
          <w:rFonts w:eastAsiaTheme="minorEastAsia"/>
        </w:rPr>
        <w:t xml:space="preserve">For 2 OFDM symbol CORESET, no configuration satisfies </w:t>
      </w:r>
      <w:r w:rsidR="001004AD">
        <w:rPr>
          <w:rFonts w:eastAsiaTheme="minorEastAsia"/>
        </w:rPr>
        <w:t>such that each SS/PBCH and the corresponding CSS set is in the same slot</w:t>
      </w:r>
      <w:r>
        <w:rPr>
          <w:rFonts w:eastAsiaTheme="minorEastAsia"/>
        </w:rPr>
        <w:t xml:space="preserve">. </w:t>
      </w:r>
      <w:r w:rsidR="0043186D">
        <w:rPr>
          <w:rFonts w:eastAsiaTheme="minorEastAsia"/>
        </w:rPr>
        <w:t>Thus, some enhancements should be introduced for 2 symbol CORESET. However, b</w:t>
      </w:r>
      <w:r w:rsidR="0043186D" w:rsidRPr="0043186D">
        <w:rPr>
          <w:rFonts w:eastAsiaTheme="minorEastAsia"/>
        </w:rPr>
        <w:t xml:space="preserve">aseline assumption for type-0 PDCCH CSS with 2 OFDM symbol CORESET </w:t>
      </w:r>
      <w:r w:rsidR="0043186D">
        <w:rPr>
          <w:rFonts w:eastAsiaTheme="minorEastAsia"/>
        </w:rPr>
        <w:t>should be</w:t>
      </w:r>
      <w:r w:rsidR="0043186D" w:rsidRPr="0043186D">
        <w:rPr>
          <w:rFonts w:eastAsiaTheme="minorEastAsia"/>
        </w:rPr>
        <w:t xml:space="preserve"> starting at symbol#0 in a slot as Rel-15 NR</w:t>
      </w:r>
      <w:r w:rsidR="0043186D">
        <w:rPr>
          <w:rFonts w:eastAsiaTheme="minorEastAsia"/>
        </w:rPr>
        <w:t xml:space="preserve"> to align the conclusion at the last meeting.</w:t>
      </w:r>
    </w:p>
    <w:p w14:paraId="778050EB" w14:textId="3A899A87" w:rsidR="00074F07" w:rsidRDefault="00074F07" w:rsidP="00074F07">
      <w:pPr>
        <w:rPr>
          <w:rFonts w:eastAsia="SimSun"/>
          <w:lang w:eastAsia="zh-CN"/>
        </w:rPr>
      </w:pPr>
      <w:r w:rsidRPr="00C307A4">
        <w:rPr>
          <w:rFonts w:eastAsiaTheme="minorEastAsia" w:hint="eastAsia"/>
          <w:b/>
        </w:rPr>
        <w:t>P</w:t>
      </w:r>
      <w:r w:rsidRPr="00C307A4">
        <w:rPr>
          <w:rFonts w:eastAsiaTheme="minorEastAsia"/>
          <w:b/>
        </w:rPr>
        <w:t xml:space="preserve">roposal </w:t>
      </w:r>
      <w:r w:rsidR="00B227D2">
        <w:rPr>
          <w:rFonts w:eastAsiaTheme="minorEastAsia"/>
          <w:b/>
        </w:rPr>
        <w:t>8</w:t>
      </w:r>
      <w:r w:rsidRPr="00C307A4">
        <w:rPr>
          <w:rFonts w:eastAsiaTheme="minorEastAsia"/>
          <w:b/>
        </w:rPr>
        <w:t xml:space="preserve">: Baseline assumption for type-0 PDCCH CSS with </w:t>
      </w:r>
      <w:r>
        <w:rPr>
          <w:rFonts w:eastAsiaTheme="minorEastAsia"/>
          <w:b/>
        </w:rPr>
        <w:t>2</w:t>
      </w:r>
      <w:r w:rsidRPr="00C307A4">
        <w:rPr>
          <w:rFonts w:eastAsiaTheme="minorEastAsia"/>
          <w:b/>
        </w:rPr>
        <w:t xml:space="preserve"> OFDM symbol CORESET is </w:t>
      </w:r>
      <w:r>
        <w:rPr>
          <w:rFonts w:eastAsiaTheme="minorEastAsia"/>
          <w:b/>
        </w:rPr>
        <w:t xml:space="preserve">starting </w:t>
      </w:r>
      <w:r w:rsidRPr="00C307A4">
        <w:rPr>
          <w:rFonts w:eastAsiaTheme="minorEastAsia"/>
          <w:b/>
        </w:rPr>
        <w:t>at symbol#0 in a slot as Rel-15 NR.</w:t>
      </w:r>
    </w:p>
    <w:p w14:paraId="10CCAFBE" w14:textId="020005B8" w:rsidR="00731B92" w:rsidRDefault="00C307A4" w:rsidP="00FB02CF">
      <w:pPr>
        <w:rPr>
          <w:rFonts w:eastAsia="SimSun"/>
          <w:lang w:eastAsia="zh-CN"/>
        </w:rPr>
      </w:pPr>
      <w:r w:rsidRPr="00C307A4">
        <w:rPr>
          <w:noProof/>
        </w:rPr>
        <w:lastRenderedPageBreak/>
        <w:drawing>
          <wp:inline distT="0" distB="0" distL="0" distR="0" wp14:anchorId="49091486" wp14:editId="2C3B2893">
            <wp:extent cx="6327140" cy="2166898"/>
            <wp:effectExtent l="0" t="0" r="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27140" cy="2166898"/>
                    </a:xfrm>
                    <a:prstGeom prst="rect">
                      <a:avLst/>
                    </a:prstGeom>
                    <a:noFill/>
                    <a:ln>
                      <a:noFill/>
                    </a:ln>
                  </pic:spPr>
                </pic:pic>
              </a:graphicData>
            </a:graphic>
          </wp:inline>
        </w:drawing>
      </w:r>
    </w:p>
    <w:p w14:paraId="7728E4C7" w14:textId="6031811B" w:rsidR="00731B92" w:rsidRDefault="00E72CD7" w:rsidP="00E72CD7">
      <w:pPr>
        <w:jc w:val="center"/>
        <w:rPr>
          <w:rFonts w:eastAsia="SimSun"/>
          <w:lang w:eastAsia="zh-CN"/>
        </w:rPr>
      </w:pPr>
      <w:r>
        <w:rPr>
          <w:rFonts w:eastAsiaTheme="minorEastAsia" w:hint="eastAsia"/>
        </w:rPr>
        <w:t>F</w:t>
      </w:r>
      <w:r>
        <w:rPr>
          <w:rFonts w:eastAsiaTheme="minorEastAsia"/>
        </w:rPr>
        <w:t>igure 2: SS/PBCH block and type-0 PDCCH CSS</w:t>
      </w:r>
      <w:r w:rsidR="001004AD">
        <w:rPr>
          <w:rFonts w:eastAsiaTheme="minorEastAsia"/>
        </w:rPr>
        <w:t xml:space="preserve"> set</w:t>
      </w:r>
      <w:r>
        <w:rPr>
          <w:rFonts w:eastAsiaTheme="minorEastAsia"/>
        </w:rPr>
        <w:t xml:space="preserve"> mapping for a case of 30 kHz SCS and 2 OFDM symbol CORESET</w:t>
      </w:r>
    </w:p>
    <w:p w14:paraId="2ED098C0" w14:textId="502671F3" w:rsidR="00731B92" w:rsidRPr="00074F07" w:rsidRDefault="00BB78E0" w:rsidP="00FB02CF">
      <w:pPr>
        <w:rPr>
          <w:rFonts w:eastAsiaTheme="minorEastAsia"/>
        </w:rPr>
      </w:pPr>
      <w:r>
        <w:rPr>
          <w:rFonts w:eastAsiaTheme="minorEastAsia"/>
        </w:rPr>
        <w:t>As in the above</w:t>
      </w:r>
      <w:r w:rsidR="00074F07">
        <w:rPr>
          <w:rFonts w:eastAsiaTheme="minorEastAsia"/>
        </w:rPr>
        <w:t>, the correspondence between the SS/PBCH blocks and the CSS</w:t>
      </w:r>
      <w:r w:rsidR="001004AD">
        <w:rPr>
          <w:rFonts w:eastAsiaTheme="minorEastAsia"/>
        </w:rPr>
        <w:t xml:space="preserve"> set</w:t>
      </w:r>
      <w:r w:rsidR="00074F07">
        <w:rPr>
          <w:rFonts w:eastAsiaTheme="minorEastAsia"/>
        </w:rPr>
        <w:t>s should be revisited.</w:t>
      </w:r>
      <w:r w:rsidR="00F536F0">
        <w:rPr>
          <w:rFonts w:eastAsiaTheme="minorEastAsia"/>
        </w:rPr>
        <w:t xml:space="preserve"> For example, the configuration having 2 CSS</w:t>
      </w:r>
      <w:r w:rsidR="001004AD">
        <w:rPr>
          <w:rFonts w:eastAsiaTheme="minorEastAsia"/>
        </w:rPr>
        <w:t xml:space="preserve"> set</w:t>
      </w:r>
      <w:r w:rsidR="00F536F0">
        <w:rPr>
          <w:rFonts w:eastAsiaTheme="minorEastAsia"/>
        </w:rPr>
        <w:t xml:space="preserve"> configurations in a slot as shown in Figure 3 for the case of </w:t>
      </w:r>
      <w:r w:rsidR="00F536F0" w:rsidRPr="00F536F0">
        <w:rPr>
          <w:rFonts w:eastAsiaTheme="minorEastAsia"/>
          <w:i/>
        </w:rPr>
        <w:t>SearchSpaceSIB1</w:t>
      </w:r>
      <w:r w:rsidR="00F536F0">
        <w:rPr>
          <w:rFonts w:eastAsiaTheme="minorEastAsia"/>
        </w:rPr>
        <w:t>=0 is proposed.</w:t>
      </w:r>
    </w:p>
    <w:p w14:paraId="51378963" w14:textId="6DEE4760" w:rsidR="00731B92" w:rsidRPr="005370C5" w:rsidRDefault="00781F27" w:rsidP="00FB02CF">
      <w:pPr>
        <w:rPr>
          <w:rFonts w:eastAsiaTheme="minorEastAsia"/>
          <w:b/>
        </w:rPr>
      </w:pPr>
      <w:r w:rsidRPr="005370C5">
        <w:rPr>
          <w:rFonts w:eastAsiaTheme="minorEastAsia" w:hint="eastAsia"/>
          <w:b/>
        </w:rPr>
        <w:t>P</w:t>
      </w:r>
      <w:r w:rsidRPr="005370C5">
        <w:rPr>
          <w:rFonts w:eastAsiaTheme="minorEastAsia"/>
          <w:b/>
        </w:rPr>
        <w:t xml:space="preserve">roposal </w:t>
      </w:r>
      <w:r w:rsidR="00B227D2">
        <w:rPr>
          <w:rFonts w:eastAsiaTheme="minorEastAsia"/>
          <w:b/>
        </w:rPr>
        <w:t>9</w:t>
      </w:r>
      <w:r w:rsidRPr="005370C5">
        <w:rPr>
          <w:rFonts w:eastAsiaTheme="minorEastAsia"/>
          <w:b/>
        </w:rPr>
        <w:t xml:space="preserve">: </w:t>
      </w:r>
      <w:r w:rsidR="001004AD">
        <w:rPr>
          <w:rFonts w:eastAsiaTheme="minorEastAsia"/>
          <w:b/>
        </w:rPr>
        <w:t xml:space="preserve">A </w:t>
      </w:r>
      <w:r w:rsidRPr="005370C5">
        <w:rPr>
          <w:rFonts w:eastAsiaTheme="minorEastAsia"/>
          <w:b/>
        </w:rPr>
        <w:t xml:space="preserve">CSS </w:t>
      </w:r>
      <w:r w:rsidR="001004AD">
        <w:rPr>
          <w:rFonts w:eastAsiaTheme="minorEastAsia"/>
          <w:b/>
        </w:rPr>
        <w:t xml:space="preserve">set </w:t>
      </w:r>
      <w:r w:rsidRPr="005370C5">
        <w:rPr>
          <w:rFonts w:eastAsiaTheme="minorEastAsia"/>
          <w:b/>
        </w:rPr>
        <w:t xml:space="preserve">for SS/PBCH block </w:t>
      </w:r>
      <w:r w:rsidR="00342A6C">
        <w:rPr>
          <w:rFonts w:eastAsiaTheme="minorEastAsia"/>
          <w:b/>
        </w:rPr>
        <w:t xml:space="preserve">position </w:t>
      </w:r>
      <w:r w:rsidRPr="005370C5">
        <w:rPr>
          <w:rFonts w:eastAsiaTheme="minorEastAsia"/>
          <w:b/>
        </w:rPr>
        <w:t xml:space="preserve">index #0 and #1 starts at OFDM symbol#0 in slot#0 in a half frame, </w:t>
      </w:r>
      <w:r w:rsidR="001004AD">
        <w:rPr>
          <w:rFonts w:eastAsiaTheme="minorEastAsia"/>
          <w:b/>
        </w:rPr>
        <w:t xml:space="preserve">a </w:t>
      </w:r>
      <w:r w:rsidRPr="005370C5">
        <w:rPr>
          <w:rFonts w:eastAsiaTheme="minorEastAsia"/>
          <w:b/>
        </w:rPr>
        <w:t xml:space="preserve">CSS </w:t>
      </w:r>
      <w:r w:rsidR="001004AD">
        <w:rPr>
          <w:rFonts w:eastAsiaTheme="minorEastAsia"/>
          <w:b/>
        </w:rPr>
        <w:t xml:space="preserve">set </w:t>
      </w:r>
      <w:r w:rsidRPr="005370C5">
        <w:rPr>
          <w:rFonts w:eastAsiaTheme="minorEastAsia"/>
          <w:b/>
        </w:rPr>
        <w:t xml:space="preserve">for SS/PBCH block </w:t>
      </w:r>
      <w:r w:rsidR="00342A6C">
        <w:rPr>
          <w:rFonts w:eastAsiaTheme="minorEastAsia"/>
          <w:b/>
        </w:rPr>
        <w:t xml:space="preserve">position </w:t>
      </w:r>
      <w:r w:rsidRPr="005370C5">
        <w:rPr>
          <w:rFonts w:eastAsiaTheme="minorEastAsia"/>
          <w:b/>
        </w:rPr>
        <w:t xml:space="preserve">index #2 and #3 starts at OFDM symbol#0 in slot#1 in the half frame, </w:t>
      </w:r>
      <w:r w:rsidR="001004AD">
        <w:rPr>
          <w:rFonts w:eastAsiaTheme="minorEastAsia"/>
          <w:b/>
        </w:rPr>
        <w:t xml:space="preserve">a </w:t>
      </w:r>
      <w:r w:rsidRPr="005370C5">
        <w:rPr>
          <w:rFonts w:eastAsiaTheme="minorEastAsia"/>
          <w:b/>
        </w:rPr>
        <w:t>CSS</w:t>
      </w:r>
      <w:r w:rsidR="001004AD">
        <w:rPr>
          <w:rFonts w:eastAsiaTheme="minorEastAsia"/>
          <w:b/>
        </w:rPr>
        <w:t xml:space="preserve"> set</w:t>
      </w:r>
      <w:r w:rsidRPr="005370C5">
        <w:rPr>
          <w:rFonts w:eastAsiaTheme="minorEastAsia"/>
          <w:b/>
        </w:rPr>
        <w:t xml:space="preserve"> for SS/PBCH block </w:t>
      </w:r>
      <w:r w:rsidR="00342A6C">
        <w:rPr>
          <w:rFonts w:eastAsiaTheme="minorEastAsia"/>
          <w:b/>
        </w:rPr>
        <w:t xml:space="preserve">position </w:t>
      </w:r>
      <w:r w:rsidRPr="005370C5">
        <w:rPr>
          <w:rFonts w:eastAsiaTheme="minorEastAsia"/>
          <w:b/>
        </w:rPr>
        <w:t xml:space="preserve">index #4 and #5 starts at OFDM symbol#0 in slot#2 in the half frame, </w:t>
      </w:r>
      <w:r w:rsidR="001004AD">
        <w:rPr>
          <w:rFonts w:eastAsiaTheme="minorEastAsia"/>
          <w:b/>
        </w:rPr>
        <w:t xml:space="preserve">a </w:t>
      </w:r>
      <w:r w:rsidRPr="005370C5">
        <w:rPr>
          <w:rFonts w:eastAsiaTheme="minorEastAsia"/>
          <w:b/>
        </w:rPr>
        <w:t>CSS</w:t>
      </w:r>
      <w:r w:rsidR="001004AD">
        <w:rPr>
          <w:rFonts w:eastAsiaTheme="minorEastAsia"/>
          <w:b/>
        </w:rPr>
        <w:t xml:space="preserve"> set</w:t>
      </w:r>
      <w:r w:rsidRPr="005370C5">
        <w:rPr>
          <w:rFonts w:eastAsiaTheme="minorEastAsia"/>
          <w:b/>
        </w:rPr>
        <w:t xml:space="preserve"> for SS/PBCH block </w:t>
      </w:r>
      <w:r w:rsidR="00342A6C">
        <w:rPr>
          <w:rFonts w:eastAsiaTheme="minorEastAsia"/>
          <w:b/>
        </w:rPr>
        <w:t xml:space="preserve">position </w:t>
      </w:r>
      <w:r w:rsidRPr="005370C5">
        <w:rPr>
          <w:rFonts w:eastAsiaTheme="minorEastAsia"/>
          <w:b/>
        </w:rPr>
        <w:t>index #6 and #7</w:t>
      </w:r>
      <w:r w:rsidR="00342A6C">
        <w:rPr>
          <w:rFonts w:eastAsiaTheme="minorEastAsia"/>
          <w:b/>
        </w:rPr>
        <w:t xml:space="preserve"> </w:t>
      </w:r>
      <w:r w:rsidRPr="005370C5">
        <w:rPr>
          <w:rFonts w:eastAsiaTheme="minorEastAsia"/>
          <w:b/>
        </w:rPr>
        <w:t>starts at OFDM symbol#0 in slot#3 in the half frame,</w:t>
      </w:r>
      <w:r w:rsidR="005370C5" w:rsidRPr="005370C5">
        <w:rPr>
          <w:rFonts w:eastAsiaTheme="minorEastAsia"/>
          <w:b/>
        </w:rPr>
        <w:t xml:space="preserve"> </w:t>
      </w:r>
      <w:r w:rsidR="00342A6C">
        <w:rPr>
          <w:rFonts w:eastAsiaTheme="minorEastAsia"/>
          <w:b/>
        </w:rPr>
        <w:t xml:space="preserve">and a </w:t>
      </w:r>
      <w:r w:rsidR="00342A6C" w:rsidRPr="005370C5">
        <w:rPr>
          <w:rFonts w:eastAsiaTheme="minorEastAsia"/>
          <w:b/>
        </w:rPr>
        <w:t>CSS</w:t>
      </w:r>
      <w:r w:rsidR="00342A6C">
        <w:rPr>
          <w:rFonts w:eastAsiaTheme="minorEastAsia"/>
          <w:b/>
        </w:rPr>
        <w:t xml:space="preserve"> set</w:t>
      </w:r>
      <w:r w:rsidR="00342A6C" w:rsidRPr="005370C5">
        <w:rPr>
          <w:rFonts w:eastAsiaTheme="minorEastAsia"/>
          <w:b/>
        </w:rPr>
        <w:t xml:space="preserve"> for SS/PBCH block </w:t>
      </w:r>
      <w:r w:rsidR="00342A6C">
        <w:rPr>
          <w:rFonts w:eastAsiaTheme="minorEastAsia"/>
          <w:b/>
        </w:rPr>
        <w:t xml:space="preserve">position </w:t>
      </w:r>
      <w:r w:rsidR="00342A6C" w:rsidRPr="005370C5">
        <w:rPr>
          <w:rFonts w:eastAsiaTheme="minorEastAsia"/>
          <w:b/>
        </w:rPr>
        <w:t>index #</w:t>
      </w:r>
      <w:r w:rsidR="00342A6C">
        <w:rPr>
          <w:rFonts w:eastAsiaTheme="minorEastAsia"/>
          <w:b/>
        </w:rPr>
        <w:t>8</w:t>
      </w:r>
      <w:r w:rsidR="00342A6C" w:rsidRPr="005370C5">
        <w:rPr>
          <w:rFonts w:eastAsiaTheme="minorEastAsia"/>
          <w:b/>
        </w:rPr>
        <w:t xml:space="preserve"> and #</w:t>
      </w:r>
      <w:r w:rsidR="00342A6C">
        <w:rPr>
          <w:rFonts w:eastAsiaTheme="minorEastAsia"/>
          <w:b/>
        </w:rPr>
        <w:t xml:space="preserve">9 </w:t>
      </w:r>
      <w:r w:rsidR="00342A6C" w:rsidRPr="005370C5">
        <w:rPr>
          <w:rFonts w:eastAsiaTheme="minorEastAsia"/>
          <w:b/>
        </w:rPr>
        <w:t>starts at OFDM symbol#0 in slot#</w:t>
      </w:r>
      <w:r w:rsidR="00342A6C">
        <w:rPr>
          <w:rFonts w:eastAsiaTheme="minorEastAsia"/>
          <w:b/>
        </w:rPr>
        <w:t>4</w:t>
      </w:r>
      <w:r w:rsidR="00342A6C" w:rsidRPr="005370C5">
        <w:rPr>
          <w:rFonts w:eastAsiaTheme="minorEastAsia"/>
          <w:b/>
        </w:rPr>
        <w:t xml:space="preserve"> in the half frame </w:t>
      </w:r>
      <w:r w:rsidR="005370C5" w:rsidRPr="005370C5">
        <w:rPr>
          <w:rFonts w:eastAsiaTheme="minorEastAsia"/>
          <w:b/>
        </w:rPr>
        <w:t>for a case of 30 kHz SCS and 2 OFDM symbol CORESET.</w:t>
      </w:r>
    </w:p>
    <w:p w14:paraId="18BF423F" w14:textId="5A05B11A" w:rsidR="00781F27" w:rsidRDefault="00781F27" w:rsidP="00FB02CF">
      <w:pPr>
        <w:rPr>
          <w:rFonts w:eastAsia="SimSun"/>
          <w:lang w:eastAsia="zh-CN"/>
        </w:rPr>
      </w:pPr>
      <w:r w:rsidRPr="00781F27">
        <w:rPr>
          <w:noProof/>
        </w:rPr>
        <w:drawing>
          <wp:inline distT="0" distB="0" distL="0" distR="0" wp14:anchorId="600B06CB" wp14:editId="1129327C">
            <wp:extent cx="6327140" cy="642096"/>
            <wp:effectExtent l="0" t="0" r="0" b="571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27140" cy="642096"/>
                    </a:xfrm>
                    <a:prstGeom prst="rect">
                      <a:avLst/>
                    </a:prstGeom>
                    <a:noFill/>
                    <a:ln>
                      <a:noFill/>
                    </a:ln>
                  </pic:spPr>
                </pic:pic>
              </a:graphicData>
            </a:graphic>
          </wp:inline>
        </w:drawing>
      </w:r>
    </w:p>
    <w:p w14:paraId="1F5C39AE" w14:textId="32B9C274" w:rsidR="00781F27" w:rsidRDefault="00E72CD7" w:rsidP="00E72CD7">
      <w:pPr>
        <w:jc w:val="center"/>
        <w:rPr>
          <w:rFonts w:eastAsia="SimSun"/>
          <w:lang w:eastAsia="zh-CN"/>
        </w:rPr>
      </w:pPr>
      <w:r>
        <w:rPr>
          <w:rFonts w:eastAsiaTheme="minorEastAsia" w:hint="eastAsia"/>
        </w:rPr>
        <w:t>F</w:t>
      </w:r>
      <w:r>
        <w:rPr>
          <w:rFonts w:eastAsiaTheme="minorEastAsia"/>
        </w:rPr>
        <w:t xml:space="preserve">igure </w:t>
      </w:r>
      <w:r w:rsidR="00CE61B4">
        <w:rPr>
          <w:rFonts w:eastAsiaTheme="minorEastAsia"/>
        </w:rPr>
        <w:t>3</w:t>
      </w:r>
      <w:r>
        <w:rPr>
          <w:rFonts w:eastAsiaTheme="minorEastAsia"/>
        </w:rPr>
        <w:t>: Proposal on SS/PBCH block and type-0 PDCCH CSS mapping for a case of 30 kHz SCS and 2 OFDM symbol CORESET</w:t>
      </w:r>
    </w:p>
    <w:p w14:paraId="4E4451A6" w14:textId="6692094A" w:rsidR="00FB02CF" w:rsidRPr="00FB02CF" w:rsidRDefault="00FB02CF" w:rsidP="00FB02CF">
      <w:pPr>
        <w:pStyle w:val="10"/>
        <w:spacing w:after="180"/>
        <w:rPr>
          <w:lang w:val="en-US" w:eastAsia="zh-CN"/>
        </w:rPr>
      </w:pPr>
      <w:r w:rsidRPr="008C6D1D">
        <w:rPr>
          <w:lang w:val="en-US" w:eastAsia="zh-CN"/>
        </w:rPr>
        <w:t>Conclusion</w:t>
      </w:r>
    </w:p>
    <w:p w14:paraId="55A087F1" w14:textId="5C96C3D5" w:rsidR="00E74150" w:rsidRDefault="00357B10" w:rsidP="00CE19BC">
      <w:pPr>
        <w:rPr>
          <w:lang w:val="en-US"/>
        </w:rPr>
      </w:pPr>
      <w:r w:rsidRPr="002E56FB">
        <w:rPr>
          <w:lang w:val="en-US"/>
        </w:rPr>
        <w:t xml:space="preserve">In this contribution, we have the following </w:t>
      </w:r>
      <w:r w:rsidR="008C6D1D">
        <w:rPr>
          <w:lang w:val="en-US"/>
        </w:rPr>
        <w:t>proposals</w:t>
      </w:r>
      <w:r w:rsidRPr="002E56FB">
        <w:rPr>
          <w:lang w:val="en-US"/>
        </w:rPr>
        <w:t>:</w:t>
      </w:r>
    </w:p>
    <w:p w14:paraId="0C19FB36" w14:textId="7D01EA8A" w:rsidR="008C6D1D" w:rsidRPr="008C6D1D" w:rsidRDefault="008C6D1D" w:rsidP="00CE19BC">
      <w:pPr>
        <w:rPr>
          <w:lang w:val="en-US"/>
        </w:rPr>
      </w:pPr>
      <w:r>
        <w:rPr>
          <w:b/>
          <w:szCs w:val="24"/>
          <w:lang w:val="en-US"/>
        </w:rPr>
        <w:t xml:space="preserve">Proposal 1: </w:t>
      </w:r>
      <w:r w:rsidRPr="00024CAD">
        <w:rPr>
          <w:b/>
        </w:rPr>
        <w:t xml:space="preserve">To map </w:t>
      </w:r>
      <w:r w:rsidRPr="00024CAD">
        <w:rPr>
          <w:b/>
          <w:szCs w:val="24"/>
          <w:lang w:val="en-US"/>
        </w:rPr>
        <w:t xml:space="preserve">“1 bit” or “2 bits” to the </w:t>
      </w:r>
      <w:r w:rsidRPr="00024CAD">
        <w:rPr>
          <w:b/>
          <w:lang w:val="en-US"/>
        </w:rPr>
        <w:t xml:space="preserve">2 reserved bits </w:t>
      </w:r>
      <w:r w:rsidRPr="00024CAD">
        <w:rPr>
          <w:b/>
          <w:position w:val="-14"/>
        </w:rPr>
        <w:object w:dxaOrig="999" w:dyaOrig="380" w14:anchorId="5BC7046F">
          <v:shape id="_x0000_i1031" type="#_x0000_t75" style="width:50.25pt;height:21.75pt" o:ole="">
            <v:imagedata r:id="rId14" o:title=""/>
          </v:shape>
          <o:OLEObject Type="Embed" ProgID="Equation.3" ShapeID="_x0000_i1031" DrawAspect="Content" ObjectID="_1627480813" r:id="rId21"/>
        </w:object>
      </w:r>
      <w:r>
        <w:rPr>
          <w:b/>
        </w:rPr>
        <w:t xml:space="preserve"> in the PBCH payload.</w:t>
      </w:r>
    </w:p>
    <w:p w14:paraId="7609C3D6" w14:textId="4E047086" w:rsidR="00357B10" w:rsidRDefault="008C6D1D" w:rsidP="00CE19BC">
      <w:pPr>
        <w:rPr>
          <w:b/>
          <w:szCs w:val="24"/>
          <w:lang w:val="en-US"/>
        </w:rPr>
      </w:pPr>
      <w:r w:rsidRPr="000B32DC">
        <w:rPr>
          <w:rFonts w:hint="eastAsia"/>
          <w:b/>
          <w:szCs w:val="24"/>
          <w:lang w:val="en-US"/>
        </w:rPr>
        <w:t>P</w:t>
      </w:r>
      <w:r w:rsidRPr="000B32DC">
        <w:rPr>
          <w:b/>
          <w:szCs w:val="24"/>
          <w:lang w:val="en-US"/>
        </w:rPr>
        <w:t xml:space="preserve">roposal 2: A </w:t>
      </w:r>
      <w:r>
        <w:rPr>
          <w:b/>
          <w:szCs w:val="24"/>
          <w:lang w:val="en-US"/>
        </w:rPr>
        <w:t>is</w:t>
      </w:r>
      <w:r w:rsidRPr="000B32DC">
        <w:rPr>
          <w:b/>
          <w:szCs w:val="24"/>
          <w:lang w:val="en-US"/>
        </w:rPr>
        <w:t xml:space="preserve"> PBCH DMRS sequence index.</w:t>
      </w:r>
    </w:p>
    <w:p w14:paraId="1B5DAC29" w14:textId="6FCF00B0" w:rsidR="008C6D1D" w:rsidRDefault="008C6D1D" w:rsidP="00CE19BC">
      <w:pPr>
        <w:rPr>
          <w:lang w:val="en-US"/>
        </w:rPr>
      </w:pPr>
      <w:r w:rsidRPr="00586B6B">
        <w:rPr>
          <w:rFonts w:hint="eastAsia"/>
          <w:b/>
          <w:szCs w:val="24"/>
          <w:lang w:val="en-US"/>
        </w:rPr>
        <w:t>P</w:t>
      </w:r>
      <w:r w:rsidRPr="00586B6B">
        <w:rPr>
          <w:b/>
          <w:szCs w:val="24"/>
          <w:lang w:val="en-US"/>
        </w:rPr>
        <w:t xml:space="preserve">roposal </w:t>
      </w:r>
      <w:r>
        <w:rPr>
          <w:b/>
          <w:szCs w:val="24"/>
          <w:lang w:val="en-US"/>
        </w:rPr>
        <w:t>3</w:t>
      </w:r>
      <w:r w:rsidRPr="00586B6B">
        <w:rPr>
          <w:b/>
          <w:szCs w:val="24"/>
          <w:lang w:val="en-US"/>
        </w:rPr>
        <w:t>: 1,2,4,8 can be configured for Q.</w:t>
      </w:r>
    </w:p>
    <w:p w14:paraId="34A87C67" w14:textId="5691BA33" w:rsidR="008C6D1D" w:rsidRDefault="008C6D1D" w:rsidP="00CE19BC">
      <w:pPr>
        <w:rPr>
          <w:lang w:val="en-US"/>
        </w:rPr>
      </w:pPr>
      <w:r w:rsidRPr="00E45DB7">
        <w:rPr>
          <w:rFonts w:hint="eastAsia"/>
          <w:b/>
          <w:szCs w:val="24"/>
          <w:lang w:val="en-US"/>
        </w:rPr>
        <w:lastRenderedPageBreak/>
        <w:t>P</w:t>
      </w:r>
      <w:r w:rsidRPr="00E45DB7">
        <w:rPr>
          <w:b/>
          <w:szCs w:val="24"/>
          <w:lang w:val="en-US"/>
        </w:rPr>
        <w:t xml:space="preserve">roposal </w:t>
      </w:r>
      <w:r>
        <w:rPr>
          <w:b/>
          <w:szCs w:val="24"/>
          <w:lang w:val="en-US"/>
        </w:rPr>
        <w:t>4</w:t>
      </w:r>
      <w:r w:rsidRPr="00E45DB7">
        <w:rPr>
          <w:b/>
          <w:szCs w:val="24"/>
          <w:lang w:val="en-US"/>
        </w:rPr>
        <w:t>: The UE identifies a RACH occasion from multiple RACH occasions within an association period for PRACH by using beam index given based on the QCL relation equation.</w:t>
      </w:r>
    </w:p>
    <w:p w14:paraId="6406394E" w14:textId="10C8FD83" w:rsidR="008C6D1D" w:rsidRDefault="008C6D1D" w:rsidP="00CE19BC">
      <w:pPr>
        <w:rPr>
          <w:b/>
          <w:lang w:val="en-US"/>
        </w:rPr>
      </w:pPr>
      <w:r w:rsidRPr="00A03F4C">
        <w:rPr>
          <w:rFonts w:hint="eastAsia"/>
          <w:b/>
          <w:lang w:val="en-US"/>
        </w:rPr>
        <w:t>P</w:t>
      </w:r>
      <w:r w:rsidRPr="00A03F4C">
        <w:rPr>
          <w:b/>
          <w:lang w:val="en-US"/>
        </w:rPr>
        <w:t xml:space="preserve">roposal </w:t>
      </w:r>
      <w:r>
        <w:rPr>
          <w:b/>
          <w:lang w:val="en-US"/>
        </w:rPr>
        <w:t>5</w:t>
      </w:r>
      <w:r w:rsidRPr="00A03F4C">
        <w:rPr>
          <w:b/>
          <w:lang w:val="en-US"/>
        </w:rPr>
        <w:t>: The UE monitors type-0 PDCCH CSS</w:t>
      </w:r>
      <w:r>
        <w:rPr>
          <w:b/>
          <w:lang w:val="en-US"/>
        </w:rPr>
        <w:t xml:space="preserve"> set</w:t>
      </w:r>
      <w:r w:rsidRPr="00A03F4C">
        <w:rPr>
          <w:b/>
          <w:lang w:val="en-US"/>
        </w:rPr>
        <w:t xml:space="preserve"> </w:t>
      </w:r>
      <w:r>
        <w:rPr>
          <w:b/>
          <w:lang w:val="en-US"/>
        </w:rPr>
        <w:t xml:space="preserve">which </w:t>
      </w:r>
      <w:r w:rsidRPr="00A03F4C">
        <w:rPr>
          <w:b/>
          <w:lang w:val="en-US"/>
        </w:rPr>
        <w:t>correspond</w:t>
      </w:r>
      <w:r>
        <w:rPr>
          <w:b/>
          <w:lang w:val="en-US"/>
        </w:rPr>
        <w:t>s</w:t>
      </w:r>
      <w:r w:rsidRPr="00A03F4C">
        <w:rPr>
          <w:b/>
          <w:lang w:val="en-US"/>
        </w:rPr>
        <w:t xml:space="preserve"> to the beam index for the detected SS/PBCH block.</w:t>
      </w:r>
    </w:p>
    <w:p w14:paraId="09B2560C" w14:textId="3D5588CE" w:rsidR="008C6D1D" w:rsidRDefault="008C6D1D" w:rsidP="00CE19BC">
      <w:pPr>
        <w:rPr>
          <w:lang w:val="en-US"/>
        </w:rPr>
      </w:pPr>
      <w:r>
        <w:rPr>
          <w:b/>
          <w:lang w:val="en-US"/>
        </w:rPr>
        <w:t xml:space="preserve">Proposal 6: </w:t>
      </w:r>
      <w:r w:rsidRPr="00A03F4C">
        <w:rPr>
          <w:b/>
          <w:lang w:val="en-US"/>
        </w:rPr>
        <w:t>Q is indicated by MIB.</w:t>
      </w:r>
    </w:p>
    <w:p w14:paraId="064D323D" w14:textId="18D3F384" w:rsidR="008C6D1D" w:rsidRDefault="008C6D1D" w:rsidP="00CE19BC">
      <w:pPr>
        <w:rPr>
          <w:rFonts w:eastAsiaTheme="minorEastAsia"/>
          <w:b/>
        </w:rPr>
      </w:pPr>
      <w:r w:rsidRPr="00C307A4">
        <w:rPr>
          <w:rFonts w:eastAsiaTheme="minorEastAsia" w:hint="eastAsia"/>
          <w:b/>
        </w:rPr>
        <w:t>P</w:t>
      </w:r>
      <w:r w:rsidRPr="00C307A4">
        <w:rPr>
          <w:rFonts w:eastAsiaTheme="minorEastAsia"/>
          <w:b/>
        </w:rPr>
        <w:t xml:space="preserve">roposal </w:t>
      </w:r>
      <w:r>
        <w:rPr>
          <w:rFonts w:eastAsiaTheme="minorEastAsia"/>
          <w:b/>
        </w:rPr>
        <w:t>7</w:t>
      </w:r>
      <w:r w:rsidRPr="00C307A4">
        <w:rPr>
          <w:rFonts w:eastAsiaTheme="minorEastAsia"/>
          <w:b/>
        </w:rPr>
        <w:t xml:space="preserve">: </w:t>
      </w:r>
      <w:r>
        <w:rPr>
          <w:rFonts w:eastAsiaTheme="minorEastAsia"/>
          <w:b/>
        </w:rPr>
        <w:t>Design target for NR-U type-0 PDCCH CSS set should be</w:t>
      </w:r>
      <w:r w:rsidRPr="00C307A4">
        <w:rPr>
          <w:rFonts w:eastAsiaTheme="minorEastAsia"/>
          <w:b/>
        </w:rPr>
        <w:t xml:space="preserve"> </w:t>
      </w:r>
      <w:r w:rsidRPr="000D3BB5">
        <w:rPr>
          <w:rFonts w:eastAsiaTheme="minorEastAsia"/>
          <w:b/>
          <w:i/>
        </w:rPr>
        <w:t>SearchSpaceSIB1</w:t>
      </w:r>
      <w:r w:rsidRPr="000D3BB5">
        <w:rPr>
          <w:rFonts w:eastAsiaTheme="minorEastAsia"/>
          <w:b/>
        </w:rPr>
        <w:t>=1</w:t>
      </w:r>
      <w:r w:rsidRPr="00C307A4">
        <w:rPr>
          <w:rFonts w:eastAsiaTheme="minorEastAsia"/>
          <w:b/>
        </w:rPr>
        <w:t xml:space="preserve"> with 1 OFDM symbol CORESET </w:t>
      </w:r>
      <w:r>
        <w:rPr>
          <w:rFonts w:eastAsiaTheme="minorEastAsia"/>
          <w:b/>
        </w:rPr>
        <w:t>for 30 kHz SCS</w:t>
      </w:r>
      <w:r w:rsidRPr="00C307A4">
        <w:rPr>
          <w:rFonts w:eastAsiaTheme="minorEastAsia"/>
          <w:b/>
        </w:rPr>
        <w:t>.</w:t>
      </w:r>
    </w:p>
    <w:p w14:paraId="1631D384" w14:textId="002E1CA3" w:rsidR="008C6D1D" w:rsidRDefault="008C6D1D" w:rsidP="00CE19BC">
      <w:pPr>
        <w:rPr>
          <w:rFonts w:eastAsiaTheme="minorEastAsia"/>
          <w:b/>
        </w:rPr>
      </w:pPr>
      <w:r w:rsidRPr="00C307A4">
        <w:rPr>
          <w:rFonts w:eastAsiaTheme="minorEastAsia" w:hint="eastAsia"/>
          <w:b/>
        </w:rPr>
        <w:t>P</w:t>
      </w:r>
      <w:r w:rsidRPr="00C307A4">
        <w:rPr>
          <w:rFonts w:eastAsiaTheme="minorEastAsia"/>
          <w:b/>
        </w:rPr>
        <w:t xml:space="preserve">roposal </w:t>
      </w:r>
      <w:r>
        <w:rPr>
          <w:rFonts w:eastAsiaTheme="minorEastAsia"/>
          <w:b/>
        </w:rPr>
        <w:t>8</w:t>
      </w:r>
      <w:r w:rsidRPr="00C307A4">
        <w:rPr>
          <w:rFonts w:eastAsiaTheme="minorEastAsia"/>
          <w:b/>
        </w:rPr>
        <w:t xml:space="preserve">: Baseline assumption for type-0 PDCCH CSS with </w:t>
      </w:r>
      <w:r>
        <w:rPr>
          <w:rFonts w:eastAsiaTheme="minorEastAsia"/>
          <w:b/>
        </w:rPr>
        <w:t>2</w:t>
      </w:r>
      <w:r w:rsidRPr="00C307A4">
        <w:rPr>
          <w:rFonts w:eastAsiaTheme="minorEastAsia"/>
          <w:b/>
        </w:rPr>
        <w:t xml:space="preserve"> OFDM symbol CORESET is </w:t>
      </w:r>
      <w:r>
        <w:rPr>
          <w:rFonts w:eastAsiaTheme="minorEastAsia"/>
          <w:b/>
        </w:rPr>
        <w:t xml:space="preserve">starting </w:t>
      </w:r>
      <w:r w:rsidRPr="00C307A4">
        <w:rPr>
          <w:rFonts w:eastAsiaTheme="minorEastAsia"/>
          <w:b/>
        </w:rPr>
        <w:t>at symbol#0 in a slot as Rel-15 NR.</w:t>
      </w:r>
    </w:p>
    <w:p w14:paraId="040D5397" w14:textId="01D132E8" w:rsidR="008C6D1D" w:rsidRDefault="008C6D1D" w:rsidP="00CE19BC">
      <w:pPr>
        <w:rPr>
          <w:lang w:val="en-US"/>
        </w:rPr>
      </w:pPr>
      <w:r w:rsidRPr="005370C5">
        <w:rPr>
          <w:rFonts w:eastAsiaTheme="minorEastAsia" w:hint="eastAsia"/>
          <w:b/>
        </w:rPr>
        <w:t>P</w:t>
      </w:r>
      <w:r w:rsidRPr="005370C5">
        <w:rPr>
          <w:rFonts w:eastAsiaTheme="minorEastAsia"/>
          <w:b/>
        </w:rPr>
        <w:t xml:space="preserve">roposal </w:t>
      </w:r>
      <w:r>
        <w:rPr>
          <w:rFonts w:eastAsiaTheme="minorEastAsia"/>
          <w:b/>
        </w:rPr>
        <w:t>9</w:t>
      </w:r>
      <w:r w:rsidRPr="005370C5">
        <w:rPr>
          <w:rFonts w:eastAsiaTheme="minorEastAsia"/>
          <w:b/>
        </w:rPr>
        <w:t xml:space="preserve">: </w:t>
      </w:r>
      <w:r>
        <w:rPr>
          <w:rFonts w:eastAsiaTheme="minorEastAsia"/>
          <w:b/>
        </w:rPr>
        <w:t xml:space="preserve">A </w:t>
      </w:r>
      <w:r w:rsidRPr="005370C5">
        <w:rPr>
          <w:rFonts w:eastAsiaTheme="minorEastAsia"/>
          <w:b/>
        </w:rPr>
        <w:t xml:space="preserve">CSS </w:t>
      </w:r>
      <w:r>
        <w:rPr>
          <w:rFonts w:eastAsiaTheme="minorEastAsia"/>
          <w:b/>
        </w:rPr>
        <w:t xml:space="preserve">set </w:t>
      </w:r>
      <w:r w:rsidRPr="005370C5">
        <w:rPr>
          <w:rFonts w:eastAsiaTheme="minorEastAsia"/>
          <w:b/>
        </w:rPr>
        <w:t xml:space="preserve">for SS/PBCH block </w:t>
      </w:r>
      <w:r>
        <w:rPr>
          <w:rFonts w:eastAsiaTheme="minorEastAsia"/>
          <w:b/>
        </w:rPr>
        <w:t xml:space="preserve">position </w:t>
      </w:r>
      <w:r w:rsidRPr="005370C5">
        <w:rPr>
          <w:rFonts w:eastAsiaTheme="minorEastAsia"/>
          <w:b/>
        </w:rPr>
        <w:t xml:space="preserve">index #0 and #1 starts at OFDM symbol#0 in slot#0 in a half frame, </w:t>
      </w:r>
      <w:r>
        <w:rPr>
          <w:rFonts w:eastAsiaTheme="minorEastAsia"/>
          <w:b/>
        </w:rPr>
        <w:t xml:space="preserve">a </w:t>
      </w:r>
      <w:r w:rsidRPr="005370C5">
        <w:rPr>
          <w:rFonts w:eastAsiaTheme="minorEastAsia"/>
          <w:b/>
        </w:rPr>
        <w:t xml:space="preserve">CSS </w:t>
      </w:r>
      <w:r>
        <w:rPr>
          <w:rFonts w:eastAsiaTheme="minorEastAsia"/>
          <w:b/>
        </w:rPr>
        <w:t xml:space="preserve">set </w:t>
      </w:r>
      <w:r w:rsidRPr="005370C5">
        <w:rPr>
          <w:rFonts w:eastAsiaTheme="minorEastAsia"/>
          <w:b/>
        </w:rPr>
        <w:t xml:space="preserve">for SS/PBCH block </w:t>
      </w:r>
      <w:r>
        <w:rPr>
          <w:rFonts w:eastAsiaTheme="minorEastAsia"/>
          <w:b/>
        </w:rPr>
        <w:t xml:space="preserve">position </w:t>
      </w:r>
      <w:r w:rsidRPr="005370C5">
        <w:rPr>
          <w:rFonts w:eastAsiaTheme="minorEastAsia"/>
          <w:b/>
        </w:rPr>
        <w:t xml:space="preserve">index #2 and #3 starts at OFDM symbol#0 in slot#1 in the half frame, </w:t>
      </w:r>
      <w:r>
        <w:rPr>
          <w:rFonts w:eastAsiaTheme="minorEastAsia"/>
          <w:b/>
        </w:rPr>
        <w:t xml:space="preserve">a </w:t>
      </w:r>
      <w:r w:rsidRPr="005370C5">
        <w:rPr>
          <w:rFonts w:eastAsiaTheme="minorEastAsia"/>
          <w:b/>
        </w:rPr>
        <w:t>CSS</w:t>
      </w:r>
      <w:r>
        <w:rPr>
          <w:rFonts w:eastAsiaTheme="minorEastAsia"/>
          <w:b/>
        </w:rPr>
        <w:t xml:space="preserve"> set</w:t>
      </w:r>
      <w:r w:rsidRPr="005370C5">
        <w:rPr>
          <w:rFonts w:eastAsiaTheme="minorEastAsia"/>
          <w:b/>
        </w:rPr>
        <w:t xml:space="preserve"> for SS/PBCH block </w:t>
      </w:r>
      <w:r>
        <w:rPr>
          <w:rFonts w:eastAsiaTheme="minorEastAsia"/>
          <w:b/>
        </w:rPr>
        <w:t xml:space="preserve">position </w:t>
      </w:r>
      <w:r w:rsidRPr="005370C5">
        <w:rPr>
          <w:rFonts w:eastAsiaTheme="minorEastAsia"/>
          <w:b/>
        </w:rPr>
        <w:t xml:space="preserve">index #4 and #5 starts at OFDM symbol#0 in slot#2 in the half frame, </w:t>
      </w:r>
      <w:r>
        <w:rPr>
          <w:rFonts w:eastAsiaTheme="minorEastAsia"/>
          <w:b/>
        </w:rPr>
        <w:t xml:space="preserve">a </w:t>
      </w:r>
      <w:r w:rsidRPr="005370C5">
        <w:rPr>
          <w:rFonts w:eastAsiaTheme="minorEastAsia"/>
          <w:b/>
        </w:rPr>
        <w:t>CSS</w:t>
      </w:r>
      <w:r>
        <w:rPr>
          <w:rFonts w:eastAsiaTheme="minorEastAsia"/>
          <w:b/>
        </w:rPr>
        <w:t xml:space="preserve"> set</w:t>
      </w:r>
      <w:r w:rsidRPr="005370C5">
        <w:rPr>
          <w:rFonts w:eastAsiaTheme="minorEastAsia"/>
          <w:b/>
        </w:rPr>
        <w:t xml:space="preserve"> for SS/PBCH block </w:t>
      </w:r>
      <w:r>
        <w:rPr>
          <w:rFonts w:eastAsiaTheme="minorEastAsia"/>
          <w:b/>
        </w:rPr>
        <w:t xml:space="preserve">position </w:t>
      </w:r>
      <w:r w:rsidRPr="005370C5">
        <w:rPr>
          <w:rFonts w:eastAsiaTheme="minorEastAsia"/>
          <w:b/>
        </w:rPr>
        <w:t>index #6 and #7</w:t>
      </w:r>
      <w:r>
        <w:rPr>
          <w:rFonts w:eastAsiaTheme="minorEastAsia"/>
          <w:b/>
        </w:rPr>
        <w:t xml:space="preserve"> </w:t>
      </w:r>
      <w:r w:rsidRPr="005370C5">
        <w:rPr>
          <w:rFonts w:eastAsiaTheme="minorEastAsia"/>
          <w:b/>
        </w:rPr>
        <w:t xml:space="preserve">starts at OFDM symbol#0 in slot#3 in the half frame, </w:t>
      </w:r>
      <w:r>
        <w:rPr>
          <w:rFonts w:eastAsiaTheme="minorEastAsia"/>
          <w:b/>
        </w:rPr>
        <w:t xml:space="preserve">and a </w:t>
      </w:r>
      <w:r w:rsidRPr="005370C5">
        <w:rPr>
          <w:rFonts w:eastAsiaTheme="minorEastAsia"/>
          <w:b/>
        </w:rPr>
        <w:t>CSS</w:t>
      </w:r>
      <w:r>
        <w:rPr>
          <w:rFonts w:eastAsiaTheme="minorEastAsia"/>
          <w:b/>
        </w:rPr>
        <w:t xml:space="preserve"> set</w:t>
      </w:r>
      <w:r w:rsidRPr="005370C5">
        <w:rPr>
          <w:rFonts w:eastAsiaTheme="minorEastAsia"/>
          <w:b/>
        </w:rPr>
        <w:t xml:space="preserve"> for SS/PBCH block </w:t>
      </w:r>
      <w:r>
        <w:rPr>
          <w:rFonts w:eastAsiaTheme="minorEastAsia"/>
          <w:b/>
        </w:rPr>
        <w:t xml:space="preserve">position </w:t>
      </w:r>
      <w:r w:rsidRPr="005370C5">
        <w:rPr>
          <w:rFonts w:eastAsiaTheme="minorEastAsia"/>
          <w:b/>
        </w:rPr>
        <w:t>index #</w:t>
      </w:r>
      <w:r>
        <w:rPr>
          <w:rFonts w:eastAsiaTheme="minorEastAsia"/>
          <w:b/>
        </w:rPr>
        <w:t>8</w:t>
      </w:r>
      <w:r w:rsidRPr="005370C5">
        <w:rPr>
          <w:rFonts w:eastAsiaTheme="minorEastAsia"/>
          <w:b/>
        </w:rPr>
        <w:t xml:space="preserve"> and #</w:t>
      </w:r>
      <w:r>
        <w:rPr>
          <w:rFonts w:eastAsiaTheme="minorEastAsia"/>
          <w:b/>
        </w:rPr>
        <w:t xml:space="preserve">9 </w:t>
      </w:r>
      <w:r w:rsidRPr="005370C5">
        <w:rPr>
          <w:rFonts w:eastAsiaTheme="minorEastAsia"/>
          <w:b/>
        </w:rPr>
        <w:t>starts at OFDM symbol#0 in slot#</w:t>
      </w:r>
      <w:r>
        <w:rPr>
          <w:rFonts w:eastAsiaTheme="minorEastAsia"/>
          <w:b/>
        </w:rPr>
        <w:t>4</w:t>
      </w:r>
      <w:r w:rsidRPr="005370C5">
        <w:rPr>
          <w:rFonts w:eastAsiaTheme="minorEastAsia"/>
          <w:b/>
        </w:rPr>
        <w:t xml:space="preserve"> in the half frame for a case of 30 kHz SCS and 2 OFDM symbol CORESET.</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1251C243" w14:textId="09AAE5DF" w:rsidR="00163640" w:rsidRDefault="00466067" w:rsidP="00AA5C4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RAN1#9</w:t>
      </w:r>
      <w:r w:rsidR="00024CAD">
        <w:rPr>
          <w:szCs w:val="24"/>
          <w:lang w:eastAsia="ja-JP"/>
        </w:rPr>
        <w:t>7</w:t>
      </w:r>
    </w:p>
    <w:p w14:paraId="5B563FB9" w14:textId="51F14DD5" w:rsidR="00CC0CA8" w:rsidRDefault="00024CAD" w:rsidP="00466067">
      <w:pPr>
        <w:pStyle w:val="textintend2"/>
        <w:widowControl w:val="0"/>
        <w:numPr>
          <w:ilvl w:val="0"/>
          <w:numId w:val="11"/>
        </w:numPr>
        <w:snapToGrid w:val="0"/>
        <w:spacing w:after="0"/>
        <w:ind w:left="720" w:hanging="720"/>
        <w:rPr>
          <w:szCs w:val="24"/>
        </w:rPr>
      </w:pPr>
      <w:r>
        <w:rPr>
          <w:szCs w:val="24"/>
          <w:lang w:eastAsia="ja-JP"/>
        </w:rPr>
        <w:t>3GPP TS38.212V</w:t>
      </w:r>
      <w:r w:rsidRPr="00481D20">
        <w:rPr>
          <w:szCs w:val="24"/>
          <w:lang w:eastAsia="ja-JP"/>
        </w:rPr>
        <w:t>15.6.0</w:t>
      </w:r>
    </w:p>
    <w:sectPr w:rsidR="00CC0CA8" w:rsidSect="008C6B64">
      <w:footerReference w:type="default" r:id="rId2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DB25F" w14:textId="77777777" w:rsidR="003F6EC7" w:rsidRDefault="003F6EC7">
      <w:r>
        <w:separator/>
      </w:r>
    </w:p>
  </w:endnote>
  <w:endnote w:type="continuationSeparator" w:id="0">
    <w:p w14:paraId="4DDD7610" w14:textId="77777777" w:rsidR="003F6EC7" w:rsidRDefault="003F6EC7">
      <w:r>
        <w:continuationSeparator/>
      </w:r>
    </w:p>
  </w:endnote>
  <w:endnote w:type="continuationNotice" w:id="1">
    <w:p w14:paraId="5ED17F68" w14:textId="77777777" w:rsidR="003F6EC7" w:rsidRDefault="003F6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B60E3" w14:textId="77777777" w:rsidR="003F6EC7" w:rsidRDefault="003F6EC7">
      <w:r>
        <w:separator/>
      </w:r>
    </w:p>
  </w:footnote>
  <w:footnote w:type="continuationSeparator" w:id="0">
    <w:p w14:paraId="44E8C930" w14:textId="77777777" w:rsidR="003F6EC7" w:rsidRDefault="003F6EC7">
      <w:r>
        <w:continuationSeparator/>
      </w:r>
    </w:p>
  </w:footnote>
  <w:footnote w:type="continuationNotice" w:id="1">
    <w:p w14:paraId="59E9FCEE" w14:textId="77777777" w:rsidR="003F6EC7" w:rsidRDefault="003F6E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3"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0"/>
  </w:num>
  <w:num w:numId="6">
    <w:abstractNumId w:val="21"/>
  </w:num>
  <w:num w:numId="7">
    <w:abstractNumId w:val="19"/>
  </w:num>
  <w:num w:numId="8">
    <w:abstractNumId w:val="2"/>
  </w:num>
  <w:num w:numId="9">
    <w:abstractNumId w:val="29"/>
  </w:num>
  <w:num w:numId="10">
    <w:abstractNumId w:val="16"/>
  </w:num>
  <w:num w:numId="11">
    <w:abstractNumId w:val="18"/>
  </w:num>
  <w:num w:numId="12">
    <w:abstractNumId w:val="1"/>
  </w:num>
  <w:num w:numId="13">
    <w:abstractNumId w:val="10"/>
  </w:num>
  <w:num w:numId="14">
    <w:abstractNumId w:val="17"/>
  </w:num>
  <w:num w:numId="15">
    <w:abstractNumId w:val="22"/>
  </w:num>
  <w:num w:numId="16">
    <w:abstractNumId w:val="12"/>
  </w:num>
  <w:num w:numId="17">
    <w:abstractNumId w:val="13"/>
  </w:num>
  <w:num w:numId="18">
    <w:abstractNumId w:val="4"/>
  </w:num>
  <w:num w:numId="19">
    <w:abstractNumId w:val="5"/>
  </w:num>
  <w:num w:numId="20">
    <w:abstractNumId w:val="7"/>
  </w:num>
  <w:num w:numId="21">
    <w:abstractNumId w:val="25"/>
  </w:num>
  <w:num w:numId="22">
    <w:abstractNumId w:val="0"/>
  </w:num>
  <w:num w:numId="23">
    <w:abstractNumId w:val="14"/>
  </w:num>
  <w:num w:numId="24">
    <w:abstractNumId w:val="23"/>
  </w:num>
  <w:num w:numId="25">
    <w:abstractNumId w:val="26"/>
  </w:num>
  <w:num w:numId="26">
    <w:abstractNumId w:val="15"/>
  </w:num>
  <w:num w:numId="27">
    <w:abstractNumId w:val="30"/>
  </w:num>
  <w:num w:numId="28">
    <w:abstractNumId w:val="11"/>
  </w:num>
  <w:num w:numId="29">
    <w:abstractNumId w:val="9"/>
  </w:num>
  <w:num w:numId="30">
    <w:abstractNumId w:val="6"/>
  </w:num>
  <w:num w:numId="31">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5E"/>
    <w:rsid w:val="000065C4"/>
    <w:rsid w:val="00006AE0"/>
    <w:rsid w:val="0000709F"/>
    <w:rsid w:val="00010B67"/>
    <w:rsid w:val="00011490"/>
    <w:rsid w:val="0001212C"/>
    <w:rsid w:val="00012676"/>
    <w:rsid w:val="00014528"/>
    <w:rsid w:val="00014DFE"/>
    <w:rsid w:val="00014E62"/>
    <w:rsid w:val="00015075"/>
    <w:rsid w:val="00016A3C"/>
    <w:rsid w:val="00017192"/>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0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F07"/>
    <w:rsid w:val="000757F2"/>
    <w:rsid w:val="00075DF1"/>
    <w:rsid w:val="00075E7B"/>
    <w:rsid w:val="000761C7"/>
    <w:rsid w:val="0007649B"/>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3BB5"/>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73B"/>
    <w:rsid w:val="000F1B52"/>
    <w:rsid w:val="000F2402"/>
    <w:rsid w:val="000F374E"/>
    <w:rsid w:val="000F3E09"/>
    <w:rsid w:val="000F4283"/>
    <w:rsid w:val="000F473E"/>
    <w:rsid w:val="000F53C1"/>
    <w:rsid w:val="000F7182"/>
    <w:rsid w:val="000F72AD"/>
    <w:rsid w:val="000F75A2"/>
    <w:rsid w:val="000F76F0"/>
    <w:rsid w:val="000F7B98"/>
    <w:rsid w:val="001004AD"/>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78D"/>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57E9D"/>
    <w:rsid w:val="001602F7"/>
    <w:rsid w:val="0016032A"/>
    <w:rsid w:val="00160679"/>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F91"/>
    <w:rsid w:val="0017707E"/>
    <w:rsid w:val="00177182"/>
    <w:rsid w:val="001778BF"/>
    <w:rsid w:val="00177971"/>
    <w:rsid w:val="0018010D"/>
    <w:rsid w:val="00180DA8"/>
    <w:rsid w:val="001816B4"/>
    <w:rsid w:val="0018335C"/>
    <w:rsid w:val="00183772"/>
    <w:rsid w:val="001837AA"/>
    <w:rsid w:val="0018398A"/>
    <w:rsid w:val="00183A9C"/>
    <w:rsid w:val="00183F4C"/>
    <w:rsid w:val="00184613"/>
    <w:rsid w:val="001847A8"/>
    <w:rsid w:val="00185650"/>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5E0"/>
    <w:rsid w:val="001F5ABE"/>
    <w:rsid w:val="001F5B3E"/>
    <w:rsid w:val="001F6121"/>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0F0A"/>
    <w:rsid w:val="0021132B"/>
    <w:rsid w:val="00211A16"/>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7CED"/>
    <w:rsid w:val="002201A3"/>
    <w:rsid w:val="00220BA3"/>
    <w:rsid w:val="00221171"/>
    <w:rsid w:val="002217A9"/>
    <w:rsid w:val="0022181C"/>
    <w:rsid w:val="0022205C"/>
    <w:rsid w:val="0022246F"/>
    <w:rsid w:val="0022255E"/>
    <w:rsid w:val="00222899"/>
    <w:rsid w:val="00222B12"/>
    <w:rsid w:val="00222D7C"/>
    <w:rsid w:val="00223EF5"/>
    <w:rsid w:val="002240F0"/>
    <w:rsid w:val="0022424C"/>
    <w:rsid w:val="00224301"/>
    <w:rsid w:val="002243EF"/>
    <w:rsid w:val="00224CCB"/>
    <w:rsid w:val="00224D80"/>
    <w:rsid w:val="00224D98"/>
    <w:rsid w:val="002252FB"/>
    <w:rsid w:val="002253D2"/>
    <w:rsid w:val="00225ABC"/>
    <w:rsid w:val="00225EDC"/>
    <w:rsid w:val="00227310"/>
    <w:rsid w:val="00227BB2"/>
    <w:rsid w:val="00227C8D"/>
    <w:rsid w:val="002300D0"/>
    <w:rsid w:val="0023075E"/>
    <w:rsid w:val="00230977"/>
    <w:rsid w:val="00230C2F"/>
    <w:rsid w:val="00230F32"/>
    <w:rsid w:val="00231329"/>
    <w:rsid w:val="00231834"/>
    <w:rsid w:val="002318F9"/>
    <w:rsid w:val="002319BD"/>
    <w:rsid w:val="00231E1A"/>
    <w:rsid w:val="00232A8A"/>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2947"/>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D09"/>
    <w:rsid w:val="00257F93"/>
    <w:rsid w:val="0026044A"/>
    <w:rsid w:val="00260555"/>
    <w:rsid w:val="002619A8"/>
    <w:rsid w:val="00261A3D"/>
    <w:rsid w:val="00262C66"/>
    <w:rsid w:val="00262E12"/>
    <w:rsid w:val="002630F9"/>
    <w:rsid w:val="00263A00"/>
    <w:rsid w:val="00265BCB"/>
    <w:rsid w:val="00265E7F"/>
    <w:rsid w:val="0026696E"/>
    <w:rsid w:val="00266D10"/>
    <w:rsid w:val="00266F07"/>
    <w:rsid w:val="00267254"/>
    <w:rsid w:val="00267A05"/>
    <w:rsid w:val="00267D49"/>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C1F"/>
    <w:rsid w:val="002A5269"/>
    <w:rsid w:val="002A5935"/>
    <w:rsid w:val="002A6565"/>
    <w:rsid w:val="002A678A"/>
    <w:rsid w:val="002A69D7"/>
    <w:rsid w:val="002A759B"/>
    <w:rsid w:val="002A7B61"/>
    <w:rsid w:val="002A7F4C"/>
    <w:rsid w:val="002B044F"/>
    <w:rsid w:val="002B0B59"/>
    <w:rsid w:val="002B0C59"/>
    <w:rsid w:val="002B0D7F"/>
    <w:rsid w:val="002B0D86"/>
    <w:rsid w:val="002B1313"/>
    <w:rsid w:val="002B1948"/>
    <w:rsid w:val="002B19F6"/>
    <w:rsid w:val="002B1E1C"/>
    <w:rsid w:val="002B1E42"/>
    <w:rsid w:val="002B20D6"/>
    <w:rsid w:val="002B2479"/>
    <w:rsid w:val="002B314D"/>
    <w:rsid w:val="002B3F10"/>
    <w:rsid w:val="002B43FB"/>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A39"/>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859"/>
    <w:rsid w:val="00337BC3"/>
    <w:rsid w:val="00340184"/>
    <w:rsid w:val="003403BC"/>
    <w:rsid w:val="00340542"/>
    <w:rsid w:val="0034111D"/>
    <w:rsid w:val="003417BD"/>
    <w:rsid w:val="00341CD2"/>
    <w:rsid w:val="003420D7"/>
    <w:rsid w:val="003425E2"/>
    <w:rsid w:val="00342A6C"/>
    <w:rsid w:val="00342F60"/>
    <w:rsid w:val="003434C5"/>
    <w:rsid w:val="00343608"/>
    <w:rsid w:val="003436D3"/>
    <w:rsid w:val="00343C20"/>
    <w:rsid w:val="00343CE0"/>
    <w:rsid w:val="00344193"/>
    <w:rsid w:val="0034492A"/>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5BF1"/>
    <w:rsid w:val="0037611A"/>
    <w:rsid w:val="0037617F"/>
    <w:rsid w:val="00376293"/>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619B"/>
    <w:rsid w:val="003A643D"/>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1ED8"/>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CA"/>
    <w:rsid w:val="003D27EB"/>
    <w:rsid w:val="003D2D50"/>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D799D"/>
    <w:rsid w:val="003E0003"/>
    <w:rsid w:val="003E0675"/>
    <w:rsid w:val="003E2668"/>
    <w:rsid w:val="003E2FA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BA4"/>
    <w:rsid w:val="003F5958"/>
    <w:rsid w:val="003F5A97"/>
    <w:rsid w:val="003F5AEC"/>
    <w:rsid w:val="003F5AF3"/>
    <w:rsid w:val="003F5D64"/>
    <w:rsid w:val="003F5EED"/>
    <w:rsid w:val="003F6877"/>
    <w:rsid w:val="003F69A9"/>
    <w:rsid w:val="003F6A5C"/>
    <w:rsid w:val="003F6AB3"/>
    <w:rsid w:val="003F6EC7"/>
    <w:rsid w:val="003F7230"/>
    <w:rsid w:val="003F7316"/>
    <w:rsid w:val="003F7520"/>
    <w:rsid w:val="003F7B00"/>
    <w:rsid w:val="004003D6"/>
    <w:rsid w:val="00400BD8"/>
    <w:rsid w:val="00400EC3"/>
    <w:rsid w:val="00401200"/>
    <w:rsid w:val="0040142B"/>
    <w:rsid w:val="00401F8D"/>
    <w:rsid w:val="00402425"/>
    <w:rsid w:val="00402478"/>
    <w:rsid w:val="0040261B"/>
    <w:rsid w:val="00402B30"/>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6DA"/>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86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76E3"/>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1D2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6E9"/>
    <w:rsid w:val="004A39A6"/>
    <w:rsid w:val="004A3C56"/>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B7EE4"/>
    <w:rsid w:val="004C072C"/>
    <w:rsid w:val="004C0755"/>
    <w:rsid w:val="004C0F99"/>
    <w:rsid w:val="004C0FB3"/>
    <w:rsid w:val="004C1124"/>
    <w:rsid w:val="004C125A"/>
    <w:rsid w:val="004C219D"/>
    <w:rsid w:val="004C2DA3"/>
    <w:rsid w:val="004C2EF9"/>
    <w:rsid w:val="004C3099"/>
    <w:rsid w:val="004C379C"/>
    <w:rsid w:val="004C391A"/>
    <w:rsid w:val="004C4643"/>
    <w:rsid w:val="004C4B5C"/>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59"/>
    <w:rsid w:val="004E74FF"/>
    <w:rsid w:val="004F00E0"/>
    <w:rsid w:val="004F0141"/>
    <w:rsid w:val="004F0456"/>
    <w:rsid w:val="004F0923"/>
    <w:rsid w:val="004F133B"/>
    <w:rsid w:val="004F179C"/>
    <w:rsid w:val="004F1AF1"/>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B0A"/>
    <w:rsid w:val="00513013"/>
    <w:rsid w:val="005134E0"/>
    <w:rsid w:val="005134EE"/>
    <w:rsid w:val="005136E6"/>
    <w:rsid w:val="00513D59"/>
    <w:rsid w:val="00514030"/>
    <w:rsid w:val="00514200"/>
    <w:rsid w:val="005143CA"/>
    <w:rsid w:val="0051457C"/>
    <w:rsid w:val="005149CD"/>
    <w:rsid w:val="00514FF2"/>
    <w:rsid w:val="005150FE"/>
    <w:rsid w:val="005157A4"/>
    <w:rsid w:val="00515D92"/>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0C5"/>
    <w:rsid w:val="00537265"/>
    <w:rsid w:val="0054042F"/>
    <w:rsid w:val="00540492"/>
    <w:rsid w:val="00540E99"/>
    <w:rsid w:val="00540FA1"/>
    <w:rsid w:val="005411F9"/>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DD7"/>
    <w:rsid w:val="005D209C"/>
    <w:rsid w:val="005D2E2C"/>
    <w:rsid w:val="005D367B"/>
    <w:rsid w:val="005D3961"/>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7E"/>
    <w:rsid w:val="005E48FE"/>
    <w:rsid w:val="005E50AC"/>
    <w:rsid w:val="005E51B8"/>
    <w:rsid w:val="005E67E6"/>
    <w:rsid w:val="005E686E"/>
    <w:rsid w:val="005E6CBA"/>
    <w:rsid w:val="005E7795"/>
    <w:rsid w:val="005E7C35"/>
    <w:rsid w:val="005E7DAD"/>
    <w:rsid w:val="005F01A1"/>
    <w:rsid w:val="005F05E2"/>
    <w:rsid w:val="005F1110"/>
    <w:rsid w:val="005F1A48"/>
    <w:rsid w:val="005F1D45"/>
    <w:rsid w:val="005F1F06"/>
    <w:rsid w:val="005F200C"/>
    <w:rsid w:val="005F311F"/>
    <w:rsid w:val="005F35DE"/>
    <w:rsid w:val="005F3B21"/>
    <w:rsid w:val="005F484A"/>
    <w:rsid w:val="005F4BD8"/>
    <w:rsid w:val="005F510F"/>
    <w:rsid w:val="005F57D4"/>
    <w:rsid w:val="005F6852"/>
    <w:rsid w:val="005F6C25"/>
    <w:rsid w:val="005F6C9E"/>
    <w:rsid w:val="00600049"/>
    <w:rsid w:val="006002C1"/>
    <w:rsid w:val="0060067F"/>
    <w:rsid w:val="00600E57"/>
    <w:rsid w:val="00600F43"/>
    <w:rsid w:val="0060163B"/>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3B0"/>
    <w:rsid w:val="00640A15"/>
    <w:rsid w:val="00641913"/>
    <w:rsid w:val="00641DB9"/>
    <w:rsid w:val="00641E5E"/>
    <w:rsid w:val="00642AD0"/>
    <w:rsid w:val="00642E8F"/>
    <w:rsid w:val="0064326F"/>
    <w:rsid w:val="00643E13"/>
    <w:rsid w:val="006441F6"/>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364A"/>
    <w:rsid w:val="0065424E"/>
    <w:rsid w:val="00654313"/>
    <w:rsid w:val="00654A5D"/>
    <w:rsid w:val="00654F3F"/>
    <w:rsid w:val="00655686"/>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36DD"/>
    <w:rsid w:val="006A46DF"/>
    <w:rsid w:val="006A4A3D"/>
    <w:rsid w:val="006A50FE"/>
    <w:rsid w:val="006A514B"/>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1C"/>
    <w:rsid w:val="006B64AF"/>
    <w:rsid w:val="006B64E3"/>
    <w:rsid w:val="006B732A"/>
    <w:rsid w:val="006B7DF1"/>
    <w:rsid w:val="006C011B"/>
    <w:rsid w:val="006C0379"/>
    <w:rsid w:val="006C0409"/>
    <w:rsid w:val="006C071D"/>
    <w:rsid w:val="006C07B8"/>
    <w:rsid w:val="006C0990"/>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B92"/>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40A6"/>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112E"/>
    <w:rsid w:val="0077128C"/>
    <w:rsid w:val="0077185F"/>
    <w:rsid w:val="007721B2"/>
    <w:rsid w:val="00772B27"/>
    <w:rsid w:val="007735BD"/>
    <w:rsid w:val="0077391B"/>
    <w:rsid w:val="007739C1"/>
    <w:rsid w:val="00773BC2"/>
    <w:rsid w:val="007741D5"/>
    <w:rsid w:val="0077479F"/>
    <w:rsid w:val="00774811"/>
    <w:rsid w:val="00774815"/>
    <w:rsid w:val="00774D21"/>
    <w:rsid w:val="0077551C"/>
    <w:rsid w:val="007757A3"/>
    <w:rsid w:val="00775E2B"/>
    <w:rsid w:val="00775FA4"/>
    <w:rsid w:val="007763FA"/>
    <w:rsid w:val="00776B22"/>
    <w:rsid w:val="00777609"/>
    <w:rsid w:val="00777614"/>
    <w:rsid w:val="007777C3"/>
    <w:rsid w:val="00777836"/>
    <w:rsid w:val="00781345"/>
    <w:rsid w:val="0078139A"/>
    <w:rsid w:val="007813BE"/>
    <w:rsid w:val="00781B82"/>
    <w:rsid w:val="00781F27"/>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AD6"/>
    <w:rsid w:val="007D6EFA"/>
    <w:rsid w:val="007D7079"/>
    <w:rsid w:val="007E019B"/>
    <w:rsid w:val="007E01E1"/>
    <w:rsid w:val="007E0460"/>
    <w:rsid w:val="007E0CBC"/>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1E53"/>
    <w:rsid w:val="008624B9"/>
    <w:rsid w:val="0086262F"/>
    <w:rsid w:val="00862BAB"/>
    <w:rsid w:val="0086330B"/>
    <w:rsid w:val="00863FAD"/>
    <w:rsid w:val="008640A3"/>
    <w:rsid w:val="008641FB"/>
    <w:rsid w:val="0086435E"/>
    <w:rsid w:val="008646E9"/>
    <w:rsid w:val="00864E0A"/>
    <w:rsid w:val="00866054"/>
    <w:rsid w:val="008660E5"/>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D98"/>
    <w:rsid w:val="00876067"/>
    <w:rsid w:val="00876681"/>
    <w:rsid w:val="00876AEF"/>
    <w:rsid w:val="00877EC8"/>
    <w:rsid w:val="008803E5"/>
    <w:rsid w:val="008805B2"/>
    <w:rsid w:val="00880A50"/>
    <w:rsid w:val="00880A6A"/>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6D1D"/>
    <w:rsid w:val="008C7147"/>
    <w:rsid w:val="008C72A0"/>
    <w:rsid w:val="008C736A"/>
    <w:rsid w:val="008C7C51"/>
    <w:rsid w:val="008C7CE0"/>
    <w:rsid w:val="008D128B"/>
    <w:rsid w:val="008D2ADA"/>
    <w:rsid w:val="008D2E08"/>
    <w:rsid w:val="008D3704"/>
    <w:rsid w:val="008D3981"/>
    <w:rsid w:val="008D39C6"/>
    <w:rsid w:val="008D3FDC"/>
    <w:rsid w:val="008D4110"/>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B7E"/>
    <w:rsid w:val="00970192"/>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FF8"/>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3F4C"/>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17DE"/>
    <w:rsid w:val="00A82461"/>
    <w:rsid w:val="00A83F45"/>
    <w:rsid w:val="00A845A6"/>
    <w:rsid w:val="00A8479A"/>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23E1"/>
    <w:rsid w:val="00AB3523"/>
    <w:rsid w:val="00AB3EE8"/>
    <w:rsid w:val="00AB40D2"/>
    <w:rsid w:val="00AB49F3"/>
    <w:rsid w:val="00AB56F4"/>
    <w:rsid w:val="00AB599C"/>
    <w:rsid w:val="00AB5DFD"/>
    <w:rsid w:val="00AB5F48"/>
    <w:rsid w:val="00AB654E"/>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23B"/>
    <w:rsid w:val="00B16574"/>
    <w:rsid w:val="00B167AA"/>
    <w:rsid w:val="00B1740A"/>
    <w:rsid w:val="00B205C8"/>
    <w:rsid w:val="00B20CAD"/>
    <w:rsid w:val="00B214AC"/>
    <w:rsid w:val="00B2161B"/>
    <w:rsid w:val="00B21B18"/>
    <w:rsid w:val="00B2255B"/>
    <w:rsid w:val="00B227D2"/>
    <w:rsid w:val="00B22E1C"/>
    <w:rsid w:val="00B22F76"/>
    <w:rsid w:val="00B23321"/>
    <w:rsid w:val="00B23337"/>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4748"/>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63E"/>
    <w:rsid w:val="00B9514C"/>
    <w:rsid w:val="00B9529F"/>
    <w:rsid w:val="00B95904"/>
    <w:rsid w:val="00B96789"/>
    <w:rsid w:val="00B96A14"/>
    <w:rsid w:val="00B96EBF"/>
    <w:rsid w:val="00B97BE7"/>
    <w:rsid w:val="00BA1AB9"/>
    <w:rsid w:val="00BA21D0"/>
    <w:rsid w:val="00BA2722"/>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56C2"/>
    <w:rsid w:val="00BB582A"/>
    <w:rsid w:val="00BB5C96"/>
    <w:rsid w:val="00BB660D"/>
    <w:rsid w:val="00BB69CF"/>
    <w:rsid w:val="00BB703C"/>
    <w:rsid w:val="00BB7501"/>
    <w:rsid w:val="00BB76C4"/>
    <w:rsid w:val="00BB78E0"/>
    <w:rsid w:val="00BB799B"/>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6A8"/>
    <w:rsid w:val="00BE6EC1"/>
    <w:rsid w:val="00BE74E8"/>
    <w:rsid w:val="00BE7E8B"/>
    <w:rsid w:val="00BF1282"/>
    <w:rsid w:val="00BF18AC"/>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179"/>
    <w:rsid w:val="00C141E6"/>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7A4"/>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1A2C"/>
    <w:rsid w:val="00C432A3"/>
    <w:rsid w:val="00C43453"/>
    <w:rsid w:val="00C43A4A"/>
    <w:rsid w:val="00C44865"/>
    <w:rsid w:val="00C44FE7"/>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343D"/>
    <w:rsid w:val="00CC46D9"/>
    <w:rsid w:val="00CC4778"/>
    <w:rsid w:val="00CC4CF1"/>
    <w:rsid w:val="00CC4D0A"/>
    <w:rsid w:val="00CC4D64"/>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D84"/>
    <w:rsid w:val="00CE0F1E"/>
    <w:rsid w:val="00CE1314"/>
    <w:rsid w:val="00CE15C2"/>
    <w:rsid w:val="00CE19BC"/>
    <w:rsid w:val="00CE1AB8"/>
    <w:rsid w:val="00CE1F14"/>
    <w:rsid w:val="00CE2B36"/>
    <w:rsid w:val="00CE3903"/>
    <w:rsid w:val="00CE5021"/>
    <w:rsid w:val="00CE51C5"/>
    <w:rsid w:val="00CE557C"/>
    <w:rsid w:val="00CE5DAE"/>
    <w:rsid w:val="00CE61B4"/>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6F1"/>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49B"/>
    <w:rsid w:val="00D2498D"/>
    <w:rsid w:val="00D24E4B"/>
    <w:rsid w:val="00D255FF"/>
    <w:rsid w:val="00D25B6B"/>
    <w:rsid w:val="00D25E70"/>
    <w:rsid w:val="00D26487"/>
    <w:rsid w:val="00D264D0"/>
    <w:rsid w:val="00D26526"/>
    <w:rsid w:val="00D268C9"/>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B08"/>
    <w:rsid w:val="00D35E19"/>
    <w:rsid w:val="00D3640A"/>
    <w:rsid w:val="00D36A43"/>
    <w:rsid w:val="00D36C41"/>
    <w:rsid w:val="00D36F7F"/>
    <w:rsid w:val="00D37358"/>
    <w:rsid w:val="00D375B0"/>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B85"/>
    <w:rsid w:val="00D878D0"/>
    <w:rsid w:val="00D87A07"/>
    <w:rsid w:val="00D87F43"/>
    <w:rsid w:val="00D90599"/>
    <w:rsid w:val="00D90EFE"/>
    <w:rsid w:val="00D91054"/>
    <w:rsid w:val="00D915F8"/>
    <w:rsid w:val="00D91664"/>
    <w:rsid w:val="00D91B4D"/>
    <w:rsid w:val="00D91FF1"/>
    <w:rsid w:val="00D92E52"/>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75D2"/>
    <w:rsid w:val="00DC75EF"/>
    <w:rsid w:val="00DD04E3"/>
    <w:rsid w:val="00DD0BE7"/>
    <w:rsid w:val="00DD0C0A"/>
    <w:rsid w:val="00DD14A6"/>
    <w:rsid w:val="00DD1A8C"/>
    <w:rsid w:val="00DD23A7"/>
    <w:rsid w:val="00DD27BC"/>
    <w:rsid w:val="00DD2803"/>
    <w:rsid w:val="00DD2A4A"/>
    <w:rsid w:val="00DD2BD6"/>
    <w:rsid w:val="00DD2D58"/>
    <w:rsid w:val="00DD2FB3"/>
    <w:rsid w:val="00DD3E28"/>
    <w:rsid w:val="00DD430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689"/>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969"/>
    <w:rsid w:val="00E72386"/>
    <w:rsid w:val="00E727C7"/>
    <w:rsid w:val="00E72CD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848"/>
    <w:rsid w:val="00ED39D2"/>
    <w:rsid w:val="00ED4E21"/>
    <w:rsid w:val="00ED51EE"/>
    <w:rsid w:val="00ED5277"/>
    <w:rsid w:val="00ED585C"/>
    <w:rsid w:val="00ED5DA8"/>
    <w:rsid w:val="00ED6186"/>
    <w:rsid w:val="00ED6C79"/>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F0438"/>
    <w:rsid w:val="00EF0653"/>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621"/>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F6F"/>
    <w:rsid w:val="00F33049"/>
    <w:rsid w:val="00F33077"/>
    <w:rsid w:val="00F3649C"/>
    <w:rsid w:val="00F368B5"/>
    <w:rsid w:val="00F36D81"/>
    <w:rsid w:val="00F376A6"/>
    <w:rsid w:val="00F40571"/>
    <w:rsid w:val="00F40774"/>
    <w:rsid w:val="00F4078B"/>
    <w:rsid w:val="00F40D71"/>
    <w:rsid w:val="00F42577"/>
    <w:rsid w:val="00F4292B"/>
    <w:rsid w:val="00F42C64"/>
    <w:rsid w:val="00F43596"/>
    <w:rsid w:val="00F43AD3"/>
    <w:rsid w:val="00F43E04"/>
    <w:rsid w:val="00F44F18"/>
    <w:rsid w:val="00F45193"/>
    <w:rsid w:val="00F4586F"/>
    <w:rsid w:val="00F45BCD"/>
    <w:rsid w:val="00F45F17"/>
    <w:rsid w:val="00F462D1"/>
    <w:rsid w:val="00F46BF9"/>
    <w:rsid w:val="00F4705C"/>
    <w:rsid w:val="00F47D52"/>
    <w:rsid w:val="00F50C70"/>
    <w:rsid w:val="00F521D6"/>
    <w:rsid w:val="00F522E1"/>
    <w:rsid w:val="00F52A90"/>
    <w:rsid w:val="00F52B2F"/>
    <w:rsid w:val="00F536F0"/>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4BFF"/>
    <w:rsid w:val="00FB4FAC"/>
    <w:rsid w:val="00FB5877"/>
    <w:rsid w:val="00FB5F96"/>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8F5"/>
    <w:rsid w:val="00FE7A41"/>
    <w:rsid w:val="00FE7DE8"/>
    <w:rsid w:val="00FF03CF"/>
    <w:rsid w:val="00FF0981"/>
    <w:rsid w:val="00FF0DE0"/>
    <w:rsid w:val="00FF1D1C"/>
    <w:rsid w:val="00FF2066"/>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1513957">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0A3E2-A9CA-4BDB-ADCC-7DA96F23A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1517</Words>
  <Characters>8649</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吉村友樹/研究員</cp:lastModifiedBy>
  <cp:revision>3</cp:revision>
  <cp:lastPrinted>2019-03-18T06:48:00Z</cp:lastPrinted>
  <dcterms:created xsi:type="dcterms:W3CDTF">2019-08-16T06:33:00Z</dcterms:created>
  <dcterms:modified xsi:type="dcterms:W3CDTF">2019-08-16T06:33:00Z</dcterms:modified>
</cp:coreProperties>
</file>