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7CE891C9" w:rsidR="00E90E49" w:rsidRPr="00CE0424" w:rsidRDefault="00AE2834" w:rsidP="00E35559">
      <w:pPr>
        <w:pStyle w:val="3GPPHeader"/>
        <w:spacing w:after="60"/>
        <w:rPr>
          <w:sz w:val="32"/>
          <w:szCs w:val="32"/>
          <w:highlight w:val="yellow"/>
        </w:rPr>
      </w:pPr>
      <w:bookmarkStart w:id="0" w:name="_GoBack"/>
      <w:bookmarkEnd w:id="0"/>
      <w:r w:rsidRPr="000A1D33">
        <w:rPr>
          <w:lang w:val="en-US"/>
        </w:rPr>
        <w:t>3GPP TSG-RAN WG1 Meeting #</w:t>
      </w:r>
      <w:r w:rsidR="0013558E">
        <w:rPr>
          <w:lang w:val="en-US"/>
        </w:rPr>
        <w:t>9</w:t>
      </w:r>
      <w:r w:rsidR="00E90C5B">
        <w:rPr>
          <w:lang w:val="en-US"/>
        </w:rPr>
        <w:t>8</w:t>
      </w:r>
      <w:r w:rsidR="00E90E49" w:rsidRPr="00CE0424">
        <w:tab/>
      </w:r>
      <w:r w:rsidR="009056F9" w:rsidRPr="009056F9">
        <w:rPr>
          <w:sz w:val="32"/>
          <w:szCs w:val="32"/>
        </w:rPr>
        <w:t>R1-</w:t>
      </w:r>
      <w:r w:rsidR="008E2E7C" w:rsidRPr="008E2E7C">
        <w:rPr>
          <w:sz w:val="32"/>
          <w:szCs w:val="32"/>
        </w:rPr>
        <w:t>1909026</w:t>
      </w:r>
    </w:p>
    <w:p w14:paraId="51C3CE46" w14:textId="556E51BF" w:rsidR="00E90E49" w:rsidRPr="00CE0424" w:rsidRDefault="00E44CDE" w:rsidP="00311702">
      <w:pPr>
        <w:pStyle w:val="3GPPHeader"/>
      </w:pPr>
      <w:r w:rsidRPr="00F471F1">
        <w:rPr>
          <w:lang w:val="en-US"/>
        </w:rPr>
        <w:t>Prague, CZ, August 26</w:t>
      </w:r>
      <w:r w:rsidRPr="00F471F1">
        <w:rPr>
          <w:vertAlign w:val="superscript"/>
          <w:lang w:val="en-US"/>
        </w:rPr>
        <w:t>th</w:t>
      </w:r>
      <w:r w:rsidRPr="00F471F1">
        <w:rPr>
          <w:lang w:val="en-US"/>
        </w:rPr>
        <w:t xml:space="preserve"> – 30</w:t>
      </w:r>
      <w:r w:rsidRPr="00F471F1">
        <w:rPr>
          <w:vertAlign w:val="superscript"/>
          <w:lang w:val="en-US"/>
        </w:rPr>
        <w:t>th</w:t>
      </w:r>
      <w:r w:rsidRPr="00F471F1">
        <w:rPr>
          <w:lang w:val="en-US"/>
        </w:rPr>
        <w:t>, 2019</w:t>
      </w:r>
    </w:p>
    <w:p w14:paraId="5FCD4219" w14:textId="77777777" w:rsidR="00E90E49" w:rsidRPr="00CE0424" w:rsidRDefault="00E90E49" w:rsidP="00357380">
      <w:pPr>
        <w:pStyle w:val="3GPPHeader"/>
      </w:pPr>
    </w:p>
    <w:p w14:paraId="606D9DC9" w14:textId="15475EC9" w:rsidR="00E90E49" w:rsidRPr="00B97AB9" w:rsidRDefault="00E90E49" w:rsidP="00311702">
      <w:pPr>
        <w:pStyle w:val="3GPPHeader"/>
        <w:rPr>
          <w:sz w:val="22"/>
          <w:szCs w:val="22"/>
          <w:lang w:val="en-US"/>
        </w:rPr>
      </w:pPr>
      <w:r w:rsidRPr="00B97AB9">
        <w:rPr>
          <w:sz w:val="22"/>
          <w:szCs w:val="22"/>
          <w:lang w:val="en-US"/>
        </w:rPr>
        <w:t>Agenda Item:</w:t>
      </w:r>
      <w:r w:rsidRPr="00B97AB9">
        <w:rPr>
          <w:sz w:val="22"/>
          <w:szCs w:val="22"/>
          <w:lang w:val="en-US"/>
        </w:rPr>
        <w:tab/>
      </w:r>
      <w:r w:rsidR="0013558E" w:rsidRPr="00B97AB9">
        <w:rPr>
          <w:sz w:val="22"/>
          <w:szCs w:val="22"/>
          <w:lang w:val="en-US"/>
        </w:rPr>
        <w:t>7.2.3.3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4F66A72"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897EE5">
        <w:rPr>
          <w:sz w:val="22"/>
          <w:szCs w:val="22"/>
        </w:rPr>
        <w:t>IAB resource configuration and multiplexing</w:t>
      </w:r>
    </w:p>
    <w:p w14:paraId="59D6E79C" w14:textId="7735E5C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64909230" w:rsidR="000A4D8A" w:rsidRPr="003F5094" w:rsidRDefault="00DE2203" w:rsidP="000A4D8A">
      <w:pPr>
        <w:pStyle w:val="BodyText"/>
        <w:rPr>
          <w:rFonts w:cs="Arial"/>
        </w:rPr>
      </w:pPr>
      <w:r w:rsidRPr="005B4CA0">
        <w:rPr>
          <w:rFonts w:cs="Arial"/>
          <w:lang w:val="en-US"/>
        </w:rPr>
        <w:t>In RAN1#9</w:t>
      </w:r>
      <w:r>
        <w:rPr>
          <w:rFonts w:cs="Arial"/>
          <w:lang w:val="en-US"/>
        </w:rPr>
        <w:t>7</w:t>
      </w:r>
      <w:r w:rsidRPr="005B4CA0">
        <w:rPr>
          <w:rFonts w:cs="Arial"/>
          <w:lang w:val="en-US"/>
        </w:rPr>
        <w:t xml:space="preserve">, the following agreements on IAB resource multiplexing were reached </w:t>
      </w:r>
      <w:r w:rsidR="000A4D8A">
        <w:rPr>
          <w:rFonts w:cs="Arial"/>
        </w:rPr>
        <w:fldChar w:fldCharType="begin"/>
      </w:r>
      <w:r w:rsidR="000A4D8A">
        <w:rPr>
          <w:rFonts w:cs="Arial"/>
        </w:rPr>
        <w:instrText xml:space="preserve"> REF _Ref476919366 \r \h </w:instrText>
      </w:r>
      <w:r w:rsidR="000A4D8A">
        <w:rPr>
          <w:rFonts w:cs="Arial"/>
        </w:rPr>
      </w:r>
      <w:r w:rsidR="000A4D8A">
        <w:rPr>
          <w:rFonts w:cs="Arial"/>
        </w:rPr>
        <w:fldChar w:fldCharType="separate"/>
      </w:r>
      <w:r w:rsidR="003A1476">
        <w:rPr>
          <w:rFonts w:cs="Arial"/>
        </w:rPr>
        <w:t>[1]</w:t>
      </w:r>
      <w:r w:rsidR="000A4D8A">
        <w:rPr>
          <w:rFonts w:cs="Arial"/>
        </w:rPr>
        <w:fldChar w:fldCharType="end"/>
      </w:r>
      <w:r w:rsidR="000A4D8A">
        <w:rPr>
          <w:rFonts w:cs="Arial"/>
        </w:rPr>
        <w:t xml:space="preserve"> </w:t>
      </w:r>
      <w:r w:rsidR="000A4D8A" w:rsidRPr="003F5094">
        <w:rPr>
          <w:rFonts w:cs="Arial"/>
        </w:rPr>
        <w:t>:</w:t>
      </w:r>
    </w:p>
    <w:tbl>
      <w:tblPr>
        <w:tblStyle w:val="TableGrid"/>
        <w:tblW w:w="0" w:type="auto"/>
        <w:tblLook w:val="04A0" w:firstRow="1" w:lastRow="0" w:firstColumn="1" w:lastColumn="0" w:noHBand="0" w:noVBand="1"/>
      </w:tblPr>
      <w:tblGrid>
        <w:gridCol w:w="9629"/>
      </w:tblGrid>
      <w:tr w:rsidR="00793E8A" w14:paraId="7E665F98" w14:textId="77777777" w:rsidTr="00793E8A">
        <w:tc>
          <w:tcPr>
            <w:tcW w:w="9629" w:type="dxa"/>
          </w:tcPr>
          <w:p w14:paraId="386E46D3" w14:textId="77777777" w:rsidR="00793E8A" w:rsidRPr="00C547CC" w:rsidRDefault="00793E8A" w:rsidP="00793E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1ADFFA1" w14:textId="77777777" w:rsidR="00E34EEE" w:rsidRPr="00367BF6" w:rsidRDefault="00E34EEE" w:rsidP="00E34EEE">
            <w:pPr>
              <w:pStyle w:val="maintext"/>
              <w:ind w:firstLineChars="0" w:firstLine="0"/>
              <w:jc w:val="left"/>
              <w:rPr>
                <w:rFonts w:ascii="Arial" w:eastAsia="Times New Roman" w:hAnsi="Arial" w:cs="Arial"/>
                <w:lang w:val="en-US" w:eastAsia="en-US"/>
              </w:rPr>
            </w:pPr>
            <w:r w:rsidRPr="00367BF6">
              <w:rPr>
                <w:rFonts w:ascii="Arial" w:eastAsia="Times New Roman" w:hAnsi="Arial" w:cs="Arial"/>
                <w:lang w:val="en-US" w:eastAsia="en-US"/>
              </w:rPr>
              <w:t>For the semi-static DU resource configuration, the following is supported:</w:t>
            </w:r>
          </w:p>
          <w:p w14:paraId="5B347E28" w14:textId="77777777" w:rsidR="00E34EEE" w:rsidRPr="00367BF6" w:rsidRDefault="00E34EEE" w:rsidP="00E34EEE">
            <w:pPr>
              <w:pStyle w:val="maintext"/>
              <w:numPr>
                <w:ilvl w:val="0"/>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The resources are configured on a per DU (cell) basis</w:t>
            </w:r>
          </w:p>
          <w:p w14:paraId="07D8A6FE" w14:textId="77777777" w:rsidR="00E34EEE" w:rsidRPr="00367BF6" w:rsidRDefault="00E34EEE" w:rsidP="00E34EEE">
            <w:pPr>
              <w:pStyle w:val="maintext"/>
              <w:numPr>
                <w:ilvl w:val="1"/>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 xml:space="preserve">FFS: indication of additional supplemental per-link resource configurations of child DUs </w:t>
            </w:r>
          </w:p>
          <w:p w14:paraId="1D8B0550" w14:textId="77777777" w:rsidR="00E34EEE" w:rsidRPr="00367BF6" w:rsidRDefault="00E34EEE" w:rsidP="00E34EEE">
            <w:pPr>
              <w:pStyle w:val="maintext"/>
              <w:numPr>
                <w:ilvl w:val="0"/>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Indication of D/U/F resources in the semi-static DU resource configuration includes the following:</w:t>
            </w:r>
          </w:p>
          <w:p w14:paraId="795799E3" w14:textId="77777777" w:rsidR="00E34EEE" w:rsidRPr="00367BF6" w:rsidRDefault="00E34EEE" w:rsidP="00E34EEE">
            <w:pPr>
              <w:pStyle w:val="maintext"/>
              <w:numPr>
                <w:ilvl w:val="1"/>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 xml:space="preserve">The flexibility to configure </w:t>
            </w:r>
            <w:proofErr w:type="gramStart"/>
            <w:r w:rsidRPr="00367BF6">
              <w:rPr>
                <w:rFonts w:ascii="Arial" w:eastAsia="Times New Roman" w:hAnsi="Arial" w:cs="Arial"/>
                <w:lang w:val="en-US" w:eastAsia="en-US"/>
              </w:rPr>
              <w:t>all of</w:t>
            </w:r>
            <w:proofErr w:type="gramEnd"/>
            <w:r w:rsidRPr="00367BF6">
              <w:rPr>
                <w:rFonts w:ascii="Arial" w:eastAsia="Times New Roman" w:hAnsi="Arial" w:cs="Arial"/>
                <w:lang w:val="en-US" w:eastAsia="en-US"/>
              </w:rPr>
              <w:t xml:space="preserve"> the slot patterns and formats supported by the existing Rel-15 </w:t>
            </w:r>
            <w:r w:rsidRPr="00367BF6">
              <w:rPr>
                <w:rFonts w:ascii="Arial" w:hAnsi="Arial" w:cs="Arial"/>
                <w:i/>
              </w:rPr>
              <w:t>TDD-UL-DL-Config</w:t>
            </w:r>
            <w:r w:rsidRPr="00367BF6">
              <w:rPr>
                <w:rFonts w:ascii="Arial" w:hAnsi="Arial" w:cs="Arial"/>
              </w:rPr>
              <w:t xml:space="preserve"> RRC configurations and slot format table defined in Table 11.1.1-1 in TS38.213</w:t>
            </w:r>
          </w:p>
          <w:p w14:paraId="30B792C6" w14:textId="77777777" w:rsidR="00E34EEE" w:rsidRPr="00367BF6" w:rsidRDefault="00E34EEE" w:rsidP="00E34EEE">
            <w:pPr>
              <w:pStyle w:val="maintext"/>
              <w:numPr>
                <w:ilvl w:val="2"/>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FFS: additional pattern durations than supported in Rel-15</w:t>
            </w:r>
          </w:p>
          <w:p w14:paraId="0D8692C5" w14:textId="77777777" w:rsidR="00E34EEE" w:rsidRPr="00367BF6" w:rsidRDefault="00E34EEE" w:rsidP="00E34EEE">
            <w:pPr>
              <w:pStyle w:val="maintext"/>
              <w:numPr>
                <w:ilvl w:val="2"/>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FFS: default resources or pattern</w:t>
            </w:r>
          </w:p>
          <w:p w14:paraId="7EB94510" w14:textId="77777777" w:rsidR="00E34EEE" w:rsidRPr="00367BF6" w:rsidRDefault="00E34EEE" w:rsidP="00E34EEE">
            <w:pPr>
              <w:pStyle w:val="maintext"/>
              <w:numPr>
                <w:ilvl w:val="1"/>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New slot formats defined only for IAB nodes (DU and MTs) which begin with uplink slots, uplink symbols, or flexible symbols.</w:t>
            </w:r>
          </w:p>
          <w:p w14:paraId="249B6B2E" w14:textId="77777777" w:rsidR="00E34EEE" w:rsidRPr="00367BF6" w:rsidRDefault="00E34EEE" w:rsidP="00E34EEE">
            <w:pPr>
              <w:pStyle w:val="ListParagraph"/>
              <w:numPr>
                <w:ilvl w:val="2"/>
                <w:numId w:val="20"/>
              </w:numPr>
              <w:overflowPunct/>
              <w:autoSpaceDE/>
              <w:autoSpaceDN/>
              <w:adjustRightInd/>
              <w:spacing w:before="60" w:after="60"/>
              <w:textAlignment w:val="auto"/>
              <w:rPr>
                <w:rFonts w:cs="Arial"/>
              </w:rPr>
            </w:pPr>
            <w:r w:rsidRPr="00367BF6">
              <w:rPr>
                <w:rFonts w:cs="Arial"/>
              </w:rPr>
              <w:t>Note: usage of these slot formats should be compatible with Rel-15 access UEs sharing the same link</w:t>
            </w:r>
          </w:p>
          <w:p w14:paraId="796B7AA1" w14:textId="77777777" w:rsidR="00E34EEE" w:rsidRPr="00367BF6" w:rsidRDefault="00E34EEE" w:rsidP="007B2887">
            <w:pPr>
              <w:pStyle w:val="ListParagraph"/>
              <w:numPr>
                <w:ilvl w:val="2"/>
                <w:numId w:val="20"/>
              </w:numPr>
              <w:overflowPunct/>
              <w:autoSpaceDE/>
              <w:autoSpaceDN/>
              <w:adjustRightInd/>
              <w:spacing w:before="60"/>
              <w:textAlignment w:val="auto"/>
              <w:rPr>
                <w:rFonts w:cs="Arial"/>
              </w:rPr>
            </w:pPr>
            <w:r w:rsidRPr="00367BF6">
              <w:rPr>
                <w:rFonts w:cs="Arial"/>
              </w:rPr>
              <w:t>FFS: whether these slot formats also need to be included in the MT RRC configuration and/or SFI carried on DCI Format 2_0</w:t>
            </w:r>
          </w:p>
          <w:p w14:paraId="2B4C7829" w14:textId="77777777" w:rsidR="00E34EEE" w:rsidRPr="00367BF6" w:rsidRDefault="00E34EEE" w:rsidP="00E34EEE">
            <w:pPr>
              <w:pStyle w:val="ListParagraph"/>
              <w:numPr>
                <w:ilvl w:val="0"/>
                <w:numId w:val="20"/>
              </w:numPr>
              <w:overflowPunct/>
              <w:autoSpaceDE/>
              <w:autoSpaceDN/>
              <w:adjustRightInd/>
              <w:spacing w:before="60"/>
              <w:textAlignment w:val="auto"/>
              <w:rPr>
                <w:rFonts w:cs="Arial"/>
              </w:rPr>
            </w:pPr>
            <w:r w:rsidRPr="00367BF6">
              <w:rPr>
                <w:rFonts w:cs="Arial"/>
              </w:rPr>
              <w:t>Indication of H/S/NA for the DU resource configuration is based on one of the following alternatives:</w:t>
            </w:r>
          </w:p>
          <w:p w14:paraId="2FAA9888" w14:textId="77777777" w:rsidR="00E34EEE" w:rsidRPr="00367BF6" w:rsidRDefault="00E34EEE" w:rsidP="00E34EEE">
            <w:pPr>
              <w:pStyle w:val="maintext"/>
              <w:numPr>
                <w:ilvl w:val="1"/>
                <w:numId w:val="20"/>
              </w:numPr>
              <w:ind w:firstLineChars="0"/>
              <w:jc w:val="left"/>
              <w:rPr>
                <w:rFonts w:ascii="Arial" w:eastAsia="Times New Roman" w:hAnsi="Arial" w:cs="Arial"/>
                <w:lang w:val="en-US" w:eastAsia="en-US"/>
              </w:rPr>
            </w:pPr>
            <w:r w:rsidRPr="00367BF6">
              <w:rPr>
                <w:rFonts w:ascii="Arial" w:hAnsi="Arial" w:cs="Arial"/>
                <w:lang w:eastAsia="zh-CN"/>
              </w:rPr>
              <w:t>Alt. 1: H/S/NA is additionally explicitly indicated per-resource type (D/U/F) in each slot</w:t>
            </w:r>
          </w:p>
          <w:p w14:paraId="3EAA78DE" w14:textId="77777777" w:rsidR="00E34EEE" w:rsidRPr="00367BF6" w:rsidRDefault="00E34EEE" w:rsidP="00E34EEE">
            <w:pPr>
              <w:pStyle w:val="maintext"/>
              <w:numPr>
                <w:ilvl w:val="2"/>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To handle potential misalignment in time of the configured DU and MT resources when determining the validity of H/S/NA at the DU one of the following sub-alternatives need to be supported:</w:t>
            </w:r>
          </w:p>
          <w:p w14:paraId="2CEB9FDC" w14:textId="77777777" w:rsidR="00E34EEE" w:rsidRPr="00367BF6" w:rsidRDefault="00E34EEE" w:rsidP="00E34EEE">
            <w:pPr>
              <w:pStyle w:val="ListParagraph"/>
              <w:numPr>
                <w:ilvl w:val="3"/>
                <w:numId w:val="20"/>
              </w:numPr>
              <w:overflowPunct/>
              <w:autoSpaceDE/>
              <w:autoSpaceDN/>
              <w:adjustRightInd/>
              <w:spacing w:before="60"/>
              <w:textAlignment w:val="auto"/>
              <w:rPr>
                <w:rFonts w:cs="Arial"/>
              </w:rPr>
            </w:pPr>
            <w:r w:rsidRPr="00367BF6">
              <w:rPr>
                <w:rFonts w:cs="Arial"/>
              </w:rPr>
              <w:t>1a: H/S/NA is applied relative to the DU resource configuration (D/U/F) slot timing without considering the MT resource configuration or timing.</w:t>
            </w:r>
          </w:p>
          <w:p w14:paraId="66609223" w14:textId="77777777" w:rsidR="00E34EEE" w:rsidRPr="00367BF6" w:rsidRDefault="00E34EEE" w:rsidP="00E34EEE">
            <w:pPr>
              <w:pStyle w:val="maintext"/>
              <w:numPr>
                <w:ilvl w:val="4"/>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t>FFS: definition of additional restrictions on the usage of the semi-static configuration (e.g. guard symbols) based on deployment scenario or DL/UL switching times within an IAB node, etc.</w:t>
            </w:r>
          </w:p>
          <w:p w14:paraId="21D3330A" w14:textId="77777777" w:rsidR="00E34EEE" w:rsidRPr="00367BF6" w:rsidRDefault="00E34EEE" w:rsidP="00E34EEE">
            <w:pPr>
              <w:pStyle w:val="maintext"/>
              <w:numPr>
                <w:ilvl w:val="4"/>
                <w:numId w:val="20"/>
              </w:numPr>
              <w:ind w:firstLineChars="0"/>
              <w:jc w:val="left"/>
              <w:rPr>
                <w:rFonts w:ascii="Arial" w:eastAsia="Times New Roman" w:hAnsi="Arial" w:cs="Arial"/>
                <w:lang w:val="en-US" w:eastAsia="en-US"/>
              </w:rPr>
            </w:pPr>
            <w:r w:rsidRPr="00367BF6">
              <w:rPr>
                <w:rFonts w:ascii="Arial" w:eastAsia="Times New Roman" w:hAnsi="Arial" w:cs="Arial"/>
                <w:lang w:val="en-US" w:eastAsia="en-US"/>
              </w:rPr>
              <w:lastRenderedPageBreak/>
              <w:t>FFS: How the CU can get information about the required guard symbols for a given DU configuration if needed</w:t>
            </w:r>
          </w:p>
          <w:p w14:paraId="3E59D6CE" w14:textId="77777777" w:rsidR="00E34EEE" w:rsidRPr="00367BF6" w:rsidRDefault="00E34EEE" w:rsidP="00E34EEE">
            <w:pPr>
              <w:pStyle w:val="ListParagraph"/>
              <w:numPr>
                <w:ilvl w:val="3"/>
                <w:numId w:val="20"/>
              </w:numPr>
              <w:overflowPunct/>
              <w:autoSpaceDE/>
              <w:autoSpaceDN/>
              <w:adjustRightInd/>
              <w:spacing w:before="60"/>
              <w:textAlignment w:val="auto"/>
              <w:rPr>
                <w:rFonts w:cs="Arial"/>
              </w:rPr>
            </w:pPr>
            <w:r w:rsidRPr="00367BF6">
              <w:rPr>
                <w:rFonts w:cs="Arial"/>
              </w:rPr>
              <w:t>1b: H/S/NA is applied relative to the MT resource configuration (D/U/F) slot timing.</w:t>
            </w:r>
          </w:p>
          <w:p w14:paraId="17928451" w14:textId="77777777" w:rsidR="00E34EEE" w:rsidRPr="00367BF6" w:rsidRDefault="00E34EEE" w:rsidP="00E34EEE">
            <w:pPr>
              <w:pStyle w:val="ListParagraph"/>
              <w:numPr>
                <w:ilvl w:val="4"/>
                <w:numId w:val="20"/>
              </w:numPr>
              <w:overflowPunct/>
              <w:autoSpaceDE/>
              <w:autoSpaceDN/>
              <w:adjustRightInd/>
              <w:spacing w:before="60"/>
              <w:textAlignment w:val="auto"/>
              <w:rPr>
                <w:rFonts w:cs="Arial"/>
              </w:rPr>
            </w:pPr>
            <w:r w:rsidRPr="00367BF6">
              <w:rPr>
                <w:rFonts w:cs="Arial"/>
              </w:rPr>
              <w:t>FFS: Whether and/or how the CU will know the actual H/S/NA resources at the child DU</w:t>
            </w:r>
          </w:p>
          <w:p w14:paraId="6AEAC4FB" w14:textId="77777777" w:rsidR="00E34EEE" w:rsidRPr="00367BF6" w:rsidRDefault="00E34EEE" w:rsidP="00E34EEE">
            <w:pPr>
              <w:pStyle w:val="ListParagraph"/>
              <w:numPr>
                <w:ilvl w:val="4"/>
                <w:numId w:val="20"/>
              </w:numPr>
              <w:overflowPunct/>
              <w:autoSpaceDE/>
              <w:autoSpaceDN/>
              <w:adjustRightInd/>
              <w:spacing w:before="60"/>
              <w:textAlignment w:val="auto"/>
              <w:rPr>
                <w:rFonts w:cs="Arial"/>
              </w:rPr>
            </w:pPr>
            <w:r w:rsidRPr="00367BF6">
              <w:rPr>
                <w:rFonts w:cs="Arial"/>
              </w:rPr>
              <w:t>FFS whether S is explicitly indicated or not</w:t>
            </w:r>
          </w:p>
          <w:p w14:paraId="4B93BBCE" w14:textId="77777777" w:rsidR="00E34EEE" w:rsidRPr="00367BF6" w:rsidRDefault="00E34EEE" w:rsidP="00E34EEE">
            <w:pPr>
              <w:pStyle w:val="ListParagraph"/>
              <w:numPr>
                <w:ilvl w:val="3"/>
                <w:numId w:val="20"/>
              </w:numPr>
              <w:overflowPunct/>
              <w:autoSpaceDE/>
              <w:autoSpaceDN/>
              <w:adjustRightInd/>
              <w:spacing w:before="60"/>
              <w:textAlignment w:val="auto"/>
              <w:rPr>
                <w:rFonts w:cs="Arial"/>
              </w:rPr>
            </w:pPr>
            <w:r w:rsidRPr="00367BF6">
              <w:rPr>
                <w:rFonts w:cs="Arial"/>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7D98B9F4" w14:textId="77777777" w:rsidR="00E34EEE" w:rsidRPr="00367BF6" w:rsidRDefault="00E34EEE" w:rsidP="00E34EEE">
            <w:pPr>
              <w:pStyle w:val="ListParagraph"/>
              <w:numPr>
                <w:ilvl w:val="4"/>
                <w:numId w:val="20"/>
              </w:numPr>
              <w:overflowPunct/>
              <w:autoSpaceDE/>
              <w:autoSpaceDN/>
              <w:adjustRightInd/>
              <w:spacing w:before="60"/>
              <w:textAlignment w:val="auto"/>
              <w:rPr>
                <w:rFonts w:cs="Arial"/>
              </w:rPr>
            </w:pPr>
            <w:r w:rsidRPr="00367BF6">
              <w:rPr>
                <w:rFonts w:cs="Arial"/>
              </w:rPr>
              <w:t>FFS: Whether and/or how the CU will know the actual S/NA resources at the child DU</w:t>
            </w:r>
          </w:p>
          <w:p w14:paraId="6722C9F6" w14:textId="77777777" w:rsidR="00E34EEE" w:rsidRPr="00367BF6" w:rsidRDefault="00E34EEE" w:rsidP="00E34EEE">
            <w:pPr>
              <w:pStyle w:val="ListParagraph"/>
              <w:numPr>
                <w:ilvl w:val="1"/>
                <w:numId w:val="20"/>
              </w:numPr>
              <w:overflowPunct/>
              <w:autoSpaceDE/>
              <w:autoSpaceDN/>
              <w:adjustRightInd/>
              <w:spacing w:before="60"/>
              <w:textAlignment w:val="auto"/>
              <w:rPr>
                <w:rFonts w:cs="Arial"/>
              </w:rPr>
            </w:pPr>
            <w:r w:rsidRPr="00367BF6">
              <w:rPr>
                <w:rFonts w:cs="Arial"/>
              </w:rPr>
              <w:t xml:space="preserve">Alt. 2: NA is explicitly indicated as a resource type in each slot for both the DU and MT configuration. H/S is not explicitly indicated, but implicitly determined by the DU based on the corresponding MT configuration </w:t>
            </w:r>
          </w:p>
          <w:p w14:paraId="3CAADA2E" w14:textId="77777777" w:rsidR="00E34EEE" w:rsidRPr="00367BF6" w:rsidRDefault="00E34EEE" w:rsidP="00E34EEE">
            <w:pPr>
              <w:pStyle w:val="ListParagraph"/>
              <w:numPr>
                <w:ilvl w:val="2"/>
                <w:numId w:val="20"/>
              </w:numPr>
              <w:overflowPunct/>
              <w:autoSpaceDE/>
              <w:autoSpaceDN/>
              <w:adjustRightInd/>
              <w:spacing w:before="60"/>
              <w:textAlignment w:val="auto"/>
              <w:rPr>
                <w:rFonts w:cs="Arial"/>
              </w:rPr>
            </w:pPr>
            <w:r w:rsidRPr="00367BF6">
              <w:rPr>
                <w:rFonts w:cs="Arial"/>
              </w:rPr>
              <w:t>FFS: how to handle the case where there is not a 1-1 mapping of DUs and MTs in the child IAB node</w:t>
            </w:r>
          </w:p>
          <w:p w14:paraId="0180DB33" w14:textId="77777777" w:rsidR="00E34EEE" w:rsidRPr="00367BF6" w:rsidRDefault="00E34EEE" w:rsidP="00E34EEE">
            <w:pPr>
              <w:pStyle w:val="ListParagraph"/>
              <w:numPr>
                <w:ilvl w:val="0"/>
                <w:numId w:val="20"/>
              </w:numPr>
              <w:overflowPunct/>
              <w:autoSpaceDE/>
              <w:autoSpaceDN/>
              <w:adjustRightInd/>
              <w:spacing w:before="60"/>
              <w:textAlignment w:val="auto"/>
              <w:rPr>
                <w:rFonts w:cs="Arial"/>
              </w:rPr>
            </w:pPr>
            <w:r w:rsidRPr="00367BF6">
              <w:rPr>
                <w:rFonts w:cs="Arial"/>
                <w:lang w:val="en-US"/>
              </w:rPr>
              <w:t>Details of the F1-AP signaling design is up to RAN3</w:t>
            </w:r>
          </w:p>
          <w:p w14:paraId="4765E7C1" w14:textId="77777777" w:rsidR="00E34EEE" w:rsidRPr="00367BF6" w:rsidRDefault="00E34EEE" w:rsidP="00E34EEE">
            <w:pPr>
              <w:rPr>
                <w:rFonts w:eastAsia="MS Mincho" w:cs="Arial"/>
                <w:b/>
                <w:highlight w:val="green"/>
                <w:u w:val="single"/>
                <w:lang w:val="en-US" w:eastAsia="ja-JP"/>
              </w:rPr>
            </w:pPr>
            <w:r w:rsidRPr="00367BF6">
              <w:rPr>
                <w:rFonts w:eastAsia="MS Mincho" w:cs="Arial"/>
                <w:b/>
                <w:highlight w:val="green"/>
                <w:u w:val="single"/>
                <w:lang w:val="en-US" w:eastAsia="ja-JP"/>
              </w:rPr>
              <w:t>Agreements:</w:t>
            </w:r>
          </w:p>
          <w:p w14:paraId="2B78A1BF" w14:textId="77777777" w:rsidR="00E34EEE" w:rsidRPr="00367BF6" w:rsidRDefault="00E34EEE" w:rsidP="00E34EEE">
            <w:pPr>
              <w:rPr>
                <w:rFonts w:cs="Arial"/>
                <w:lang w:val="en-US"/>
              </w:rPr>
            </w:pPr>
            <w:r w:rsidRPr="00367BF6">
              <w:rPr>
                <w:rFonts w:cs="Arial"/>
                <w:lang w:val="en-US"/>
              </w:rPr>
              <w:t>If a DU NA or Soft resource is configured with cell-specific signals/channels, the resource is treated as if it were a Hard DU resource (Alt. 2 from RAN1#96bis).</w:t>
            </w:r>
          </w:p>
          <w:p w14:paraId="4DE1D807" w14:textId="77777777" w:rsidR="00E34EEE" w:rsidRPr="00367BF6" w:rsidRDefault="00E34EEE" w:rsidP="00E34EEE">
            <w:pPr>
              <w:numPr>
                <w:ilvl w:val="0"/>
                <w:numId w:val="20"/>
              </w:numPr>
              <w:overflowPunct/>
              <w:autoSpaceDE/>
              <w:autoSpaceDN/>
              <w:adjustRightInd/>
              <w:spacing w:before="60" w:after="0"/>
              <w:jc w:val="left"/>
              <w:textAlignment w:val="auto"/>
              <w:rPr>
                <w:rFonts w:cs="Arial"/>
                <w:lang w:val="en-US"/>
              </w:rPr>
            </w:pPr>
            <w:r w:rsidRPr="00367BF6">
              <w:rPr>
                <w:rFonts w:cs="Arial"/>
                <w:lang w:val="en-US"/>
              </w:rPr>
              <w:t>The list of cell-specific signals/channels includes:</w:t>
            </w:r>
          </w:p>
          <w:p w14:paraId="6C2974DC" w14:textId="77777777" w:rsidR="00E34EEE" w:rsidRPr="00367BF6" w:rsidRDefault="00E34EEE" w:rsidP="00E34EEE">
            <w:pPr>
              <w:numPr>
                <w:ilvl w:val="1"/>
                <w:numId w:val="20"/>
              </w:numPr>
              <w:overflowPunct/>
              <w:autoSpaceDE/>
              <w:autoSpaceDN/>
              <w:adjustRightInd/>
              <w:spacing w:before="60" w:after="0"/>
              <w:jc w:val="left"/>
              <w:textAlignment w:val="auto"/>
              <w:rPr>
                <w:rFonts w:cs="Arial"/>
                <w:lang w:val="en-US"/>
              </w:rPr>
            </w:pPr>
            <w:r w:rsidRPr="00367BF6">
              <w:rPr>
                <w:rFonts w:cs="Arial"/>
                <w:lang w:val="en-US"/>
              </w:rPr>
              <w:t>resources for SSB transmission at DU, including both CD-SSB and non-CD-SSB;</w:t>
            </w:r>
          </w:p>
          <w:p w14:paraId="0D75007B" w14:textId="77777777" w:rsidR="00E34EEE" w:rsidRPr="00367BF6" w:rsidRDefault="00E34EEE" w:rsidP="00E34EEE">
            <w:pPr>
              <w:numPr>
                <w:ilvl w:val="1"/>
                <w:numId w:val="20"/>
              </w:numPr>
              <w:overflowPunct/>
              <w:autoSpaceDE/>
              <w:autoSpaceDN/>
              <w:adjustRightInd/>
              <w:spacing w:before="60" w:after="0"/>
              <w:jc w:val="left"/>
              <w:textAlignment w:val="auto"/>
              <w:rPr>
                <w:rFonts w:cs="Arial"/>
                <w:lang w:val="en-US"/>
              </w:rPr>
            </w:pPr>
            <w:r w:rsidRPr="00367BF6">
              <w:rPr>
                <w:rFonts w:cs="Arial"/>
                <w:lang w:val="en-US"/>
              </w:rPr>
              <w:t>configured RACH occasions for receiving at the DU</w:t>
            </w:r>
          </w:p>
          <w:p w14:paraId="5CA0192B" w14:textId="77777777" w:rsidR="00E34EEE" w:rsidRPr="00367BF6" w:rsidRDefault="00E34EEE" w:rsidP="00E34EEE">
            <w:pPr>
              <w:numPr>
                <w:ilvl w:val="1"/>
                <w:numId w:val="20"/>
              </w:numPr>
              <w:overflowPunct/>
              <w:autoSpaceDE/>
              <w:autoSpaceDN/>
              <w:adjustRightInd/>
              <w:spacing w:before="60" w:after="0"/>
              <w:jc w:val="left"/>
              <w:textAlignment w:val="auto"/>
              <w:rPr>
                <w:rFonts w:cs="Arial"/>
                <w:lang w:val="en-US"/>
              </w:rPr>
            </w:pPr>
            <w:r w:rsidRPr="00367BF6">
              <w:rPr>
                <w:rFonts w:cs="Arial"/>
                <w:lang w:val="en-US"/>
              </w:rPr>
              <w:t>periodic CSI-RS transmission at the DU</w:t>
            </w:r>
          </w:p>
          <w:p w14:paraId="04F26017" w14:textId="77777777" w:rsidR="00E34EEE" w:rsidRPr="00367BF6" w:rsidRDefault="00E34EEE" w:rsidP="00E34EEE">
            <w:pPr>
              <w:numPr>
                <w:ilvl w:val="1"/>
                <w:numId w:val="20"/>
              </w:numPr>
              <w:overflowPunct/>
              <w:autoSpaceDE/>
              <w:autoSpaceDN/>
              <w:adjustRightInd/>
              <w:spacing w:before="60"/>
              <w:jc w:val="left"/>
              <w:textAlignment w:val="auto"/>
              <w:rPr>
                <w:rFonts w:cs="Arial"/>
                <w:lang w:val="en-US"/>
              </w:rPr>
            </w:pPr>
            <w:r w:rsidRPr="00367BF6">
              <w:rPr>
                <w:rFonts w:cs="Arial"/>
                <w:lang w:val="en-US"/>
              </w:rPr>
              <w:t>scheduled resource for receiving SR at DU</w:t>
            </w:r>
          </w:p>
          <w:p w14:paraId="615D012F" w14:textId="77777777" w:rsidR="00E34EEE" w:rsidRPr="00367BF6" w:rsidRDefault="00E34EEE" w:rsidP="00E34EEE">
            <w:pPr>
              <w:numPr>
                <w:ilvl w:val="0"/>
                <w:numId w:val="20"/>
              </w:numPr>
              <w:overflowPunct/>
              <w:autoSpaceDE/>
              <w:autoSpaceDN/>
              <w:adjustRightInd/>
              <w:spacing w:before="60"/>
              <w:jc w:val="left"/>
              <w:textAlignment w:val="auto"/>
              <w:rPr>
                <w:rFonts w:cs="Arial"/>
                <w:lang w:val="en-US"/>
              </w:rPr>
            </w:pPr>
            <w:r w:rsidRPr="00367BF6">
              <w:rPr>
                <w:rFonts w:cs="Arial"/>
                <w:lang w:val="en-US"/>
              </w:rPr>
              <w:t>The parent does not need to be aware of the cell-specific signals/channel configurations of the child DU</w:t>
            </w:r>
          </w:p>
          <w:p w14:paraId="48035612" w14:textId="77777777" w:rsidR="00E34EEE" w:rsidRPr="00367BF6" w:rsidRDefault="00E34EEE" w:rsidP="00E34EEE">
            <w:pPr>
              <w:rPr>
                <w:rFonts w:cs="Arial"/>
                <w:lang w:val="en-US"/>
              </w:rPr>
            </w:pPr>
            <w:r w:rsidRPr="0026693A">
              <w:rPr>
                <w:rFonts w:cs="Arial"/>
                <w:b/>
                <w:highlight w:val="yellow"/>
                <w:u w:val="single"/>
                <w:lang w:val="en-US"/>
              </w:rPr>
              <w:t>Conclusion</w:t>
            </w:r>
            <w:r w:rsidRPr="0026693A">
              <w:rPr>
                <w:rFonts w:cs="Arial"/>
                <w:highlight w:val="yellow"/>
                <w:lang w:val="en-US"/>
              </w:rPr>
              <w:t>:</w:t>
            </w:r>
          </w:p>
          <w:p w14:paraId="4309BCE4" w14:textId="77777777" w:rsidR="00E34EEE" w:rsidRPr="00367BF6" w:rsidRDefault="00E34EEE" w:rsidP="00E34EEE">
            <w:pPr>
              <w:rPr>
                <w:rFonts w:cs="Arial"/>
                <w:lang w:val="en-US"/>
              </w:rPr>
            </w:pPr>
            <w:r w:rsidRPr="00367BF6">
              <w:rPr>
                <w:rFonts w:cs="Arial"/>
                <w:lang w:val="en-US"/>
              </w:rPr>
              <w:t>The following alternatives are considered (to be down-selected in RAN1#98) for the explicit indication of the availability of soft resources:</w:t>
            </w:r>
          </w:p>
          <w:p w14:paraId="67A05430" w14:textId="77777777" w:rsidR="00E34EEE" w:rsidRPr="00367BF6" w:rsidRDefault="00E34EEE" w:rsidP="00E34EEE">
            <w:pPr>
              <w:pStyle w:val="ListParagraph"/>
              <w:numPr>
                <w:ilvl w:val="0"/>
                <w:numId w:val="20"/>
              </w:numPr>
              <w:overflowPunct/>
              <w:autoSpaceDE/>
              <w:autoSpaceDN/>
              <w:adjustRightInd/>
              <w:spacing w:before="60"/>
              <w:textAlignment w:val="auto"/>
              <w:rPr>
                <w:rFonts w:cs="Arial"/>
              </w:rPr>
            </w:pPr>
            <w:r w:rsidRPr="00367BF6">
              <w:rPr>
                <w:rFonts w:cs="Arial"/>
              </w:rPr>
              <w:t>Alt 1) Indicate which MT resources are “IA” for the child DU (DU-IA)</w:t>
            </w:r>
          </w:p>
          <w:p w14:paraId="0CCA9BB8" w14:textId="77777777" w:rsidR="00E34EEE" w:rsidRPr="00367BF6" w:rsidRDefault="00E34EEE" w:rsidP="00E34EEE">
            <w:pPr>
              <w:pStyle w:val="ListParagraph"/>
              <w:numPr>
                <w:ilvl w:val="0"/>
                <w:numId w:val="20"/>
              </w:numPr>
              <w:overflowPunct/>
              <w:autoSpaceDE/>
              <w:autoSpaceDN/>
              <w:adjustRightInd/>
              <w:spacing w:before="60"/>
              <w:textAlignment w:val="auto"/>
              <w:rPr>
                <w:rFonts w:cs="Arial"/>
              </w:rPr>
            </w:pPr>
            <w:r w:rsidRPr="00367BF6">
              <w:rPr>
                <w:rFonts w:cs="Arial"/>
              </w:rPr>
              <w:t>Alt 2a) Indicate DU-IA and MT resource type (MT-D/MT-U/MT-F)</w:t>
            </w:r>
          </w:p>
          <w:p w14:paraId="53C492FF" w14:textId="77777777" w:rsidR="00E34EEE" w:rsidRPr="00367BF6" w:rsidRDefault="00E34EEE" w:rsidP="00E34EEE">
            <w:pPr>
              <w:pStyle w:val="ListParagraph"/>
              <w:numPr>
                <w:ilvl w:val="0"/>
                <w:numId w:val="20"/>
              </w:numPr>
              <w:overflowPunct/>
              <w:autoSpaceDE/>
              <w:autoSpaceDN/>
              <w:adjustRightInd/>
              <w:spacing w:before="60"/>
              <w:textAlignment w:val="auto"/>
              <w:rPr>
                <w:rFonts w:cs="Arial"/>
                <w:lang w:val="sv-SE"/>
              </w:rPr>
            </w:pPr>
            <w:r w:rsidRPr="00367BF6">
              <w:rPr>
                <w:rFonts w:cs="Arial"/>
                <w:lang w:val="sv-SE"/>
              </w:rPr>
              <w:t>Alt 2b) Indicate DU-IA and DU resource type (DU-D/DU-U/DU-F)</w:t>
            </w:r>
          </w:p>
          <w:p w14:paraId="37482079" w14:textId="77777777" w:rsidR="00E34EEE" w:rsidRPr="00367BF6" w:rsidRDefault="00E34EEE" w:rsidP="00E34EEE">
            <w:pPr>
              <w:pStyle w:val="ListParagraph"/>
              <w:numPr>
                <w:ilvl w:val="0"/>
                <w:numId w:val="20"/>
              </w:numPr>
              <w:overflowPunct/>
              <w:autoSpaceDE/>
              <w:autoSpaceDN/>
              <w:adjustRightInd/>
              <w:spacing w:before="60"/>
              <w:textAlignment w:val="auto"/>
              <w:rPr>
                <w:rFonts w:cs="Arial"/>
              </w:rPr>
            </w:pPr>
            <w:r w:rsidRPr="00367BF6">
              <w:rPr>
                <w:rFonts w:cs="Arial"/>
              </w:rPr>
              <w:t xml:space="preserve">Alt 3) Jointly or separately indicate DU-IA, the DU resource type, and/or MT resource type </w:t>
            </w:r>
          </w:p>
          <w:p w14:paraId="48707172" w14:textId="77777777" w:rsidR="00E34EEE" w:rsidRPr="00367BF6" w:rsidRDefault="00E34EEE" w:rsidP="00E34EEE">
            <w:pPr>
              <w:pStyle w:val="ListParagraph"/>
              <w:numPr>
                <w:ilvl w:val="0"/>
                <w:numId w:val="20"/>
              </w:numPr>
              <w:overflowPunct/>
              <w:autoSpaceDE/>
              <w:autoSpaceDN/>
              <w:adjustRightInd/>
              <w:spacing w:before="60"/>
              <w:textAlignment w:val="auto"/>
              <w:rPr>
                <w:rFonts w:cs="Arial"/>
              </w:rPr>
            </w:pPr>
            <w:r w:rsidRPr="00367BF6">
              <w:rPr>
                <w:rFonts w:cs="Arial"/>
              </w:rPr>
              <w:t>FFS: monitoring occasions for the explicit indication at the MT</w:t>
            </w:r>
          </w:p>
          <w:p w14:paraId="6D5203BD" w14:textId="09562259" w:rsidR="00793E8A" w:rsidRPr="00E34EEE" w:rsidRDefault="00E34EEE" w:rsidP="00E34EEE">
            <w:pPr>
              <w:pStyle w:val="ListParagraph"/>
              <w:numPr>
                <w:ilvl w:val="0"/>
                <w:numId w:val="20"/>
              </w:numPr>
              <w:overflowPunct/>
              <w:autoSpaceDE/>
              <w:autoSpaceDN/>
              <w:adjustRightInd/>
              <w:spacing w:before="60"/>
              <w:textAlignment w:val="auto"/>
              <w:rPr>
                <w:rFonts w:cs="Arial"/>
              </w:rPr>
            </w:pPr>
            <w:r w:rsidRPr="00367BF6">
              <w:rPr>
                <w:rFonts w:cs="Arial"/>
                <w:lang w:val="en-US"/>
              </w:rPr>
              <w:t>FFS: whether the processing time for applying an explicit indication at the child DU is defined or left to implementation.</w:t>
            </w:r>
          </w:p>
        </w:tc>
      </w:tr>
    </w:tbl>
    <w:p w14:paraId="05F1B743" w14:textId="2DDE7B60" w:rsidR="000A4D8A" w:rsidRPr="003F5094" w:rsidRDefault="000A4D8A" w:rsidP="000A4D8A">
      <w:pPr>
        <w:pStyle w:val="BodyText"/>
        <w:rPr>
          <w:rFonts w:cs="Arial"/>
        </w:rPr>
      </w:pPr>
    </w:p>
    <w:p w14:paraId="4297A2FF" w14:textId="0CD73384" w:rsidR="003742AC" w:rsidRDefault="00987FBB" w:rsidP="00B91965">
      <w:pPr>
        <w:pStyle w:val="BodyText"/>
        <w:rPr>
          <w:rFonts w:cs="Arial"/>
        </w:rPr>
      </w:pPr>
      <w:r w:rsidRPr="005B4CA0">
        <w:rPr>
          <w:rFonts w:cs="Arial"/>
          <w:lang w:val="en-US"/>
        </w:rPr>
        <w:t xml:space="preserve">In this contribution, we </w:t>
      </w:r>
      <w:r w:rsidRPr="00605343">
        <w:rPr>
          <w:rFonts w:cs="Arial"/>
          <w:lang w:val="en-US"/>
        </w:rPr>
        <w:t xml:space="preserve">discuss the </w:t>
      </w:r>
      <w:r w:rsidR="002A6730">
        <w:rPr>
          <w:rFonts w:cs="Arial"/>
          <w:lang w:val="en-US" w:eastAsia="en-US"/>
        </w:rPr>
        <w:t>semi-static DU resource configuration in term</w:t>
      </w:r>
      <w:r w:rsidR="006E2032">
        <w:rPr>
          <w:rFonts w:cs="Arial"/>
          <w:lang w:val="en-US" w:eastAsia="en-US"/>
        </w:rPr>
        <w:t>s of</w:t>
      </w:r>
      <w:r w:rsidRPr="00605343">
        <w:rPr>
          <w:rFonts w:cs="Arial"/>
          <w:lang w:val="en-US" w:eastAsia="en-US"/>
        </w:rPr>
        <w:t xml:space="preserve"> D/U/F and H/S/N</w:t>
      </w:r>
      <w:r w:rsidR="009E7599" w:rsidRPr="00605343">
        <w:rPr>
          <w:rFonts w:cs="Arial"/>
          <w:lang w:val="en-US" w:eastAsia="en-US"/>
        </w:rPr>
        <w:t>A</w:t>
      </w:r>
      <w:r w:rsidRPr="00605343">
        <w:rPr>
          <w:rFonts w:cs="Arial"/>
          <w:lang w:val="en-US" w:eastAsia="en-US"/>
        </w:rPr>
        <w:t xml:space="preserve"> resource</w:t>
      </w:r>
      <w:r w:rsidR="00731815">
        <w:rPr>
          <w:rFonts w:cs="Arial"/>
          <w:lang w:val="en-US" w:eastAsia="en-US"/>
        </w:rPr>
        <w:t xml:space="preserve"> types, respectively</w:t>
      </w:r>
      <w:r w:rsidRPr="005B4CA0">
        <w:rPr>
          <w:rFonts w:cs="Arial"/>
          <w:lang w:val="en-US"/>
        </w:rPr>
        <w:t xml:space="preserve">, </w:t>
      </w:r>
      <w:r>
        <w:rPr>
          <w:rFonts w:cs="Arial"/>
          <w:lang w:val="en-US"/>
        </w:rPr>
        <w:t xml:space="preserve">as well as the indication of the availability of soft </w:t>
      </w:r>
      <w:r w:rsidR="00EB77E3">
        <w:rPr>
          <w:rFonts w:cs="Arial"/>
          <w:lang w:val="en-US"/>
        </w:rPr>
        <w:t xml:space="preserve">DU </w:t>
      </w:r>
      <w:r>
        <w:rPr>
          <w:rFonts w:cs="Arial"/>
          <w:lang w:val="en-US"/>
        </w:rPr>
        <w:t>resources</w:t>
      </w:r>
      <w:r w:rsidR="003275CD">
        <w:rPr>
          <w:rFonts w:cs="Arial"/>
          <w:lang w:val="en-US"/>
        </w:rPr>
        <w:t>.</w:t>
      </w:r>
      <w:r w:rsidR="00B91965">
        <w:rPr>
          <w:rFonts w:cs="Arial"/>
        </w:rPr>
        <w:t xml:space="preserve"> </w:t>
      </w:r>
    </w:p>
    <w:p w14:paraId="0F95ACE0" w14:textId="5C5C90C3" w:rsidR="00E37EC2" w:rsidRDefault="00E37EC2" w:rsidP="006C3C1B">
      <w:pPr>
        <w:pStyle w:val="Heading1"/>
      </w:pPr>
      <w:r>
        <w:t>Semi-static DU resource configuration</w:t>
      </w:r>
    </w:p>
    <w:p w14:paraId="662A7F99" w14:textId="0BC255C2" w:rsidR="00EA768D" w:rsidRPr="00EA768D" w:rsidRDefault="00EA768D" w:rsidP="00EA768D">
      <w:r>
        <w:t xml:space="preserve">In </w:t>
      </w:r>
      <w:r>
        <w:fldChar w:fldCharType="begin"/>
      </w:r>
      <w:r>
        <w:instrText xml:space="preserve"> REF _Ref15894196 \r \h </w:instrText>
      </w:r>
      <w:r>
        <w:fldChar w:fldCharType="separate"/>
      </w:r>
      <w:r w:rsidR="003A1476">
        <w:t>[2]</w:t>
      </w:r>
      <w:r>
        <w:fldChar w:fldCharType="end"/>
      </w:r>
      <w:r>
        <w:t xml:space="preserve">, it has been agreed that </w:t>
      </w:r>
      <w:r w:rsidR="001E2CD1">
        <w:t xml:space="preserve">the IAB-node/IAB-donor DU resources are provided by a semi-static configuration which is provided separately from the MT resource </w:t>
      </w:r>
      <w:r w:rsidR="00723EC6">
        <w:t>configuration</w:t>
      </w:r>
      <w:r w:rsidR="001E2CD1">
        <w:t xml:space="preserve">. </w:t>
      </w:r>
      <w:r w:rsidR="00D7528D">
        <w:t xml:space="preserve">Therefore, </w:t>
      </w:r>
      <w:r w:rsidR="008E4E4A">
        <w:t xml:space="preserve">a certain DU resource type should not be tied to or </w:t>
      </w:r>
      <w:r w:rsidR="001E38D4">
        <w:t xml:space="preserve">be </w:t>
      </w:r>
      <w:r w:rsidR="008E4E4A">
        <w:t xml:space="preserve">derived from a certain MT resource type. </w:t>
      </w:r>
      <w:r w:rsidR="008F3732">
        <w:t>Otherwise, it also limits the resource utilization efficiency when the IAB node can use the MT and DU resources simultaneously, for example, in case of FDD or full-duplex.</w:t>
      </w:r>
    </w:p>
    <w:p w14:paraId="096868C1" w14:textId="3D8B3AEB" w:rsidR="00E37EC2" w:rsidRDefault="0018621F" w:rsidP="0018621F">
      <w:pPr>
        <w:pStyle w:val="Heading2"/>
      </w:pPr>
      <w:r>
        <w:lastRenderedPageBreak/>
        <w:t>Cell-specific DU configuration</w:t>
      </w:r>
    </w:p>
    <w:p w14:paraId="1D6942D5" w14:textId="74594A55" w:rsidR="006B387F" w:rsidRDefault="006B387F" w:rsidP="006B387F">
      <w:r>
        <w:t>The reason for introducing DU resource configuration in IAB network, including Hard/</w:t>
      </w:r>
      <w:r w:rsidR="004C1D95">
        <w:t>S</w:t>
      </w:r>
      <w:r>
        <w:t>oft configuration, is to enable intra-IAB-node MT/DU coordination in-light of IAB-node half-duplex constraints and possible constraints on the simultaneous transmission or reception at the MT and DU</w:t>
      </w:r>
      <w:r w:rsidR="004430B6">
        <w:t xml:space="preserve"> functionalities</w:t>
      </w:r>
      <w:r>
        <w:t xml:space="preserve"> of an IAB node. </w:t>
      </w:r>
      <w:r w:rsidR="00AA761B">
        <w:t>It has been agreed that t</w:t>
      </w:r>
      <w:r w:rsidR="00AA761B" w:rsidRPr="00AA761B">
        <w:t xml:space="preserve">he resources are configured on a per </w:t>
      </w:r>
      <w:r w:rsidR="009B472B">
        <w:t xml:space="preserve">cell </w:t>
      </w:r>
      <w:r w:rsidR="00AA761B" w:rsidRPr="00AA761B">
        <w:t>basis</w:t>
      </w:r>
      <w:r w:rsidR="00E1277A">
        <w:t>.</w:t>
      </w:r>
    </w:p>
    <w:p w14:paraId="6A35952E" w14:textId="3ED075FF" w:rsidR="006B387F" w:rsidRDefault="006B387F" w:rsidP="006B387F">
      <w:r>
        <w:t xml:space="preserve">In regard of interference management between child links </w:t>
      </w:r>
      <w:r w:rsidR="003F116C">
        <w:t>served by</w:t>
      </w:r>
      <w:r>
        <w:t xml:space="preserve"> the same </w:t>
      </w:r>
      <w:r w:rsidR="003F116C">
        <w:t xml:space="preserve">IAB </w:t>
      </w:r>
      <w:r>
        <w:t xml:space="preserve">DU, whether to allocate the configured DU time resource to a certain child link would be based on the associated link quality evaluation, for example, the SINR measurement report. When the SINR value of a child link is below certain threshold, the parent node may decide not to schedule any transmission on that child link. This can be done even if the </w:t>
      </w:r>
      <w:r w:rsidR="00057835">
        <w:t xml:space="preserve">IAB </w:t>
      </w:r>
      <w:r>
        <w:t xml:space="preserve">DU itself is configured with available resources for DL or UL transmission. </w:t>
      </w:r>
    </w:p>
    <w:p w14:paraId="24A90192" w14:textId="5F55AB1C" w:rsidR="006B387F" w:rsidRDefault="006B387F" w:rsidP="006B387F">
      <w:r w:rsidRPr="00853208">
        <w:t>In regard of multi-parent case,</w:t>
      </w:r>
      <w:r>
        <w:t xml:space="preserve"> the decision on whether to schedule </w:t>
      </w:r>
      <w:r w:rsidR="009B472B">
        <w:t xml:space="preserve">a </w:t>
      </w:r>
      <w:r>
        <w:t xml:space="preserve">certain backhaul link connecting to the IAB node in question </w:t>
      </w:r>
      <w:r w:rsidR="00C01B87">
        <w:t>is</w:t>
      </w:r>
      <w:r>
        <w:t xml:space="preserve"> based on the routing information</w:t>
      </w:r>
      <w:r w:rsidR="00C01B87">
        <w:t xml:space="preserve"> configured by CU-CP</w:t>
      </w:r>
      <w:r w:rsidR="00E91639">
        <w:t>, which</w:t>
      </w:r>
      <w:r w:rsidR="00934FAF">
        <w:t xml:space="preserve"> has a common</w:t>
      </w:r>
      <w:r w:rsidR="00E91639">
        <w:t xml:space="preserve"> </w:t>
      </w:r>
      <w:r w:rsidR="007E7942">
        <w:t>control</w:t>
      </w:r>
      <w:r w:rsidR="00934FAF">
        <w:t xml:space="preserve"> of</w:t>
      </w:r>
      <w:r w:rsidR="007E7942">
        <w:t xml:space="preserve"> the </w:t>
      </w:r>
      <w:r w:rsidR="00A62B50">
        <w:t>multiple parent node</w:t>
      </w:r>
      <w:r w:rsidR="007A4A6E">
        <w:t>s</w:t>
      </w:r>
      <w:r w:rsidR="00A62B50">
        <w:t xml:space="preserve"> connecting to </w:t>
      </w:r>
      <w:r w:rsidR="00AC2A9E">
        <w:t>that</w:t>
      </w:r>
      <w:r w:rsidR="00A62B50">
        <w:t xml:space="preserve"> </w:t>
      </w:r>
      <w:r w:rsidR="000A50C8">
        <w:t>IAB node.</w:t>
      </w:r>
      <w:r w:rsidR="000100F0">
        <w:t xml:space="preserve"> Again, this issue does not need to be handled by the semi-static DU configuration.</w:t>
      </w:r>
      <w:r w:rsidR="00F13268">
        <w:t xml:space="preserve"> </w:t>
      </w:r>
      <w:r w:rsidR="009867B8">
        <w:t xml:space="preserve">What matters </w:t>
      </w:r>
      <w:r w:rsidR="00446C09">
        <w:t>in this case is that</w:t>
      </w:r>
      <w:r w:rsidR="00E6049E">
        <w:t xml:space="preserve"> t</w:t>
      </w:r>
      <w:r w:rsidR="00F13268">
        <w:t>he donor CU guarantee</w:t>
      </w:r>
      <w:r w:rsidR="00014E6F">
        <w:t>s</w:t>
      </w:r>
      <w:r w:rsidR="00F13268">
        <w:t xml:space="preserve"> that </w:t>
      </w:r>
      <w:r w:rsidR="00E709A3">
        <w:t xml:space="preserve">the </w:t>
      </w:r>
      <w:r w:rsidR="0041728E">
        <w:t xml:space="preserve">DUs of </w:t>
      </w:r>
      <w:r w:rsidR="00E709A3">
        <w:t xml:space="preserve">parent nodes connecting to the same IAB node </w:t>
      </w:r>
      <w:r w:rsidR="003C4EDC">
        <w:t>are not configured with opposite transmission direction</w:t>
      </w:r>
      <w:r w:rsidR="00434863">
        <w:t>s</w:t>
      </w:r>
      <w:r w:rsidR="003C4EDC">
        <w:t xml:space="preserve"> within the same </w:t>
      </w:r>
      <w:r w:rsidR="00A76ECD">
        <w:t xml:space="preserve">time-resource. </w:t>
      </w:r>
      <w:r w:rsidR="00FE3152">
        <w:t xml:space="preserve">This is to fulfil the IAB node capability if </w:t>
      </w:r>
      <w:r w:rsidR="00047DC6">
        <w:t>there is only one MT of the IAB node connecting to the multiple parent nodes, and</w:t>
      </w:r>
      <w:r w:rsidR="00057835">
        <w:t xml:space="preserve"> </w:t>
      </w:r>
      <w:r w:rsidR="00047DC6">
        <w:t xml:space="preserve">to avoid unnecessary </w:t>
      </w:r>
      <w:r w:rsidR="00730B68">
        <w:t xml:space="preserve">transmit-to-receive interference at the IAB MT side </w:t>
      </w:r>
      <w:r w:rsidR="00F545F9" w:rsidRPr="00F545F9">
        <w:t>if multiple MTs are equipped in an IAB node connecting to multiple parent nodes</w:t>
      </w:r>
      <w:r w:rsidR="00E20426">
        <w:t>.</w:t>
      </w:r>
      <w:r w:rsidR="00443A66">
        <w:t xml:space="preserve"> This </w:t>
      </w:r>
      <w:r w:rsidR="00CC6291">
        <w:t>can</w:t>
      </w:r>
      <w:r w:rsidR="00866881">
        <w:t xml:space="preserve"> still</w:t>
      </w:r>
      <w:r w:rsidR="00CC6291">
        <w:t xml:space="preserve"> be</w:t>
      </w:r>
      <w:r w:rsidR="00BD7E94">
        <w:t xml:space="preserve"> done </w:t>
      </w:r>
      <w:r w:rsidR="0094310D">
        <w:t>on a per cell basis.</w:t>
      </w:r>
      <w:r w:rsidR="0041728E">
        <w:t xml:space="preserve"> </w:t>
      </w:r>
    </w:p>
    <w:p w14:paraId="02ADFB2F" w14:textId="500BC071" w:rsidR="006B387F" w:rsidRDefault="006B387F" w:rsidP="006B387F">
      <w:r>
        <w:t xml:space="preserve">From above discussion one can conclude that </w:t>
      </w:r>
      <w:r w:rsidR="00057835">
        <w:t xml:space="preserve">at least for Rel-16 </w:t>
      </w:r>
      <w:r>
        <w:t xml:space="preserve">the DU configuration does not need to be link specific, i.e., </w:t>
      </w:r>
      <w:r w:rsidR="008402D3">
        <w:t xml:space="preserve">to have separate </w:t>
      </w:r>
      <w:r w:rsidR="00452317">
        <w:t xml:space="preserve">DU configuration </w:t>
      </w:r>
      <w:r>
        <w:t xml:space="preserve">for each child </w:t>
      </w:r>
      <w:r w:rsidR="00CE0CF0">
        <w:t xml:space="preserve">IAB </w:t>
      </w:r>
      <w:r>
        <w:t xml:space="preserve">node being served by the DU. </w:t>
      </w:r>
      <w:r w:rsidR="009B472B">
        <w:t xml:space="preserve">Any extension to link-specific configuration, if at all justified, can be done in later releases. </w:t>
      </w:r>
    </w:p>
    <w:p w14:paraId="2D934A1D" w14:textId="19965428" w:rsidR="009828E5" w:rsidRDefault="002E07B0" w:rsidP="002E07B0">
      <w:pPr>
        <w:pStyle w:val="Proposal"/>
      </w:pPr>
      <w:bookmarkStart w:id="1" w:name="_Toc16606620"/>
      <w:bookmarkStart w:id="2" w:name="_Toc15562214"/>
      <w:bookmarkStart w:id="3" w:name="_Toc15646204"/>
      <w:bookmarkStart w:id="4" w:name="_Toc15907776"/>
      <w:bookmarkStart w:id="5" w:name="_Toc16247060"/>
      <w:bookmarkStart w:id="6" w:name="_Toc16253749"/>
      <w:bookmarkStart w:id="7" w:name="_Toc16606619"/>
      <w:bookmarkStart w:id="8" w:name="_Toc16606724"/>
      <w:bookmarkStart w:id="9" w:name="_Toc16671971"/>
      <w:bookmarkStart w:id="10" w:name="_Toc16753578"/>
      <w:bookmarkStart w:id="11" w:name="_Toc16758348"/>
      <w:bookmarkStart w:id="12" w:name="_Toc16839104"/>
      <w:bookmarkStart w:id="13" w:name="_Toc16843104"/>
      <w:bookmarkStart w:id="14" w:name="_Toc16857510"/>
      <w:bookmarkEnd w:id="1"/>
      <w:r>
        <w:t>The DU configuration is not link specific at least for Rel-16.</w:t>
      </w:r>
      <w:bookmarkEnd w:id="2"/>
      <w:bookmarkEnd w:id="3"/>
      <w:bookmarkEnd w:id="4"/>
      <w:bookmarkEnd w:id="5"/>
      <w:bookmarkEnd w:id="6"/>
      <w:bookmarkEnd w:id="7"/>
      <w:bookmarkEnd w:id="8"/>
      <w:bookmarkEnd w:id="9"/>
      <w:bookmarkEnd w:id="10"/>
      <w:bookmarkEnd w:id="11"/>
      <w:bookmarkEnd w:id="12"/>
      <w:bookmarkEnd w:id="13"/>
      <w:bookmarkEnd w:id="14"/>
    </w:p>
    <w:p w14:paraId="626C7D4C" w14:textId="39A5B538" w:rsidR="00A32E01" w:rsidRDefault="00A32E01" w:rsidP="00D50029"/>
    <w:p w14:paraId="523D53EA" w14:textId="4CE8E531" w:rsidR="00D50029" w:rsidRDefault="00D50029" w:rsidP="00D50029">
      <w:r>
        <w:t xml:space="preserve">In </w:t>
      </w:r>
      <w:r>
        <w:fldChar w:fldCharType="begin"/>
      </w:r>
      <w:r>
        <w:instrText xml:space="preserve"> REF _Ref15891845 \r \h </w:instrText>
      </w:r>
      <w:r>
        <w:fldChar w:fldCharType="separate"/>
      </w:r>
      <w:r w:rsidR="003A1476">
        <w:t>[3]</w:t>
      </w:r>
      <w:r>
        <w:fldChar w:fldCharType="end"/>
      </w:r>
      <w:r>
        <w:t>, it is proposed to have the concept of supporting link-specific configuration on H/S/NA in IAB network which is similar to the concept of supporting UE-specific TDD-UL-DL configuration in access network by allowing overriding the DU-specific H/S/NA base pattern for a subset of child links. We notice that the only valid overriding rule is when the Hard/Soft resource type is overridden by NA, which is not against the agreed IAB node behaviour</w:t>
      </w:r>
      <w:r w:rsidR="002D0B98">
        <w:t>s</w:t>
      </w:r>
      <w:r>
        <w:t xml:space="preserve"> with respect to the hard/soft DU resources. </w:t>
      </w:r>
      <w:r w:rsidR="00AD104F">
        <w:t>Such an overriding</w:t>
      </w:r>
      <w:r>
        <w:t xml:space="preserve"> means to semi-statically disable a certain subset of child links under the IAB DU in question. </w:t>
      </w:r>
    </w:p>
    <w:p w14:paraId="145397B6" w14:textId="4C168BF1" w:rsidR="00586648" w:rsidRPr="004B033E" w:rsidRDefault="00567234" w:rsidP="00104B48">
      <w:pPr>
        <w:pStyle w:val="Proposal"/>
      </w:pPr>
      <w:bookmarkStart w:id="15" w:name="_Toc15907778"/>
      <w:bookmarkStart w:id="16" w:name="_Toc16247062"/>
      <w:bookmarkStart w:id="17" w:name="_Toc16253751"/>
      <w:bookmarkStart w:id="18" w:name="_Toc16606621"/>
      <w:bookmarkStart w:id="19" w:name="_Toc16606726"/>
      <w:bookmarkStart w:id="20" w:name="_Toc16671972"/>
      <w:bookmarkStart w:id="21" w:name="_Toc16753579"/>
      <w:bookmarkStart w:id="22" w:name="_Toc16758349"/>
      <w:bookmarkStart w:id="23" w:name="_Toc16839106"/>
      <w:bookmarkStart w:id="24" w:name="_Toc16843105"/>
      <w:bookmarkStart w:id="25" w:name="_Toc16857511"/>
      <w:r w:rsidRPr="003A1476">
        <w:rPr>
          <w:i/>
        </w:rPr>
        <w:t>If it should be agreed to include the support for link-specific DU configuration</w:t>
      </w:r>
      <w:r w:rsidRPr="00CB216B">
        <w:t xml:space="preserve">, more specifically, by </w:t>
      </w:r>
      <w:r w:rsidRPr="009E6647">
        <w:t xml:space="preserve">allowing overriding </w:t>
      </w:r>
      <w:proofErr w:type="gramStart"/>
      <w:r w:rsidRPr="009E6647">
        <w:t>the  DU</w:t>
      </w:r>
      <w:proofErr w:type="gramEnd"/>
      <w:r w:rsidRPr="009E6647">
        <w:t>-specific H/S/NA base pattern for a subset of child links, it should only allow the Hard/Soft resource type overridden by NA, but not allow overriding from Hard to Soft, from Soft to Hard, nor from NA to Hard/Soft</w:t>
      </w:r>
      <w:r w:rsidR="00D50029">
        <w:t>.</w:t>
      </w:r>
      <w:bookmarkEnd w:id="15"/>
      <w:bookmarkEnd w:id="16"/>
      <w:bookmarkEnd w:id="17"/>
      <w:bookmarkEnd w:id="18"/>
      <w:bookmarkEnd w:id="19"/>
      <w:bookmarkEnd w:id="20"/>
      <w:bookmarkEnd w:id="21"/>
      <w:bookmarkEnd w:id="22"/>
      <w:bookmarkEnd w:id="23"/>
      <w:bookmarkEnd w:id="24"/>
      <w:bookmarkEnd w:id="25"/>
    </w:p>
    <w:p w14:paraId="1BBB6A26" w14:textId="77777777" w:rsidR="006F349A" w:rsidRDefault="006F349A" w:rsidP="00EE5684"/>
    <w:p w14:paraId="59987CB7" w14:textId="52A796FE" w:rsidR="00EE5684" w:rsidRDefault="00EE5684" w:rsidP="00EE5684">
      <w:r>
        <w:t xml:space="preserve">A DU may correspond to multiple cells, including cells operating on different carrier frequencies. Similarly, an MT may correspond to multiple carrier frequencies. If configuring a hard DU resource means the </w:t>
      </w:r>
      <w:r w:rsidR="00C01891">
        <w:t xml:space="preserve">corresponding </w:t>
      </w:r>
      <w:r>
        <w:t xml:space="preserve">MT resource being unavailable to the parent node on all MT carrier frequencies, it </w:t>
      </w:r>
      <w:r w:rsidR="00631FCC">
        <w:t>becomes</w:t>
      </w:r>
      <w:r>
        <w:t xml:space="preserve"> inefficient from the resource utilization perspective. Therefore, we propose that the H/S configuration is done with respect to each MT carrier frequency. For example, the DU operates on carrier frequency </w:t>
      </w:r>
      <w:proofErr w:type="spellStart"/>
      <w:r>
        <w:t>f</w:t>
      </w:r>
      <w:r>
        <w:rPr>
          <w:vertAlign w:val="subscript"/>
        </w:rPr>
        <w:t>DU</w:t>
      </w:r>
      <w:proofErr w:type="spellEnd"/>
      <w:r>
        <w:t xml:space="preserve"> while the MT operates on carrier frequencies f</w:t>
      </w:r>
      <w:r>
        <w:rPr>
          <w:vertAlign w:val="subscript"/>
        </w:rPr>
        <w:t>MT,1</w:t>
      </w:r>
      <w:r>
        <w:t xml:space="preserve"> and f</w:t>
      </w:r>
      <w:r>
        <w:rPr>
          <w:vertAlign w:val="subscript"/>
        </w:rPr>
        <w:t>MT,2</w:t>
      </w:r>
      <w:r>
        <w:t>. The DU may have a H/S configuration with respect to f</w:t>
      </w:r>
      <w:r>
        <w:rPr>
          <w:vertAlign w:val="subscript"/>
        </w:rPr>
        <w:t>MT,1</w:t>
      </w:r>
      <w:r>
        <w:t xml:space="preserve"> and potentially a different H/S configuration with respect to f</w:t>
      </w:r>
      <w:r>
        <w:rPr>
          <w:vertAlign w:val="subscript"/>
        </w:rPr>
        <w:t>MT,2</w:t>
      </w:r>
      <w:r>
        <w:t>. If the DU is configured as Hard with respect f</w:t>
      </w:r>
      <w:r>
        <w:rPr>
          <w:vertAlign w:val="subscript"/>
        </w:rPr>
        <w:t>MT,1</w:t>
      </w:r>
      <w:r>
        <w:t xml:space="preserve"> while is configured as Soft with respect f</w:t>
      </w:r>
      <w:r>
        <w:rPr>
          <w:vertAlign w:val="subscript"/>
        </w:rPr>
        <w:t>MT,2</w:t>
      </w:r>
      <w:r>
        <w:t xml:space="preserve"> within the same time resource, it means that the DU can use the time resource irrespective of its impact on MT on carrier frequency f</w:t>
      </w:r>
      <w:r>
        <w:rPr>
          <w:vertAlign w:val="subscript"/>
        </w:rPr>
        <w:t>MT,1</w:t>
      </w:r>
      <w:r>
        <w:t>, but can only use the time resource if it does not impact the MT’s ability to transmit or receive on carrier frequency f</w:t>
      </w:r>
      <w:r>
        <w:rPr>
          <w:vertAlign w:val="subscript"/>
        </w:rPr>
        <w:t>MT,2</w:t>
      </w:r>
      <w:r>
        <w:t>. By knowing such an IAB DU configuration, the parent node may assume that the MT is available on carrier frequency f</w:t>
      </w:r>
      <w:r>
        <w:rPr>
          <w:vertAlign w:val="subscript"/>
        </w:rPr>
        <w:t>MT,2</w:t>
      </w:r>
      <w:r>
        <w:t>, but is not available on carrier frequency f</w:t>
      </w:r>
      <w:r>
        <w:rPr>
          <w:vertAlign w:val="subscript"/>
        </w:rPr>
        <w:t>MT,1</w:t>
      </w:r>
      <w:r>
        <w:t xml:space="preserve">. </w:t>
      </w:r>
    </w:p>
    <w:p w14:paraId="49F56726" w14:textId="77777777" w:rsidR="00EE5684" w:rsidRPr="003F1073" w:rsidRDefault="00EE5684" w:rsidP="00EE5684">
      <w:pPr>
        <w:rPr>
          <w:shd w:val="pct15" w:color="auto" w:fill="FFFFFF"/>
        </w:rPr>
      </w:pPr>
    </w:p>
    <w:p w14:paraId="66830182" w14:textId="025870F5" w:rsidR="00EE5684" w:rsidRPr="00427509" w:rsidRDefault="00EE5684" w:rsidP="00EE5684">
      <w:pPr>
        <w:pStyle w:val="Proposal"/>
      </w:pPr>
      <w:bookmarkStart w:id="26" w:name="_Toc16606622"/>
      <w:bookmarkStart w:id="27" w:name="_Toc16606727"/>
      <w:bookmarkStart w:id="28" w:name="_Toc16671973"/>
      <w:bookmarkStart w:id="29" w:name="_Toc16753580"/>
      <w:bookmarkStart w:id="30" w:name="_Toc16758350"/>
      <w:bookmarkStart w:id="31" w:name="_Toc16839107"/>
      <w:bookmarkStart w:id="32" w:name="_Toc16843106"/>
      <w:bookmarkStart w:id="33" w:name="_Toc16857512"/>
      <w:r w:rsidRPr="00473E95">
        <w:t>The DU H/S resource types are configured per DU cell with respect to each MT carrier frequency.</w:t>
      </w:r>
      <w:bookmarkEnd w:id="26"/>
      <w:bookmarkEnd w:id="27"/>
      <w:bookmarkEnd w:id="28"/>
      <w:bookmarkEnd w:id="29"/>
      <w:bookmarkEnd w:id="30"/>
      <w:bookmarkEnd w:id="31"/>
      <w:bookmarkEnd w:id="32"/>
      <w:bookmarkEnd w:id="33"/>
    </w:p>
    <w:p w14:paraId="3DF7CEAA" w14:textId="77777777" w:rsidR="00586648" w:rsidRDefault="00586648" w:rsidP="00104B48">
      <w:pPr>
        <w:rPr>
          <w:b/>
        </w:rPr>
      </w:pPr>
    </w:p>
    <w:p w14:paraId="453502B4" w14:textId="77777777" w:rsidR="00B27691" w:rsidRPr="0018621F" w:rsidRDefault="00B27691" w:rsidP="00104B48"/>
    <w:p w14:paraId="472E1311" w14:textId="6972FC43" w:rsidR="006C3C1B" w:rsidRDefault="009605F8" w:rsidP="00E37EC2">
      <w:pPr>
        <w:pStyle w:val="Heading2"/>
      </w:pPr>
      <w:r>
        <w:lastRenderedPageBreak/>
        <w:t xml:space="preserve">Configuration </w:t>
      </w:r>
      <w:r w:rsidR="00F156C0">
        <w:t xml:space="preserve">of D/U/F </w:t>
      </w:r>
    </w:p>
    <w:p w14:paraId="64AF8F8F" w14:textId="1E3E0FCE" w:rsidR="00FE6318" w:rsidRDefault="00FE6318" w:rsidP="00FE6318">
      <w:pPr>
        <w:rPr>
          <w:lang w:val="en-US" w:eastAsia="en-US"/>
        </w:rPr>
      </w:pPr>
      <w:r>
        <w:rPr>
          <w:lang w:val="en-US" w:eastAsia="en-US"/>
        </w:rPr>
        <w:t xml:space="preserve">The </w:t>
      </w:r>
      <w:r w:rsidR="00824550">
        <w:rPr>
          <w:lang w:val="en-US" w:eastAsia="en-US"/>
        </w:rPr>
        <w:t xml:space="preserve">indication of </w:t>
      </w:r>
      <w:r>
        <w:rPr>
          <w:lang w:val="en-US" w:eastAsia="en-US"/>
        </w:rPr>
        <w:t xml:space="preserve">DU configuration </w:t>
      </w:r>
      <w:r w:rsidR="00824550">
        <w:rPr>
          <w:lang w:val="en-US" w:eastAsia="en-US"/>
        </w:rPr>
        <w:t>D/U/F</w:t>
      </w:r>
      <w:r>
        <w:rPr>
          <w:lang w:val="en-US" w:eastAsia="en-US"/>
        </w:rPr>
        <w:t xml:space="preserve"> can be based on the Rel-15 RRC-signaled D/U/F pattern </w:t>
      </w:r>
      <w:r w:rsidR="00A931A5">
        <w:rPr>
          <w:lang w:val="en-US" w:eastAsia="en-US"/>
        </w:rPr>
        <w:t xml:space="preserve">in </w:t>
      </w:r>
      <w:r w:rsidRPr="005813ED">
        <w:rPr>
          <w:i/>
          <w:lang w:val="en-US" w:eastAsia="en-US"/>
        </w:rPr>
        <w:t>TDD-UL-DL-</w:t>
      </w:r>
      <w:proofErr w:type="spellStart"/>
      <w:r w:rsidRPr="005813ED">
        <w:rPr>
          <w:i/>
          <w:lang w:val="en-US" w:eastAsia="en-US"/>
        </w:rPr>
        <w:t>ConfigurationCommon</w:t>
      </w:r>
      <w:proofErr w:type="spellEnd"/>
      <w:r w:rsidR="007756AD">
        <w:rPr>
          <w:lang w:val="en-US" w:eastAsia="en-US"/>
        </w:rPr>
        <w:t xml:space="preserve"> </w:t>
      </w:r>
      <w:r w:rsidR="007756AD">
        <w:rPr>
          <w:lang w:val="en-US" w:eastAsia="en-US"/>
        </w:rPr>
        <w:fldChar w:fldCharType="begin"/>
      </w:r>
      <w:r w:rsidR="007756AD">
        <w:rPr>
          <w:lang w:val="en-US" w:eastAsia="en-US"/>
        </w:rPr>
        <w:instrText xml:space="preserve"> REF _Ref15562831 \r \h </w:instrText>
      </w:r>
      <w:r w:rsidR="007756AD">
        <w:rPr>
          <w:lang w:val="en-US" w:eastAsia="en-US"/>
        </w:rPr>
      </w:r>
      <w:r w:rsidR="007756AD">
        <w:rPr>
          <w:lang w:val="en-US" w:eastAsia="en-US"/>
        </w:rPr>
        <w:fldChar w:fldCharType="separate"/>
      </w:r>
      <w:r w:rsidR="003A1476">
        <w:rPr>
          <w:lang w:val="en-US" w:eastAsia="en-US"/>
        </w:rPr>
        <w:t>[4]</w:t>
      </w:r>
      <w:r w:rsidR="007756AD">
        <w:rPr>
          <w:lang w:val="en-US" w:eastAsia="en-US"/>
        </w:rPr>
        <w:fldChar w:fldCharType="end"/>
      </w:r>
      <w:r>
        <w:rPr>
          <w:lang w:val="en-US" w:eastAsia="en-US"/>
        </w:rPr>
        <w:t>.</w:t>
      </w:r>
      <w:r w:rsidR="007756AD">
        <w:rPr>
          <w:lang w:val="en-US" w:eastAsia="en-US"/>
        </w:rPr>
        <w:t xml:space="preserve"> </w:t>
      </w:r>
      <w:r>
        <w:rPr>
          <w:lang w:val="en-US" w:eastAsia="en-US"/>
        </w:rPr>
        <w:t>Accordingly, the DU configuration pattern</w:t>
      </w:r>
      <w:r w:rsidR="00773725">
        <w:rPr>
          <w:lang w:val="en-US" w:eastAsia="en-US"/>
        </w:rPr>
        <w:t xml:space="preserve"> of D/U/F</w:t>
      </w:r>
      <w:r>
        <w:rPr>
          <w:lang w:val="en-US" w:eastAsia="en-US"/>
        </w:rPr>
        <w:t xml:space="preserve"> provided by higher-layer signaling may include the following information:</w:t>
      </w:r>
    </w:p>
    <w:p w14:paraId="3E2350E4" w14:textId="77777777" w:rsidR="00FE6318" w:rsidRDefault="00FE6318" w:rsidP="00FE6318">
      <w:pPr>
        <w:pStyle w:val="ListParagraph"/>
        <w:numPr>
          <w:ilvl w:val="0"/>
          <w:numId w:val="23"/>
        </w:numPr>
        <w:rPr>
          <w:lang w:val="en-US" w:eastAsia="en-US"/>
        </w:rPr>
      </w:pPr>
      <w:r>
        <w:rPr>
          <w:lang w:val="en-US" w:eastAsia="en-US"/>
        </w:rPr>
        <w:t xml:space="preserve">a slot configuration period of </w:t>
      </w:r>
      <w:r w:rsidRPr="006E675A">
        <w:rPr>
          <w:i/>
          <w:lang w:val="en-US" w:eastAsia="en-US"/>
        </w:rPr>
        <w:t>P</w:t>
      </w:r>
      <w:r>
        <w:rPr>
          <w:lang w:val="en-US" w:eastAsia="en-US"/>
        </w:rPr>
        <w:t xml:space="preserve"> </w:t>
      </w:r>
      <w:proofErr w:type="spellStart"/>
      <w:r>
        <w:rPr>
          <w:lang w:val="en-US" w:eastAsia="en-US"/>
        </w:rPr>
        <w:t>msec</w:t>
      </w:r>
      <w:proofErr w:type="spellEnd"/>
      <w:r>
        <w:rPr>
          <w:lang w:val="en-US" w:eastAsia="en-US"/>
        </w:rPr>
        <w:t>;</w:t>
      </w:r>
    </w:p>
    <w:p w14:paraId="6BE322E7" w14:textId="2634F194" w:rsidR="00FE6318" w:rsidRDefault="00FE6318" w:rsidP="00FE6318">
      <w:pPr>
        <w:pStyle w:val="ListParagraph"/>
        <w:numPr>
          <w:ilvl w:val="0"/>
          <w:numId w:val="23"/>
        </w:numPr>
        <w:rPr>
          <w:lang w:val="en-US" w:eastAsia="en-US"/>
        </w:rPr>
      </w:pPr>
      <w:proofErr w:type="gramStart"/>
      <w:r>
        <w:rPr>
          <w:lang w:val="en-US" w:eastAsia="en-US"/>
        </w:rPr>
        <w:t>a number of</w:t>
      </w:r>
      <w:proofErr w:type="gramEnd"/>
      <w:r>
        <w:rPr>
          <w:lang w:val="en-US" w:eastAsia="en-US"/>
        </w:rPr>
        <w:t xml:space="preserve"> slots </w:t>
      </w:r>
      <w:proofErr w:type="spellStart"/>
      <w:r w:rsidRPr="00344F21">
        <w:rPr>
          <w:i/>
          <w:lang w:val="en-US" w:eastAsia="en-US"/>
        </w:rPr>
        <w:t>d</w:t>
      </w:r>
      <w:r>
        <w:rPr>
          <w:vertAlign w:val="subscript"/>
          <w:lang w:val="en-US" w:eastAsia="en-US"/>
        </w:rPr>
        <w:t>slots</w:t>
      </w:r>
      <w:proofErr w:type="spellEnd"/>
      <w:r>
        <w:rPr>
          <w:lang w:val="en-US" w:eastAsia="en-US"/>
        </w:rPr>
        <w:t xml:space="preserve"> w</w:t>
      </w:r>
      <w:r w:rsidR="009B472B">
        <w:rPr>
          <w:lang w:val="en-US" w:eastAsia="en-US"/>
        </w:rPr>
        <w:t xml:space="preserve"> </w:t>
      </w:r>
      <w:proofErr w:type="spellStart"/>
      <w:r>
        <w:rPr>
          <w:lang w:val="en-US" w:eastAsia="en-US"/>
        </w:rPr>
        <w:t>ith</w:t>
      </w:r>
      <w:proofErr w:type="spellEnd"/>
      <w:r>
        <w:rPr>
          <w:lang w:val="en-US" w:eastAsia="en-US"/>
        </w:rPr>
        <w:t xml:space="preserve"> only downlink symbols</w:t>
      </w:r>
    </w:p>
    <w:p w14:paraId="03BEDD3A" w14:textId="77777777" w:rsidR="00FE6318" w:rsidRDefault="00FE6318" w:rsidP="00FE6318">
      <w:pPr>
        <w:pStyle w:val="ListParagraph"/>
        <w:numPr>
          <w:ilvl w:val="0"/>
          <w:numId w:val="23"/>
        </w:numPr>
        <w:rPr>
          <w:lang w:val="en-US" w:eastAsia="en-US"/>
        </w:rPr>
      </w:pPr>
      <w:proofErr w:type="gramStart"/>
      <w:r>
        <w:rPr>
          <w:lang w:val="en-US" w:eastAsia="en-US"/>
        </w:rPr>
        <w:t>a number of</w:t>
      </w:r>
      <w:proofErr w:type="gramEnd"/>
      <w:r>
        <w:rPr>
          <w:lang w:val="en-US" w:eastAsia="en-US"/>
        </w:rPr>
        <w:t xml:space="preserve"> downlink symbols </w:t>
      </w:r>
      <w:proofErr w:type="spellStart"/>
      <w:r w:rsidRPr="00154D9D">
        <w:rPr>
          <w:i/>
          <w:lang w:val="en-US" w:eastAsia="en-US"/>
        </w:rPr>
        <w:t>d</w:t>
      </w:r>
      <w:r>
        <w:rPr>
          <w:vertAlign w:val="subscript"/>
          <w:lang w:val="en-US" w:eastAsia="en-US"/>
        </w:rPr>
        <w:t>sym</w:t>
      </w:r>
      <w:proofErr w:type="spellEnd"/>
    </w:p>
    <w:p w14:paraId="4C399D5C" w14:textId="77777777" w:rsidR="00FE6318" w:rsidRDefault="00FE6318" w:rsidP="00FE6318">
      <w:pPr>
        <w:pStyle w:val="ListParagraph"/>
        <w:numPr>
          <w:ilvl w:val="0"/>
          <w:numId w:val="23"/>
        </w:numPr>
        <w:rPr>
          <w:lang w:val="en-US" w:eastAsia="en-US"/>
        </w:rPr>
      </w:pPr>
      <w:proofErr w:type="gramStart"/>
      <w:r>
        <w:rPr>
          <w:lang w:val="en-US" w:eastAsia="en-US"/>
        </w:rPr>
        <w:t>a number of</w:t>
      </w:r>
      <w:proofErr w:type="gramEnd"/>
      <w:r>
        <w:rPr>
          <w:lang w:val="en-US" w:eastAsia="en-US"/>
        </w:rPr>
        <w:t xml:space="preserve"> slots </w:t>
      </w:r>
      <w:proofErr w:type="spellStart"/>
      <w:r w:rsidRPr="00154D9D">
        <w:rPr>
          <w:i/>
          <w:lang w:val="en-US" w:eastAsia="en-US"/>
        </w:rPr>
        <w:t>u</w:t>
      </w:r>
      <w:r>
        <w:rPr>
          <w:vertAlign w:val="subscript"/>
          <w:lang w:val="en-US" w:eastAsia="en-US"/>
        </w:rPr>
        <w:t>slots</w:t>
      </w:r>
      <w:proofErr w:type="spellEnd"/>
      <w:r>
        <w:rPr>
          <w:lang w:val="en-US" w:eastAsia="en-US"/>
        </w:rPr>
        <w:t xml:space="preserve"> with only uplink symbols</w:t>
      </w:r>
    </w:p>
    <w:p w14:paraId="5956C177" w14:textId="77777777" w:rsidR="00FE6318" w:rsidRPr="00E03887" w:rsidRDefault="00FE6318" w:rsidP="00FE6318">
      <w:pPr>
        <w:pStyle w:val="ListParagraph"/>
        <w:numPr>
          <w:ilvl w:val="0"/>
          <w:numId w:val="23"/>
        </w:numPr>
        <w:rPr>
          <w:lang w:val="en-US" w:eastAsia="en-US"/>
        </w:rPr>
      </w:pPr>
      <w:proofErr w:type="gramStart"/>
      <w:r>
        <w:rPr>
          <w:lang w:val="en-US" w:eastAsia="en-US"/>
        </w:rPr>
        <w:t>a number of</w:t>
      </w:r>
      <w:proofErr w:type="gramEnd"/>
      <w:r>
        <w:rPr>
          <w:lang w:val="en-US" w:eastAsia="en-US"/>
        </w:rPr>
        <w:t xml:space="preserve"> uplink symbols </w:t>
      </w:r>
      <w:proofErr w:type="spellStart"/>
      <w:r w:rsidRPr="00C76813">
        <w:rPr>
          <w:i/>
          <w:lang w:val="en-US" w:eastAsia="en-US"/>
        </w:rPr>
        <w:t>u</w:t>
      </w:r>
      <w:r>
        <w:rPr>
          <w:vertAlign w:val="subscript"/>
          <w:lang w:val="en-US" w:eastAsia="en-US"/>
        </w:rPr>
        <w:t>sym</w:t>
      </w:r>
      <w:proofErr w:type="spellEnd"/>
      <w:r>
        <w:rPr>
          <w:lang w:val="en-US" w:eastAsia="en-US"/>
        </w:rPr>
        <w:t xml:space="preserve"> </w:t>
      </w:r>
    </w:p>
    <w:p w14:paraId="7048D369" w14:textId="3D96A6D7" w:rsidR="00FE6318" w:rsidRDefault="00FE6318" w:rsidP="00FE6318">
      <w:pPr>
        <w:pStyle w:val="ListParagraph"/>
        <w:numPr>
          <w:ilvl w:val="0"/>
          <w:numId w:val="23"/>
        </w:numPr>
        <w:rPr>
          <w:lang w:val="en-US" w:eastAsia="en-US"/>
        </w:rPr>
      </w:pPr>
      <w:r>
        <w:rPr>
          <w:lang w:val="en-US" w:eastAsia="en-US"/>
        </w:rPr>
        <w:t>“downlink-uplink-flexible” sequence order</w:t>
      </w:r>
      <w:r w:rsidR="00BB2E6F">
        <w:rPr>
          <w:lang w:val="en-US" w:eastAsia="en-US"/>
        </w:rPr>
        <w:t xml:space="preserve"> </w:t>
      </w:r>
      <w:r w:rsidR="00BB2E6F" w:rsidRPr="00BB2E6F">
        <w:rPr>
          <w:i/>
          <w:lang w:val="en-US" w:eastAsia="en-US"/>
        </w:rPr>
        <w:t>(new)</w:t>
      </w:r>
    </w:p>
    <w:p w14:paraId="34E3538A" w14:textId="57F8F1AF" w:rsidR="00FE6318" w:rsidRDefault="00FE6318" w:rsidP="00FE6318">
      <w:pPr>
        <w:pStyle w:val="ListParagraph"/>
        <w:numPr>
          <w:ilvl w:val="0"/>
          <w:numId w:val="23"/>
        </w:numPr>
        <w:rPr>
          <w:lang w:val="en-US" w:eastAsia="en-US"/>
        </w:rPr>
      </w:pPr>
      <w:r>
        <w:rPr>
          <w:lang w:val="en-US" w:eastAsia="en-US"/>
        </w:rPr>
        <w:t>Time-domain allocation</w:t>
      </w:r>
      <w:r w:rsidR="00BB2E6F">
        <w:rPr>
          <w:lang w:val="en-US" w:eastAsia="en-US"/>
        </w:rPr>
        <w:t xml:space="preserve"> </w:t>
      </w:r>
      <w:r w:rsidR="00BB2E6F" w:rsidRPr="00BB2E6F">
        <w:rPr>
          <w:i/>
          <w:lang w:val="en-US" w:eastAsia="en-US"/>
        </w:rPr>
        <w:t>(new)</w:t>
      </w:r>
    </w:p>
    <w:p w14:paraId="10089A4B" w14:textId="6BB60777" w:rsidR="00FE6318" w:rsidRPr="00063B3C" w:rsidRDefault="00FE6318" w:rsidP="00FE6318">
      <w:pPr>
        <w:rPr>
          <w:rFonts w:eastAsiaTheme="minorEastAsia"/>
          <w:lang w:val="en-US"/>
        </w:rPr>
      </w:pPr>
      <w:r>
        <w:rPr>
          <w:lang w:val="en-US" w:eastAsia="en-US"/>
        </w:rPr>
        <w:t xml:space="preserve">The slot DU configuration period of </w:t>
      </w:r>
      <w:r w:rsidRPr="00C84D49">
        <w:rPr>
          <w:i/>
          <w:lang w:val="en-US" w:eastAsia="en-US"/>
        </w:rPr>
        <w:t>P</w:t>
      </w:r>
      <w:r>
        <w:rPr>
          <w:lang w:val="en-US" w:eastAsia="en-US"/>
        </w:rPr>
        <w:t xml:space="preserve"> </w:t>
      </w:r>
      <w:proofErr w:type="spellStart"/>
      <w:r>
        <w:rPr>
          <w:lang w:val="en-US" w:eastAsia="en-US"/>
        </w:rPr>
        <w:t>msec</w:t>
      </w:r>
      <w:proofErr w:type="spellEnd"/>
      <w:r>
        <w:rPr>
          <w:lang w:val="en-US" w:eastAsia="en-US"/>
        </w:rPr>
        <w:t xml:space="preserve"> includes </w:t>
      </w:r>
      <w:r w:rsidRPr="006340B5">
        <w:rPr>
          <w:i/>
          <w:lang w:val="en-US" w:eastAsia="en-US"/>
        </w:rPr>
        <w:t>S=P</w:t>
      </w:r>
      <w:r w:rsidRPr="006340B5">
        <w:rPr>
          <w:rFonts w:cs="Arial"/>
          <w:i/>
          <w:lang w:val="en-US" w:eastAsia="en-US"/>
        </w:rPr>
        <w:t>∙</w:t>
      </w:r>
      <w:r w:rsidRPr="006340B5">
        <w:rPr>
          <w:i/>
          <w:lang w:val="en-US" w:eastAsia="en-US"/>
        </w:rPr>
        <w:t>2</w:t>
      </w:r>
      <w:r w:rsidRPr="006340B5">
        <w:rPr>
          <w:rFonts w:cs="Arial"/>
          <w:i/>
          <w:vertAlign w:val="superscript"/>
          <w:lang w:val="en-US" w:eastAsia="en-US"/>
        </w:rPr>
        <w:t>µ</w:t>
      </w:r>
      <w:r>
        <w:rPr>
          <w:lang w:val="en-US" w:eastAsia="en-US"/>
        </w:rPr>
        <w:t xml:space="preserve"> slots with SCS configuration </w:t>
      </w:r>
      <w:r w:rsidRPr="006340B5">
        <w:rPr>
          <w:rFonts w:cs="Arial"/>
          <w:i/>
          <w:lang w:val="en-US" w:eastAsia="en-US"/>
        </w:rPr>
        <w:t>µ</w:t>
      </w:r>
      <w:r>
        <w:rPr>
          <w:lang w:val="en-US" w:eastAsia="en-US"/>
        </w:rPr>
        <w:t xml:space="preserve">. In the </w:t>
      </w:r>
      <w:r w:rsidRPr="00F21659">
        <w:rPr>
          <w:i/>
          <w:lang w:val="en-US" w:eastAsia="en-US"/>
        </w:rPr>
        <w:t>S</w:t>
      </w:r>
      <w:r>
        <w:rPr>
          <w:lang w:val="en-US" w:eastAsia="en-US"/>
        </w:rPr>
        <w:t xml:space="preserve"> slots, there are 14</w:t>
      </w:r>
      <w:r>
        <w:rPr>
          <w:rFonts w:cs="Arial"/>
          <w:lang w:val="en-US" w:eastAsia="en-US"/>
        </w:rPr>
        <w:t>∙</w:t>
      </w:r>
      <w:r w:rsidRPr="00344F21">
        <w:rPr>
          <w:i/>
          <w:lang w:val="en-US" w:eastAsia="en-US"/>
        </w:rPr>
        <w:t>d</w:t>
      </w:r>
      <w:r>
        <w:rPr>
          <w:vertAlign w:val="subscript"/>
          <w:lang w:val="en-US" w:eastAsia="en-US"/>
        </w:rPr>
        <w:t>slots</w:t>
      </w:r>
      <w:r>
        <w:rPr>
          <w:lang w:val="en-US" w:eastAsia="en-US"/>
        </w:rPr>
        <w:t>+</w:t>
      </w:r>
      <w:r w:rsidRPr="00154D9D">
        <w:rPr>
          <w:i/>
          <w:lang w:val="en-US" w:eastAsia="en-US"/>
        </w:rPr>
        <w:t>d</w:t>
      </w:r>
      <w:r>
        <w:rPr>
          <w:vertAlign w:val="subscript"/>
          <w:lang w:val="en-US" w:eastAsia="en-US"/>
        </w:rPr>
        <w:t>sym</w:t>
      </w:r>
      <w:r>
        <w:rPr>
          <w:lang w:val="en-US" w:eastAsia="en-US"/>
        </w:rPr>
        <w:t xml:space="preserve"> contiguous downlink symbols, 14</w:t>
      </w:r>
      <w:r>
        <w:rPr>
          <w:rFonts w:cs="Arial"/>
          <w:lang w:val="en-US" w:eastAsia="en-US"/>
        </w:rPr>
        <w:t>∙</w:t>
      </w:r>
      <w:r>
        <w:rPr>
          <w:i/>
          <w:lang w:val="en-US" w:eastAsia="en-US"/>
        </w:rPr>
        <w:t>u</w:t>
      </w:r>
      <w:r>
        <w:rPr>
          <w:vertAlign w:val="subscript"/>
          <w:lang w:val="en-US" w:eastAsia="en-US"/>
        </w:rPr>
        <w:t>slots</w:t>
      </w:r>
      <w:r>
        <w:rPr>
          <w:lang w:val="en-US" w:eastAsia="en-US"/>
        </w:rPr>
        <w:t>+</w:t>
      </w:r>
      <w:r>
        <w:rPr>
          <w:i/>
          <w:lang w:val="en-US" w:eastAsia="en-US"/>
        </w:rPr>
        <w:t>u</w:t>
      </w:r>
      <w:r>
        <w:rPr>
          <w:vertAlign w:val="subscript"/>
          <w:lang w:val="en-US" w:eastAsia="en-US"/>
        </w:rPr>
        <w:t>sym</w:t>
      </w:r>
      <w:r>
        <w:rPr>
          <w:lang w:val="en-US" w:eastAsia="en-US"/>
        </w:rPr>
        <w:t xml:space="preserve"> contiguous uplink symbols, and (S-</w:t>
      </w:r>
      <w:proofErr w:type="spellStart"/>
      <w:r w:rsidRPr="00344F21">
        <w:rPr>
          <w:i/>
          <w:lang w:val="en-US" w:eastAsia="en-US"/>
        </w:rPr>
        <w:t>d</w:t>
      </w:r>
      <w:r>
        <w:rPr>
          <w:vertAlign w:val="subscript"/>
          <w:lang w:val="en-US" w:eastAsia="en-US"/>
        </w:rPr>
        <w:t>slots</w:t>
      </w:r>
      <w:proofErr w:type="spellEnd"/>
      <w:r>
        <w:rPr>
          <w:lang w:val="en-US" w:eastAsia="en-US"/>
        </w:rPr>
        <w:t>-</w:t>
      </w:r>
      <w:r w:rsidRPr="00063B3C">
        <w:rPr>
          <w:i/>
          <w:lang w:val="en-US" w:eastAsia="en-US"/>
        </w:rPr>
        <w:t xml:space="preserve"> </w:t>
      </w:r>
      <w:proofErr w:type="spellStart"/>
      <w:r>
        <w:rPr>
          <w:i/>
          <w:lang w:val="en-US" w:eastAsia="en-US"/>
        </w:rPr>
        <w:t>u</w:t>
      </w:r>
      <w:r>
        <w:rPr>
          <w:vertAlign w:val="subscript"/>
          <w:lang w:val="en-US" w:eastAsia="en-US"/>
        </w:rPr>
        <w:t>slots</w:t>
      </w:r>
      <w:proofErr w:type="spellEnd"/>
      <w:r>
        <w:rPr>
          <w:lang w:val="en-US" w:eastAsia="en-US"/>
        </w:rPr>
        <w:t>)</w:t>
      </w:r>
      <w:r w:rsidRPr="00063B3C">
        <w:rPr>
          <w:rFonts w:cs="Arial"/>
          <w:lang w:val="en-US" w:eastAsia="en-US"/>
        </w:rPr>
        <w:t xml:space="preserve"> </w:t>
      </w:r>
      <w:r>
        <w:rPr>
          <w:rFonts w:cs="Arial"/>
          <w:lang w:val="en-US" w:eastAsia="en-US"/>
        </w:rPr>
        <w:t>∙14-</w:t>
      </w:r>
      <w:r w:rsidRPr="00154D9D">
        <w:rPr>
          <w:i/>
          <w:lang w:val="en-US" w:eastAsia="en-US"/>
        </w:rPr>
        <w:t>d</w:t>
      </w:r>
      <w:r>
        <w:rPr>
          <w:vertAlign w:val="subscript"/>
          <w:lang w:val="en-US" w:eastAsia="en-US"/>
        </w:rPr>
        <w:t>sym</w:t>
      </w:r>
      <w:r>
        <w:rPr>
          <w:lang w:val="en-US" w:eastAsia="en-US"/>
        </w:rPr>
        <w:t>-</w:t>
      </w:r>
      <w:r>
        <w:rPr>
          <w:i/>
          <w:lang w:val="en-US" w:eastAsia="en-US"/>
        </w:rPr>
        <w:t>u</w:t>
      </w:r>
      <w:r>
        <w:rPr>
          <w:vertAlign w:val="subscript"/>
          <w:lang w:val="en-US" w:eastAsia="en-US"/>
        </w:rPr>
        <w:t>sym</w:t>
      </w:r>
      <w:r>
        <w:rPr>
          <w:lang w:val="en-US" w:eastAsia="en-US"/>
        </w:rPr>
        <w:t xml:space="preserve"> contiguous flexible symbols. </w:t>
      </w:r>
    </w:p>
    <w:p w14:paraId="3513FBD3" w14:textId="77777777" w:rsidR="00FE6318" w:rsidRDefault="00FE6318" w:rsidP="00FE6318">
      <w:pPr>
        <w:rPr>
          <w:lang w:val="en-US" w:eastAsia="en-US"/>
        </w:rPr>
      </w:pPr>
      <w:r>
        <w:rPr>
          <w:lang w:val="en-US" w:eastAsia="en-US"/>
        </w:rPr>
        <w:t xml:space="preserve">The resulted configuration can be a concatenation of up to two sequences, each of which is defined by above parameters. </w:t>
      </w:r>
    </w:p>
    <w:p w14:paraId="5AB0998E" w14:textId="6E8228DF" w:rsidR="00FE6318" w:rsidRPr="00C27690" w:rsidRDefault="00FE6318" w:rsidP="00FE6318">
      <w:pPr>
        <w:rPr>
          <w:b/>
          <w:lang w:val="en-US" w:eastAsia="en-US"/>
        </w:rPr>
      </w:pPr>
      <w:r w:rsidRPr="00C27690">
        <w:rPr>
          <w:b/>
          <w:lang w:val="en-US" w:eastAsia="en-US"/>
        </w:rPr>
        <w:t>“Downlink-uplink-flexible” sequence order</w:t>
      </w:r>
    </w:p>
    <w:p w14:paraId="43FFB680" w14:textId="77777777" w:rsidR="00FE6318" w:rsidRDefault="00FE6318" w:rsidP="00FE6318">
      <w:pPr>
        <w:rPr>
          <w:lang w:val="en-US" w:eastAsia="en-US"/>
        </w:rPr>
      </w:pPr>
      <w:r>
        <w:rPr>
          <w:lang w:val="en-US" w:eastAsia="en-US"/>
        </w:rPr>
        <w:t xml:space="preserve">For Rel-15 RRC-signaled pattern, only one sequence order of “downlink-flexible-uplink” is allowed. In the IAB scenario, the IAB nodes are more closely related via the backhaul links connecting in between. Allowing more variants by permuting the “downlink-uplink-flexible” sequence order, for example, allowing a sequence starting with uplink, is needed to better multiplex the adjacent backhaul links and is also necessary for forward compatibility regarding SDM. </w:t>
      </w:r>
    </w:p>
    <w:p w14:paraId="44092524" w14:textId="0F8438DD" w:rsidR="00FE6318" w:rsidRDefault="00BA4F2A" w:rsidP="00FE6318">
      <w:pPr>
        <w:rPr>
          <w:lang w:val="en-US" w:eastAsia="en-US"/>
        </w:rPr>
      </w:pPr>
      <w:r>
        <w:rPr>
          <w:lang w:val="en-US" w:eastAsia="en-US"/>
        </w:rPr>
        <w:t>In RAN1#97,</w:t>
      </w:r>
      <w:r w:rsidR="00D8281A">
        <w:rPr>
          <w:lang w:val="en-US" w:eastAsia="en-US"/>
        </w:rPr>
        <w:t xml:space="preserve"> it has been agreed to have new </w:t>
      </w:r>
      <w:r w:rsidR="00AF37F6">
        <w:rPr>
          <w:lang w:val="en-US" w:eastAsia="en-US"/>
        </w:rPr>
        <w:t>formats defined only for IAB nodes which begin with uplink or flexible.</w:t>
      </w:r>
      <w:r>
        <w:rPr>
          <w:lang w:val="en-US" w:eastAsia="en-US"/>
        </w:rPr>
        <w:t xml:space="preserve"> </w:t>
      </w:r>
      <w:r w:rsidR="00CA1FD5">
        <w:rPr>
          <w:lang w:val="en-US" w:eastAsia="en-US"/>
        </w:rPr>
        <w:t>To be more specific</w:t>
      </w:r>
      <w:r w:rsidR="00FE6318">
        <w:rPr>
          <w:lang w:val="en-US" w:eastAsia="en-US"/>
        </w:rPr>
        <w:t xml:space="preserve">, one D/U/F sequence provided to IAB DU can be in one of the six possible </w:t>
      </w:r>
      <w:r w:rsidR="00C750D4">
        <w:rPr>
          <w:lang w:val="en-US" w:eastAsia="en-US"/>
        </w:rPr>
        <w:t>orders</w:t>
      </w:r>
      <w:r w:rsidR="00FE6318">
        <w:rPr>
          <w:lang w:val="en-US" w:eastAsia="en-US"/>
        </w:rPr>
        <w:t>:</w:t>
      </w:r>
    </w:p>
    <w:p w14:paraId="2DE2AB59" w14:textId="77777777" w:rsidR="00FE6318" w:rsidRDefault="00FE6318" w:rsidP="00FE6318">
      <w:pPr>
        <w:pStyle w:val="ListParagraph"/>
        <w:numPr>
          <w:ilvl w:val="0"/>
          <w:numId w:val="31"/>
        </w:numPr>
        <w:rPr>
          <w:lang w:val="en-US" w:eastAsia="en-US"/>
        </w:rPr>
      </w:pPr>
      <w:r>
        <w:rPr>
          <w:lang w:val="en-US" w:eastAsia="en-US"/>
        </w:rPr>
        <w:t>DL—Flexible—UL</w:t>
      </w:r>
    </w:p>
    <w:p w14:paraId="6BD443EE" w14:textId="022286A5" w:rsidR="00FE6318" w:rsidRDefault="00FE6318" w:rsidP="00FE6318">
      <w:pPr>
        <w:pStyle w:val="ListParagraph"/>
        <w:numPr>
          <w:ilvl w:val="0"/>
          <w:numId w:val="31"/>
        </w:numPr>
        <w:rPr>
          <w:lang w:val="en-US" w:eastAsia="en-US"/>
        </w:rPr>
      </w:pPr>
      <w:r>
        <w:rPr>
          <w:lang w:val="en-US" w:eastAsia="en-US"/>
        </w:rPr>
        <w:t>UL—Flexible—</w:t>
      </w:r>
      <w:r w:rsidR="001A089F">
        <w:rPr>
          <w:lang w:val="en-US" w:eastAsia="en-US"/>
        </w:rPr>
        <w:t>D</w:t>
      </w:r>
      <w:r>
        <w:rPr>
          <w:lang w:val="en-US" w:eastAsia="en-US"/>
        </w:rPr>
        <w:t xml:space="preserve">L </w:t>
      </w:r>
    </w:p>
    <w:p w14:paraId="493EF00E" w14:textId="77777777" w:rsidR="00FE6318" w:rsidRDefault="00FE6318" w:rsidP="00FE6318">
      <w:pPr>
        <w:pStyle w:val="ListParagraph"/>
        <w:numPr>
          <w:ilvl w:val="0"/>
          <w:numId w:val="31"/>
        </w:numPr>
        <w:rPr>
          <w:lang w:val="en-US" w:eastAsia="en-US"/>
        </w:rPr>
      </w:pPr>
      <w:r>
        <w:rPr>
          <w:lang w:val="en-US" w:eastAsia="en-US"/>
        </w:rPr>
        <w:t>DL—UL—Flexible</w:t>
      </w:r>
    </w:p>
    <w:p w14:paraId="0E8C26D3" w14:textId="77777777" w:rsidR="00FE6318" w:rsidRDefault="00FE6318" w:rsidP="00FE6318">
      <w:pPr>
        <w:pStyle w:val="ListParagraph"/>
        <w:numPr>
          <w:ilvl w:val="0"/>
          <w:numId w:val="31"/>
        </w:numPr>
        <w:rPr>
          <w:lang w:val="en-US" w:eastAsia="en-US"/>
        </w:rPr>
      </w:pPr>
      <w:r>
        <w:rPr>
          <w:lang w:val="en-US" w:eastAsia="en-US"/>
        </w:rPr>
        <w:t xml:space="preserve">UL—DL—Flexible </w:t>
      </w:r>
    </w:p>
    <w:p w14:paraId="31BA290C" w14:textId="77777777" w:rsidR="00FE6318" w:rsidRDefault="00FE6318" w:rsidP="00FE6318">
      <w:pPr>
        <w:pStyle w:val="ListParagraph"/>
        <w:numPr>
          <w:ilvl w:val="0"/>
          <w:numId w:val="31"/>
        </w:numPr>
        <w:rPr>
          <w:lang w:val="en-US" w:eastAsia="en-US"/>
        </w:rPr>
      </w:pPr>
      <w:r>
        <w:rPr>
          <w:lang w:val="en-US" w:eastAsia="en-US"/>
        </w:rPr>
        <w:t xml:space="preserve">Flexible—DL—UL </w:t>
      </w:r>
    </w:p>
    <w:p w14:paraId="4DC57445" w14:textId="77777777" w:rsidR="00FE6318" w:rsidRDefault="00FE6318" w:rsidP="00FE6318">
      <w:pPr>
        <w:pStyle w:val="ListParagraph"/>
        <w:numPr>
          <w:ilvl w:val="0"/>
          <w:numId w:val="31"/>
        </w:numPr>
        <w:rPr>
          <w:lang w:val="en-US" w:eastAsia="en-US"/>
        </w:rPr>
      </w:pPr>
      <w:r>
        <w:rPr>
          <w:lang w:val="en-US" w:eastAsia="en-US"/>
        </w:rPr>
        <w:t xml:space="preserve">Flexible—UL—DL </w:t>
      </w:r>
    </w:p>
    <w:p w14:paraId="15FA97E8" w14:textId="27A41611" w:rsidR="00F32168" w:rsidRDefault="00FE6318" w:rsidP="00FE6318">
      <w:pPr>
        <w:rPr>
          <w:lang w:val="en-US" w:eastAsia="en-US"/>
        </w:rPr>
      </w:pPr>
      <w:r>
        <w:rPr>
          <w:lang w:val="en-US" w:eastAsia="en-US"/>
        </w:rPr>
        <w:t>where the “DL” contains 14</w:t>
      </w:r>
      <w:r>
        <w:rPr>
          <w:rFonts w:cs="Arial"/>
          <w:lang w:val="en-US" w:eastAsia="en-US"/>
        </w:rPr>
        <w:t>∙</w:t>
      </w:r>
      <w:r w:rsidRPr="00344F21">
        <w:rPr>
          <w:i/>
          <w:lang w:val="en-US" w:eastAsia="en-US"/>
        </w:rPr>
        <w:t>d</w:t>
      </w:r>
      <w:r>
        <w:rPr>
          <w:vertAlign w:val="subscript"/>
          <w:lang w:val="en-US" w:eastAsia="en-US"/>
        </w:rPr>
        <w:t>slots</w:t>
      </w:r>
      <w:r>
        <w:rPr>
          <w:lang w:val="en-US" w:eastAsia="en-US"/>
        </w:rPr>
        <w:t>+</w:t>
      </w:r>
      <w:r w:rsidRPr="00154D9D">
        <w:rPr>
          <w:i/>
          <w:lang w:val="en-US" w:eastAsia="en-US"/>
        </w:rPr>
        <w:t>d</w:t>
      </w:r>
      <w:r>
        <w:rPr>
          <w:vertAlign w:val="subscript"/>
          <w:lang w:val="en-US" w:eastAsia="en-US"/>
        </w:rPr>
        <w:t>sym</w:t>
      </w:r>
      <w:r>
        <w:rPr>
          <w:lang w:val="en-US" w:eastAsia="en-US"/>
        </w:rPr>
        <w:t xml:space="preserve"> contiguous downlink symbols, the “UL” contains 14</w:t>
      </w:r>
      <w:r>
        <w:rPr>
          <w:rFonts w:cs="Arial"/>
          <w:lang w:val="en-US" w:eastAsia="en-US"/>
        </w:rPr>
        <w:t>∙</w:t>
      </w:r>
      <w:r>
        <w:rPr>
          <w:i/>
          <w:lang w:val="en-US" w:eastAsia="en-US"/>
        </w:rPr>
        <w:t>u</w:t>
      </w:r>
      <w:r>
        <w:rPr>
          <w:vertAlign w:val="subscript"/>
          <w:lang w:val="en-US" w:eastAsia="en-US"/>
        </w:rPr>
        <w:t>slots</w:t>
      </w:r>
      <w:r>
        <w:rPr>
          <w:lang w:val="en-US" w:eastAsia="en-US"/>
        </w:rPr>
        <w:t>+</w:t>
      </w:r>
      <w:r>
        <w:rPr>
          <w:i/>
          <w:lang w:val="en-US" w:eastAsia="en-US"/>
        </w:rPr>
        <w:t>u</w:t>
      </w:r>
      <w:r>
        <w:rPr>
          <w:vertAlign w:val="subscript"/>
          <w:lang w:val="en-US" w:eastAsia="en-US"/>
        </w:rPr>
        <w:t>sym</w:t>
      </w:r>
      <w:r>
        <w:rPr>
          <w:lang w:val="en-US" w:eastAsia="en-US"/>
        </w:rPr>
        <w:t xml:space="preserve"> contiguous uplink symbols, and the “Flexible” contains (S-</w:t>
      </w:r>
      <w:proofErr w:type="spellStart"/>
      <w:r w:rsidRPr="00344F21">
        <w:rPr>
          <w:i/>
          <w:lang w:val="en-US" w:eastAsia="en-US"/>
        </w:rPr>
        <w:t>d</w:t>
      </w:r>
      <w:r>
        <w:rPr>
          <w:vertAlign w:val="subscript"/>
          <w:lang w:val="en-US" w:eastAsia="en-US"/>
        </w:rPr>
        <w:t>slots</w:t>
      </w:r>
      <w:proofErr w:type="spellEnd"/>
      <w:r>
        <w:rPr>
          <w:lang w:val="en-US" w:eastAsia="en-US"/>
        </w:rPr>
        <w:t>-</w:t>
      </w:r>
      <w:proofErr w:type="spellStart"/>
      <w:r>
        <w:rPr>
          <w:i/>
          <w:lang w:val="en-US" w:eastAsia="en-US"/>
        </w:rPr>
        <w:t>u</w:t>
      </w:r>
      <w:r>
        <w:rPr>
          <w:vertAlign w:val="subscript"/>
          <w:lang w:val="en-US" w:eastAsia="en-US"/>
        </w:rPr>
        <w:t>slots</w:t>
      </w:r>
      <w:proofErr w:type="spellEnd"/>
      <w:r>
        <w:rPr>
          <w:lang w:val="en-US" w:eastAsia="en-US"/>
        </w:rPr>
        <w:t>)</w:t>
      </w:r>
      <w:r w:rsidRPr="00063B3C">
        <w:rPr>
          <w:rFonts w:cs="Arial"/>
          <w:lang w:val="en-US" w:eastAsia="en-US"/>
        </w:rPr>
        <w:t xml:space="preserve"> </w:t>
      </w:r>
      <w:r>
        <w:rPr>
          <w:rFonts w:cs="Arial"/>
          <w:lang w:val="en-US" w:eastAsia="en-US"/>
        </w:rPr>
        <w:t>∙14-</w:t>
      </w:r>
      <w:r w:rsidRPr="00154D9D">
        <w:rPr>
          <w:i/>
          <w:lang w:val="en-US" w:eastAsia="en-US"/>
        </w:rPr>
        <w:t>d</w:t>
      </w:r>
      <w:r>
        <w:rPr>
          <w:vertAlign w:val="subscript"/>
          <w:lang w:val="en-US" w:eastAsia="en-US"/>
        </w:rPr>
        <w:t>sym</w:t>
      </w:r>
      <w:r>
        <w:rPr>
          <w:lang w:val="en-US" w:eastAsia="en-US"/>
        </w:rPr>
        <w:t>-</w:t>
      </w:r>
      <w:r>
        <w:rPr>
          <w:i/>
          <w:lang w:val="en-US" w:eastAsia="en-US"/>
        </w:rPr>
        <w:t>u</w:t>
      </w:r>
      <w:r>
        <w:rPr>
          <w:vertAlign w:val="subscript"/>
          <w:lang w:val="en-US" w:eastAsia="en-US"/>
        </w:rPr>
        <w:t>sym</w:t>
      </w:r>
      <w:r>
        <w:rPr>
          <w:lang w:val="en-US" w:eastAsia="en-US"/>
        </w:rPr>
        <w:t xml:space="preserve"> contiguous flexible symbols.</w:t>
      </w:r>
      <w:r w:rsidR="00707090">
        <w:rPr>
          <w:lang w:val="en-US" w:eastAsia="en-US"/>
        </w:rPr>
        <w:t xml:space="preserve"> </w:t>
      </w:r>
    </w:p>
    <w:p w14:paraId="0C2938A2" w14:textId="237DC4E9" w:rsidR="00865F2E" w:rsidRDefault="00510568" w:rsidP="00FE6318">
      <w:pPr>
        <w:rPr>
          <w:lang w:val="en-US" w:eastAsia="en-US"/>
        </w:rPr>
      </w:pPr>
      <w:r>
        <w:rPr>
          <w:lang w:val="en-US" w:eastAsia="en-US"/>
        </w:rPr>
        <w:t xml:space="preserve">To be </w:t>
      </w:r>
      <w:r w:rsidR="00696638">
        <w:rPr>
          <w:lang w:val="en-US" w:eastAsia="en-US"/>
        </w:rPr>
        <w:t xml:space="preserve">able to effectively use </w:t>
      </w:r>
      <w:r w:rsidR="00827BBD">
        <w:rPr>
          <w:lang w:val="en-US" w:eastAsia="en-US"/>
        </w:rPr>
        <w:t>those pattern variants at the DU side</w:t>
      </w:r>
      <w:r>
        <w:rPr>
          <w:lang w:val="en-US" w:eastAsia="en-US"/>
        </w:rPr>
        <w:t xml:space="preserve">, </w:t>
      </w:r>
      <w:r w:rsidR="00507CE8">
        <w:rPr>
          <w:lang w:val="en-US" w:eastAsia="en-US"/>
        </w:rPr>
        <w:t xml:space="preserve">the MT configuration should also allow </w:t>
      </w:r>
      <w:r w:rsidR="000B1DBD">
        <w:rPr>
          <w:lang w:val="en-US" w:eastAsia="en-US"/>
        </w:rPr>
        <w:t xml:space="preserve">such </w:t>
      </w:r>
      <w:r w:rsidR="00507CE8">
        <w:rPr>
          <w:lang w:val="en-US" w:eastAsia="en-US"/>
        </w:rPr>
        <w:t xml:space="preserve">pattern </w:t>
      </w:r>
      <w:r w:rsidR="00865F2E">
        <w:rPr>
          <w:lang w:val="en-US" w:eastAsia="en-US"/>
        </w:rPr>
        <w:t>extension</w:t>
      </w:r>
      <w:r w:rsidR="00827BBD">
        <w:rPr>
          <w:lang w:val="en-US" w:eastAsia="en-US"/>
        </w:rPr>
        <w:t>s</w:t>
      </w:r>
      <w:r w:rsidR="008672C6">
        <w:rPr>
          <w:lang w:val="en-US" w:eastAsia="en-US"/>
        </w:rPr>
        <w:t xml:space="preserve"> with permuted </w:t>
      </w:r>
      <w:r w:rsidR="00511A44">
        <w:rPr>
          <w:lang w:val="en-US" w:eastAsia="en-US"/>
        </w:rPr>
        <w:t>sequence order</w:t>
      </w:r>
      <w:r w:rsidR="00865F2E">
        <w:rPr>
          <w:lang w:val="en-US" w:eastAsia="en-US"/>
        </w:rPr>
        <w:t>.</w:t>
      </w:r>
    </w:p>
    <w:p w14:paraId="04CE4789" w14:textId="1F4CA46E" w:rsidR="00CA1FD5" w:rsidRPr="00CA1FD5" w:rsidRDefault="00CA1FD5" w:rsidP="00FE6318">
      <w:pPr>
        <w:pStyle w:val="Proposal"/>
      </w:pPr>
      <w:bookmarkStart w:id="34" w:name="_Toc7438004"/>
      <w:bookmarkStart w:id="35" w:name="_Toc7441894"/>
      <w:bookmarkStart w:id="36" w:name="_Toc7441964"/>
      <w:bookmarkStart w:id="37" w:name="_Toc7442145"/>
      <w:bookmarkStart w:id="38" w:name="_Toc7446334"/>
      <w:bookmarkStart w:id="39" w:name="_Toc7446378"/>
      <w:bookmarkStart w:id="40" w:name="_Toc7527987"/>
      <w:bookmarkStart w:id="41" w:name="_Toc7615380"/>
      <w:bookmarkStart w:id="42" w:name="_Toc7616139"/>
      <w:bookmarkStart w:id="43" w:name="_Toc7627212"/>
      <w:bookmarkStart w:id="44" w:name="_Toc7766660"/>
      <w:bookmarkStart w:id="45" w:name="_Toc15562215"/>
      <w:bookmarkStart w:id="46" w:name="_Toc15646206"/>
      <w:bookmarkStart w:id="47" w:name="_Toc15907779"/>
      <w:bookmarkStart w:id="48" w:name="_Toc16247063"/>
      <w:bookmarkStart w:id="49" w:name="_Toc16253752"/>
      <w:bookmarkStart w:id="50" w:name="_Toc16606623"/>
      <w:bookmarkStart w:id="51" w:name="_Toc16606728"/>
      <w:bookmarkStart w:id="52" w:name="_Toc16671974"/>
      <w:bookmarkStart w:id="53" w:name="_Toc16753581"/>
      <w:bookmarkStart w:id="54" w:name="_Toc16758351"/>
      <w:bookmarkStart w:id="55" w:name="_Toc16839108"/>
      <w:bookmarkStart w:id="56" w:name="_Toc16843107"/>
      <w:bookmarkStart w:id="57" w:name="_Toc16857513"/>
      <w:r>
        <w:rPr>
          <w:lang w:val="en-US" w:eastAsia="en-US"/>
        </w:rPr>
        <w:t xml:space="preserve">The DU configuration of DL, UL, and Flexible is based on the Rel-15 RRC-signaled D/U/F pattern provided by </w:t>
      </w:r>
      <w:r w:rsidRPr="005813ED">
        <w:rPr>
          <w:i/>
          <w:lang w:val="en-US" w:eastAsia="en-US"/>
        </w:rPr>
        <w:t>TDD-UL-DL-</w:t>
      </w:r>
      <w:proofErr w:type="spellStart"/>
      <w:r w:rsidRPr="005813ED">
        <w:rPr>
          <w:i/>
          <w:lang w:val="en-US" w:eastAsia="en-US"/>
        </w:rPr>
        <w:t>ConfigurationCommon</w:t>
      </w:r>
      <w:proofErr w:type="spellEnd"/>
      <w:r>
        <w:rPr>
          <w:lang w:val="en-US" w:eastAsia="en-US"/>
        </w:rPr>
        <w:t xml:space="preserve"> as in TS 38.213, with extension allowing the “downlink-uplink-flexible” sequence order</w:t>
      </w:r>
      <w:r w:rsidRPr="00A84F17">
        <w:rPr>
          <w:lang w:val="en-US" w:eastAsia="en-US"/>
        </w:rPr>
        <w:t xml:space="preserve"> </w:t>
      </w:r>
      <w:r>
        <w:rPr>
          <w:lang w:val="en-US" w:eastAsia="en-US"/>
        </w:rPr>
        <w:t xml:space="preserve">to be configurable </w:t>
      </w:r>
      <w:r w:rsidR="002873E6">
        <w:rPr>
          <w:lang w:val="en-US" w:eastAsia="en-US"/>
        </w:rPr>
        <w:t xml:space="preserve">and </w:t>
      </w:r>
      <w:r w:rsidR="005369FB">
        <w:rPr>
          <w:lang w:val="en-US" w:eastAsia="en-US"/>
        </w:rPr>
        <w:t>permuted</w:t>
      </w:r>
      <w:r w:rsidR="002873E6">
        <w:rPr>
          <w:lang w:val="en-US" w:eastAsia="en-US"/>
        </w:rPr>
        <w:t xml:space="preserve"> to</w:t>
      </w:r>
      <w:r w:rsidR="005369FB">
        <w:rPr>
          <w:lang w:val="en-US" w:eastAsia="en-US"/>
        </w:rPr>
        <w:t xml:space="preserve"> any other sequence order</w:t>
      </w:r>
      <w:r>
        <w:rPr>
          <w:lang w:val="en-US" w:eastAsia="en-US"/>
        </w:rPr>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087F84" w14:textId="5D05639D" w:rsidR="00300913" w:rsidRDefault="00DD549E" w:rsidP="00865F2E">
      <w:pPr>
        <w:pStyle w:val="Proposal"/>
        <w:rPr>
          <w:lang w:val="en-US" w:eastAsia="en-US"/>
        </w:rPr>
      </w:pPr>
      <w:bookmarkStart w:id="58" w:name="_Toc15646207"/>
      <w:bookmarkStart w:id="59" w:name="_Toc15907780"/>
      <w:bookmarkStart w:id="60" w:name="_Toc16247064"/>
      <w:bookmarkStart w:id="61" w:name="_Toc16253753"/>
      <w:bookmarkStart w:id="62" w:name="_Toc16606624"/>
      <w:bookmarkStart w:id="63" w:name="_Toc16606729"/>
      <w:bookmarkStart w:id="64" w:name="_Toc16671975"/>
      <w:bookmarkStart w:id="65" w:name="_Toc16753582"/>
      <w:bookmarkStart w:id="66" w:name="_Toc16758352"/>
      <w:bookmarkStart w:id="67" w:name="_Toc16839109"/>
      <w:bookmarkStart w:id="68" w:name="_Toc16843108"/>
      <w:bookmarkStart w:id="69" w:name="_Toc16857514"/>
      <w:r>
        <w:rPr>
          <w:lang w:val="en-US" w:eastAsia="en-US"/>
        </w:rPr>
        <w:t>Extension</w:t>
      </w:r>
      <w:r w:rsidR="00595068">
        <w:rPr>
          <w:lang w:val="en-US" w:eastAsia="en-US"/>
        </w:rPr>
        <w:t xml:space="preserve"> </w:t>
      </w:r>
      <w:r w:rsidR="004E599E">
        <w:rPr>
          <w:lang w:val="en-US" w:eastAsia="en-US"/>
        </w:rPr>
        <w:t>allowing the “downlink-uplink-flexible” sequence order</w:t>
      </w:r>
      <w:r w:rsidR="004E599E" w:rsidRPr="00A84F17">
        <w:rPr>
          <w:lang w:val="en-US" w:eastAsia="en-US"/>
        </w:rPr>
        <w:t xml:space="preserve"> </w:t>
      </w:r>
      <w:r w:rsidR="004E599E">
        <w:rPr>
          <w:lang w:val="en-US" w:eastAsia="en-US"/>
        </w:rPr>
        <w:t xml:space="preserve">to </w:t>
      </w:r>
      <w:r w:rsidR="00D84FCF">
        <w:rPr>
          <w:lang w:val="en-US" w:eastAsia="en-US"/>
        </w:rPr>
        <w:t>be configurable and permuted to any other sequence order</w:t>
      </w:r>
      <w:r w:rsidR="00300913">
        <w:rPr>
          <w:lang w:val="en-US" w:eastAsia="en-US"/>
        </w:rPr>
        <w:t xml:space="preserve"> is </w:t>
      </w:r>
      <w:r w:rsidR="00B577D0">
        <w:rPr>
          <w:lang w:val="en-US" w:eastAsia="en-US"/>
        </w:rPr>
        <w:t xml:space="preserve">also </w:t>
      </w:r>
      <w:r w:rsidR="00BB6098">
        <w:rPr>
          <w:lang w:val="en-US" w:eastAsia="en-US"/>
        </w:rPr>
        <w:t>applied</w:t>
      </w:r>
      <w:r w:rsidR="00300913">
        <w:rPr>
          <w:lang w:val="en-US" w:eastAsia="en-US"/>
        </w:rPr>
        <w:t xml:space="preserve"> </w:t>
      </w:r>
      <w:r w:rsidR="00F50E80">
        <w:rPr>
          <w:lang w:val="en-US" w:eastAsia="en-US"/>
        </w:rPr>
        <w:t>to</w:t>
      </w:r>
      <w:r w:rsidR="00300913">
        <w:rPr>
          <w:lang w:val="en-US" w:eastAsia="en-US"/>
        </w:rPr>
        <w:t xml:space="preserve"> the MT </w:t>
      </w:r>
      <w:r w:rsidR="00B577D0">
        <w:rPr>
          <w:lang w:val="en-US" w:eastAsia="en-US"/>
        </w:rPr>
        <w:t xml:space="preserve">D/U/F </w:t>
      </w:r>
      <w:r w:rsidR="00300913">
        <w:rPr>
          <w:lang w:val="en-US" w:eastAsia="en-US"/>
        </w:rPr>
        <w:t>configuration.</w:t>
      </w:r>
      <w:bookmarkEnd w:id="58"/>
      <w:bookmarkEnd w:id="59"/>
      <w:bookmarkEnd w:id="60"/>
      <w:bookmarkEnd w:id="61"/>
      <w:bookmarkEnd w:id="62"/>
      <w:bookmarkEnd w:id="63"/>
      <w:bookmarkEnd w:id="64"/>
      <w:bookmarkEnd w:id="65"/>
      <w:bookmarkEnd w:id="66"/>
      <w:bookmarkEnd w:id="67"/>
      <w:bookmarkEnd w:id="68"/>
      <w:bookmarkEnd w:id="69"/>
    </w:p>
    <w:p w14:paraId="02125114" w14:textId="39C746C2" w:rsidR="00E704A2" w:rsidRDefault="00780BEC" w:rsidP="00300913">
      <w:pPr>
        <w:rPr>
          <w:lang w:val="en-US" w:eastAsia="en-US"/>
        </w:rPr>
      </w:pPr>
      <w:r>
        <w:rPr>
          <w:lang w:val="en-US" w:eastAsia="en-US"/>
        </w:rPr>
        <w:t xml:space="preserve">It is noted that </w:t>
      </w:r>
      <w:r w:rsidR="006D2D68">
        <w:rPr>
          <w:lang w:val="en-US" w:eastAsia="en-US"/>
        </w:rPr>
        <w:t>for</w:t>
      </w:r>
      <w:r w:rsidR="005E0772">
        <w:rPr>
          <w:lang w:val="en-US" w:eastAsia="en-US"/>
        </w:rPr>
        <w:t xml:space="preserve"> Rel-15 access UEs</w:t>
      </w:r>
      <w:r w:rsidR="00C95818">
        <w:rPr>
          <w:lang w:val="en-US" w:eastAsia="en-US"/>
        </w:rPr>
        <w:t>, only the order of</w:t>
      </w:r>
      <w:r w:rsidR="00EE49E9">
        <w:rPr>
          <w:lang w:val="en-US" w:eastAsia="en-US"/>
        </w:rPr>
        <w:t xml:space="preserve"> DL-F</w:t>
      </w:r>
      <w:r w:rsidR="003E4EB5">
        <w:rPr>
          <w:lang w:val="en-US" w:eastAsia="en-US"/>
        </w:rPr>
        <w:t>lexible</w:t>
      </w:r>
      <w:r w:rsidR="00EE49E9">
        <w:rPr>
          <w:lang w:val="en-US" w:eastAsia="en-US"/>
        </w:rPr>
        <w:t xml:space="preserve">-UL is valid. </w:t>
      </w:r>
      <w:r w:rsidR="000F5A64">
        <w:rPr>
          <w:lang w:val="en-US" w:eastAsia="en-US"/>
        </w:rPr>
        <w:t xml:space="preserve">When </w:t>
      </w:r>
      <w:r w:rsidR="0041583D">
        <w:rPr>
          <w:lang w:val="en-US" w:eastAsia="en-US"/>
        </w:rPr>
        <w:t>the semi-static DU configuration allows permuted sequence order</w:t>
      </w:r>
      <w:r w:rsidR="00DF067F">
        <w:rPr>
          <w:lang w:val="en-US" w:eastAsia="en-US"/>
        </w:rPr>
        <w:t xml:space="preserve">, it may happen that </w:t>
      </w:r>
      <w:r w:rsidR="00672308">
        <w:rPr>
          <w:lang w:val="en-US" w:eastAsia="en-US"/>
        </w:rPr>
        <w:t xml:space="preserve">a certain DU time resource is configured as DL while the </w:t>
      </w:r>
      <w:r w:rsidR="008E0AD0">
        <w:rPr>
          <w:lang w:val="en-US" w:eastAsia="en-US"/>
        </w:rPr>
        <w:t>served</w:t>
      </w:r>
      <w:r w:rsidR="00672308">
        <w:rPr>
          <w:lang w:val="en-US" w:eastAsia="en-US"/>
        </w:rPr>
        <w:t xml:space="preserve"> UE </w:t>
      </w:r>
      <w:r w:rsidR="00F2485A">
        <w:rPr>
          <w:lang w:val="en-US" w:eastAsia="en-US"/>
        </w:rPr>
        <w:t xml:space="preserve">has the corresponding </w:t>
      </w:r>
      <w:r w:rsidR="00672308">
        <w:rPr>
          <w:lang w:val="en-US" w:eastAsia="en-US"/>
        </w:rPr>
        <w:t xml:space="preserve">time resource </w:t>
      </w:r>
      <w:r w:rsidR="00F2485A">
        <w:rPr>
          <w:lang w:val="en-US" w:eastAsia="en-US"/>
        </w:rPr>
        <w:t>semi-statically</w:t>
      </w:r>
      <w:r w:rsidR="00672308">
        <w:rPr>
          <w:lang w:val="en-US" w:eastAsia="en-US"/>
        </w:rPr>
        <w:t xml:space="preserve"> configured as UL</w:t>
      </w:r>
      <w:r w:rsidR="00517A54">
        <w:rPr>
          <w:lang w:val="en-US" w:eastAsia="en-US"/>
        </w:rPr>
        <w:t xml:space="preserve">, or vice versa. In this case, </w:t>
      </w:r>
      <w:r w:rsidR="00A328EA">
        <w:rPr>
          <w:lang w:val="en-US" w:eastAsia="en-US"/>
        </w:rPr>
        <w:t xml:space="preserve">the IAB node </w:t>
      </w:r>
      <w:r w:rsidR="00B577D0">
        <w:rPr>
          <w:lang w:val="en-US" w:eastAsia="en-US"/>
        </w:rPr>
        <w:t xml:space="preserve">should </w:t>
      </w:r>
      <w:r w:rsidR="00A328EA">
        <w:rPr>
          <w:lang w:val="en-US" w:eastAsia="en-US"/>
        </w:rPr>
        <w:t xml:space="preserve">only use such time resource </w:t>
      </w:r>
      <w:r w:rsidR="00AA2598">
        <w:rPr>
          <w:lang w:val="en-US" w:eastAsia="en-US"/>
        </w:rPr>
        <w:t>on the</w:t>
      </w:r>
      <w:r w:rsidR="00A328EA">
        <w:rPr>
          <w:lang w:val="en-US" w:eastAsia="en-US"/>
        </w:rPr>
        <w:t xml:space="preserve"> </w:t>
      </w:r>
      <w:r w:rsidR="00AA2598">
        <w:rPr>
          <w:lang w:val="en-US" w:eastAsia="en-US"/>
        </w:rPr>
        <w:t>child backhaul links, not on the access links.</w:t>
      </w:r>
    </w:p>
    <w:p w14:paraId="1AA14E9B" w14:textId="68898F14" w:rsidR="0026693A" w:rsidRDefault="0026693A" w:rsidP="00FE6318">
      <w:pPr>
        <w:rPr>
          <w:lang w:val="en-US" w:eastAsia="en-US"/>
        </w:rPr>
      </w:pPr>
    </w:p>
    <w:p w14:paraId="7941BC3F" w14:textId="77777777" w:rsidR="00C374C3" w:rsidRPr="00131D2B" w:rsidRDefault="00C374C3" w:rsidP="00C374C3">
      <w:pPr>
        <w:rPr>
          <w:b/>
          <w:lang w:val="en-US" w:eastAsia="en-US"/>
        </w:rPr>
      </w:pPr>
      <w:r w:rsidRPr="00131D2B">
        <w:rPr>
          <w:b/>
          <w:lang w:val="en-US" w:eastAsia="en-US"/>
        </w:rPr>
        <w:t>Time-domain allocation</w:t>
      </w:r>
    </w:p>
    <w:p w14:paraId="69DFC195" w14:textId="11656097" w:rsidR="00C374C3" w:rsidRDefault="00C374C3" w:rsidP="00C374C3">
      <w:pPr>
        <w:rPr>
          <w:lang w:val="en-US"/>
        </w:rPr>
      </w:pPr>
      <w:r>
        <w:rPr>
          <w:lang w:val="en-US"/>
        </w:rPr>
        <w:t xml:space="preserve">Semi-static resource allocation for IAB DU is configured in a centralized way. The arrival time of the signaling at each IAB DU depends not only on the geographical distance between the nodes but also on, for example, the radio bearer scheduling, possible </w:t>
      </w:r>
      <w:r w:rsidRPr="00FE33C7">
        <w:rPr>
          <w:lang w:val="en-US"/>
        </w:rPr>
        <w:t>RLC</w:t>
      </w:r>
      <w:r>
        <w:rPr>
          <w:lang w:val="en-US"/>
        </w:rPr>
        <w:t xml:space="preserve"> retransmission, etc., therefore the delay may change over different configuration occasions even </w:t>
      </w:r>
      <w:r w:rsidR="00BE4150">
        <w:rPr>
          <w:lang w:val="en-US"/>
        </w:rPr>
        <w:t>when</w:t>
      </w:r>
      <w:r>
        <w:rPr>
          <w:lang w:val="en-US"/>
        </w:rPr>
        <w:t xml:space="preserve"> the IAB nodes are static.</w:t>
      </w:r>
    </w:p>
    <w:p w14:paraId="04C6B03F" w14:textId="4414A5E1" w:rsidR="00C374C3" w:rsidRDefault="00C374C3" w:rsidP="003A1476">
      <w:pPr>
        <w:rPr>
          <w:lang w:val="en-US"/>
        </w:rPr>
      </w:pPr>
      <w:r>
        <w:rPr>
          <w:lang w:val="en-US"/>
        </w:rPr>
        <w:lastRenderedPageBreak/>
        <w:t xml:space="preserve">Theoretically, the configuration is made such that the assigned resources to each IAB DU are used in an aligned way for fulfilling the desired coordination between adjacent IAB node and along the IAB chain. The variant signaling delays need to be compensated for. </w:t>
      </w:r>
    </w:p>
    <w:p w14:paraId="55641B1B" w14:textId="5115EB51" w:rsidR="00C374C3" w:rsidRPr="00140CBB" w:rsidRDefault="00C374C3" w:rsidP="00C374C3">
      <w:pPr>
        <w:rPr>
          <w:lang w:val="en-US"/>
        </w:rPr>
      </w:pPr>
      <w:r>
        <w:rPr>
          <w:lang w:val="en-US"/>
        </w:rPr>
        <w:t xml:space="preserve">From the RAN1 perspective, it is desirable to have a scheme associating the DU resource allocation with activation timing information. In this scheme, the resource configuration also provides information about the activation of the given configuration (for example, in form of SFN and offset) as well as some optional on-demand information such as the number of repetitions of the provided configuration. One illustration is shown in </w:t>
      </w:r>
      <w:r>
        <w:rPr>
          <w:lang w:val="en-US"/>
        </w:rPr>
        <w:fldChar w:fldCharType="begin"/>
      </w:r>
      <w:r>
        <w:rPr>
          <w:lang w:val="en-US"/>
        </w:rPr>
        <w:instrText xml:space="preserve"> REF _Ref7421109 \h </w:instrText>
      </w:r>
      <w:r>
        <w:rPr>
          <w:lang w:val="en-US"/>
        </w:rPr>
      </w:r>
      <w:r>
        <w:rPr>
          <w:lang w:val="en-US"/>
        </w:rPr>
        <w:fldChar w:fldCharType="separate"/>
      </w:r>
      <w:r w:rsidR="003A1476">
        <w:t xml:space="preserve">Figure </w:t>
      </w:r>
      <w:r w:rsidR="003A1476">
        <w:rPr>
          <w:noProof/>
        </w:rPr>
        <w:t>1</w:t>
      </w:r>
      <w:r>
        <w:rPr>
          <w:lang w:val="en-US"/>
        </w:rPr>
        <w:fldChar w:fldCharType="end"/>
      </w:r>
      <w:r>
        <w:rPr>
          <w:lang w:val="en-US"/>
        </w:rPr>
        <w:t>, where the color is associated with a certain configuration. The colored squares represent slots configured with certain resource types at the IAB DU, whereas the downwards bold arrows marked the arriving time of each configuration signaling at each IAB node. The three IAB nodes are in a chain where IAB-(</w:t>
      </w:r>
      <w:r w:rsidRPr="00140CBB">
        <w:rPr>
          <w:i/>
          <w:lang w:val="en-US"/>
        </w:rPr>
        <w:t>i</w:t>
      </w:r>
      <w:r>
        <w:rPr>
          <w:i/>
          <w:lang w:val="en-US"/>
        </w:rPr>
        <w:t>-1)</w:t>
      </w:r>
      <w:r>
        <w:rPr>
          <w:lang w:val="en-US"/>
        </w:rPr>
        <w:t xml:space="preserve"> is the parent node of IAB-</w:t>
      </w:r>
      <w:r>
        <w:rPr>
          <w:i/>
          <w:lang w:val="en-US"/>
        </w:rPr>
        <w:t>i</w:t>
      </w:r>
      <w:r>
        <w:rPr>
          <w:lang w:val="en-US"/>
        </w:rPr>
        <w:t>.</w:t>
      </w:r>
    </w:p>
    <w:p w14:paraId="7C70B9D0" w14:textId="6449C362" w:rsidR="00C374C3" w:rsidRDefault="004C229F" w:rsidP="00C374C3">
      <w:pPr>
        <w:jc w:val="center"/>
        <w:rPr>
          <w:lang w:val="en-US"/>
        </w:rPr>
      </w:pPr>
      <w:r>
        <w:rPr>
          <w:noProof/>
          <w:lang w:val="en-US"/>
        </w:rPr>
        <w:drawing>
          <wp:inline distT="0" distB="0" distL="0" distR="0" wp14:anchorId="7CD97079" wp14:editId="3CBCC50C">
            <wp:extent cx="4680000" cy="266805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0000" cy="2668054"/>
                    </a:xfrm>
                    <a:prstGeom prst="rect">
                      <a:avLst/>
                    </a:prstGeom>
                    <a:noFill/>
                  </pic:spPr>
                </pic:pic>
              </a:graphicData>
            </a:graphic>
          </wp:inline>
        </w:drawing>
      </w:r>
    </w:p>
    <w:p w14:paraId="0B956D0E" w14:textId="27A742CF" w:rsidR="00C374C3" w:rsidRDefault="00C374C3" w:rsidP="00C374C3">
      <w:pPr>
        <w:pStyle w:val="Caption"/>
        <w:rPr>
          <w:lang w:val="en-US"/>
        </w:rPr>
      </w:pPr>
      <w:bookmarkStart w:id="70" w:name="_Ref7421109"/>
      <w:r>
        <w:t xml:space="preserve">Figure </w:t>
      </w:r>
      <w:r>
        <w:fldChar w:fldCharType="begin"/>
      </w:r>
      <w:r>
        <w:instrText xml:space="preserve"> SEQ Figure \* ARABIC </w:instrText>
      </w:r>
      <w:r>
        <w:fldChar w:fldCharType="separate"/>
      </w:r>
      <w:r w:rsidR="003A1476">
        <w:rPr>
          <w:noProof/>
        </w:rPr>
        <w:t>1</w:t>
      </w:r>
      <w:r>
        <w:fldChar w:fldCharType="end"/>
      </w:r>
      <w:bookmarkEnd w:id="70"/>
      <w:r>
        <w:t xml:space="preserve">: </w:t>
      </w:r>
      <w:r w:rsidRPr="00166938">
        <w:t>Example of the activation scheme for semi-static configuration to IAB DU.</w:t>
      </w:r>
    </w:p>
    <w:p w14:paraId="7E857BBD" w14:textId="77777777" w:rsidR="00C374C3" w:rsidRDefault="00C374C3" w:rsidP="00C374C3">
      <w:r>
        <w:t xml:space="preserve">In this example, the first (blue) configurations arrive at IAB-1, IAB-2 and IAB-3 at different time instants but the associated SFN and offset point to the same configuration-activation time. Thereby, the assigned resources at each IAB DU can be aligned and carried out as desired. The second (green) and third (orange) configurations follow in a similar way. The valid duration of the configuration can vary between different assignments. For example, the blue and green configurations assign resource types to 5 slots whereas the orange configuration assigns resource types to 6 slots. </w:t>
      </w:r>
    </w:p>
    <w:p w14:paraId="61E8F0B4" w14:textId="668F4C6B" w:rsidR="00C374C3" w:rsidRDefault="00C374C3" w:rsidP="00C374C3">
      <w:pPr>
        <w:rPr>
          <w:lang w:val="en-US" w:eastAsia="en-US"/>
        </w:rPr>
      </w:pPr>
      <w:r>
        <w:t xml:space="preserve">Additionally, there should be a minimum value for the difference between signalling arrival time and the indicated configuration-activation time (marked red in </w:t>
      </w:r>
      <w:r>
        <w:fldChar w:fldCharType="begin"/>
      </w:r>
      <w:r>
        <w:instrText xml:space="preserve"> REF _Ref7421109 \h </w:instrText>
      </w:r>
      <w:r>
        <w:fldChar w:fldCharType="separate"/>
      </w:r>
      <w:r w:rsidR="003A1476">
        <w:t xml:space="preserve">Figure </w:t>
      </w:r>
      <w:r w:rsidR="003A1476">
        <w:rPr>
          <w:noProof/>
        </w:rPr>
        <w:t>1</w:t>
      </w:r>
      <w:r>
        <w:fldChar w:fldCharType="end"/>
      </w:r>
      <w:r>
        <w:t>). If, for example, due to the accumulated delays, this minimum value is reached, the corresponding IAB node could feedback a warning, so that the next configuration will be sent out earlier with respect to the previously signalled configuration duration.</w:t>
      </w:r>
    </w:p>
    <w:p w14:paraId="6036FD08" w14:textId="40670AB9" w:rsidR="006E76AB" w:rsidRDefault="00C374C3" w:rsidP="00B10A94">
      <w:pPr>
        <w:pStyle w:val="Observation"/>
      </w:pPr>
      <w:bookmarkStart w:id="71" w:name="_Toc7438005"/>
      <w:bookmarkStart w:id="72" w:name="_Toc7441895"/>
      <w:bookmarkStart w:id="73" w:name="_Toc7441965"/>
      <w:bookmarkStart w:id="74" w:name="_Toc7442146"/>
      <w:bookmarkStart w:id="75" w:name="_Toc7446335"/>
      <w:bookmarkStart w:id="76" w:name="_Toc7446379"/>
      <w:bookmarkStart w:id="77" w:name="_Toc7527988"/>
      <w:bookmarkStart w:id="78" w:name="_Toc7615375"/>
      <w:bookmarkStart w:id="79" w:name="_Toc7616134"/>
      <w:bookmarkStart w:id="80" w:name="_Toc7627207"/>
      <w:bookmarkStart w:id="81" w:name="_Toc7766655"/>
      <w:bookmarkStart w:id="82" w:name="_Toc15646201"/>
      <w:bookmarkStart w:id="83" w:name="_Toc15907773"/>
      <w:bookmarkStart w:id="84" w:name="_Toc16247057"/>
      <w:bookmarkStart w:id="85" w:name="_Toc16253746"/>
      <w:bookmarkStart w:id="86" w:name="_Toc16606616"/>
      <w:bookmarkStart w:id="87" w:name="_Toc16606721"/>
      <w:bookmarkStart w:id="88" w:name="_Toc16671968"/>
      <w:bookmarkStart w:id="89" w:name="_Toc16753575"/>
      <w:bookmarkStart w:id="90" w:name="_Toc16758345"/>
      <w:bookmarkStart w:id="91" w:name="_Toc16839101"/>
      <w:bookmarkStart w:id="92" w:name="_Toc16843101"/>
      <w:bookmarkStart w:id="93" w:name="_Toc16857507"/>
      <w:r>
        <w:rPr>
          <w:lang w:val="en-US"/>
        </w:rPr>
        <w:t>From the RAN1 perspective, it is desirable to have a scheme associating IAB DU resource configuration with activation timing information</w:t>
      </w:r>
      <w:r>
        <w:rPr>
          <w:lang w:val="en-US" w:eastAsia="en-US"/>
        </w:rPr>
        <w:t xml:space="preserve"> to align the configuration carried out by different IAB nodes.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D5D4ACB" w14:textId="237ED2C5" w:rsidR="0026693A" w:rsidRDefault="009605F8" w:rsidP="00E37EC2">
      <w:pPr>
        <w:pStyle w:val="Heading2"/>
      </w:pPr>
      <w:bookmarkStart w:id="94" w:name="_Ref15563425"/>
      <w:r>
        <w:t xml:space="preserve">Configuration </w:t>
      </w:r>
      <w:r w:rsidR="0026693A">
        <w:t>of H/S</w:t>
      </w:r>
      <w:r w:rsidR="007E74C3">
        <w:t>/NA</w:t>
      </w:r>
      <w:bookmarkEnd w:id="94"/>
    </w:p>
    <w:p w14:paraId="44A9093E" w14:textId="46E75A39" w:rsidR="00CF27AA" w:rsidRPr="00605343" w:rsidRDefault="00CF27AA" w:rsidP="00CF27AA">
      <w:pPr>
        <w:rPr>
          <w:rFonts w:eastAsiaTheme="minorEastAsia"/>
        </w:rPr>
      </w:pPr>
      <w:r w:rsidRPr="00CF27AA">
        <w:t xml:space="preserve">The resource coordination between IAB MT and DU as listed in Table </w:t>
      </w:r>
      <w:r w:rsidR="003E1235">
        <w:t>7.</w:t>
      </w:r>
      <w:r w:rsidR="00583EF8">
        <w:t>3.3-1 and 7.3.3-2 of TR 38.874</w:t>
      </w:r>
      <w:r w:rsidR="00B6159A">
        <w:t xml:space="preserve"> </w:t>
      </w:r>
      <w:r w:rsidR="00B6159A">
        <w:fldChar w:fldCharType="begin"/>
      </w:r>
      <w:r w:rsidR="00B6159A">
        <w:instrText xml:space="preserve"> REF _Ref15301775 \r \h </w:instrText>
      </w:r>
      <w:r w:rsidR="00B6159A">
        <w:fldChar w:fldCharType="separate"/>
      </w:r>
      <w:r w:rsidR="003A1476">
        <w:t>[5]</w:t>
      </w:r>
      <w:r w:rsidR="00B6159A">
        <w:fldChar w:fldCharType="end"/>
      </w:r>
      <w:r w:rsidRPr="00CF27AA">
        <w:t xml:space="preserve"> assumes that the MT and DU resources are </w:t>
      </w:r>
      <w:r w:rsidR="006D5940">
        <w:t>time-</w:t>
      </w:r>
      <w:r w:rsidRPr="00CF27AA">
        <w:t>aligned</w:t>
      </w:r>
      <w:r w:rsidR="00810914">
        <w:t>.</w:t>
      </w:r>
      <w:r w:rsidRPr="00CF27AA">
        <w:t xml:space="preserve"> </w:t>
      </w:r>
      <w:r w:rsidR="00810914">
        <w:t>F</w:t>
      </w:r>
      <w:r w:rsidR="00810914" w:rsidRPr="00CF27AA">
        <w:t xml:space="preserve">or </w:t>
      </w:r>
      <w:r w:rsidRPr="00CF27AA">
        <w:t xml:space="preserve">example, the beginning of the </w:t>
      </w:r>
      <w:r w:rsidRPr="0013519A">
        <w:rPr>
          <w:i/>
        </w:rPr>
        <w:t>k</w:t>
      </w:r>
      <w:r w:rsidRPr="00CF27AA">
        <w:t>-</w:t>
      </w:r>
      <w:proofErr w:type="spellStart"/>
      <w:r w:rsidRPr="00CF27AA">
        <w:t>th</w:t>
      </w:r>
      <w:proofErr w:type="spellEnd"/>
      <w:r w:rsidRPr="00CF27AA">
        <w:t xml:space="preserve"> slot of on MT side is aligned in time with the beginning of the </w:t>
      </w:r>
      <w:r w:rsidRPr="00CF27AA">
        <w:rPr>
          <w:i/>
        </w:rPr>
        <w:t>k</w:t>
      </w:r>
      <w:r w:rsidRPr="00CF27AA">
        <w:t>-</w:t>
      </w:r>
      <w:proofErr w:type="spellStart"/>
      <w:r w:rsidRPr="00CF27AA">
        <w:t>th</w:t>
      </w:r>
      <w:proofErr w:type="spellEnd"/>
      <w:r w:rsidRPr="00CF27AA">
        <w:t xml:space="preserve"> slot on</w:t>
      </w:r>
      <w:r w:rsidR="00B651C8">
        <w:t xml:space="preserve"> the</w:t>
      </w:r>
      <w:r w:rsidRPr="00CF27AA">
        <w:t xml:space="preserve"> DU side</w:t>
      </w:r>
      <w:r w:rsidR="007E2F4A">
        <w:t xml:space="preserve"> of the same IAB node</w:t>
      </w:r>
      <w:r w:rsidRPr="00CF27AA">
        <w:t xml:space="preserve">. In this case, configuring the </w:t>
      </w:r>
      <w:r w:rsidRPr="0013519A">
        <w:rPr>
          <w:i/>
        </w:rPr>
        <w:t>k</w:t>
      </w:r>
      <w:r w:rsidRPr="00CF27AA">
        <w:t>-</w:t>
      </w:r>
      <w:proofErr w:type="spellStart"/>
      <w:r w:rsidRPr="00CF27AA">
        <w:t>th</w:t>
      </w:r>
      <w:proofErr w:type="spellEnd"/>
      <w:r w:rsidRPr="00CF27AA">
        <w:t xml:space="preserve"> slot of IAB DU as Hard resource means the </w:t>
      </w:r>
      <w:r w:rsidRPr="0013519A">
        <w:rPr>
          <w:i/>
        </w:rPr>
        <w:t>k</w:t>
      </w:r>
      <w:r w:rsidRPr="00CF27AA">
        <w:t>-</w:t>
      </w:r>
      <w:proofErr w:type="spellStart"/>
      <w:r w:rsidRPr="00CF27AA">
        <w:t>th</w:t>
      </w:r>
      <w:proofErr w:type="spellEnd"/>
      <w:r w:rsidRPr="00CF27AA">
        <w:t xml:space="preserve"> slot is potentially not available for the MT part of the same IAB-node, and so on. This is especially true for mixed transmitting and receiving configurations of MT and DU, if the node is only capable of half-duplex for IAB.</w:t>
      </w:r>
    </w:p>
    <w:p w14:paraId="00F889F0" w14:textId="26CA1A00" w:rsidR="00672F93" w:rsidRDefault="00672F93" w:rsidP="00CF27AA">
      <w:r w:rsidRPr="00672F93">
        <w:t>However, in practice, the MT and DU resources are not exactly aligned due to propagation delay, indicated timing advance for UL transmission, required DL transmission timing alignment, etc., as shown in</w:t>
      </w:r>
      <w:r w:rsidR="006533DA">
        <w:t xml:space="preserve"> </w:t>
      </w:r>
      <w:r w:rsidR="006533DA">
        <w:fldChar w:fldCharType="begin"/>
      </w:r>
      <w:r w:rsidR="006533DA">
        <w:instrText xml:space="preserve"> REF _Ref15301981 \h </w:instrText>
      </w:r>
      <w:r w:rsidR="006533DA">
        <w:fldChar w:fldCharType="separate"/>
      </w:r>
      <w:r w:rsidR="003A1476">
        <w:t xml:space="preserve">Figure </w:t>
      </w:r>
      <w:r w:rsidR="003A1476">
        <w:rPr>
          <w:noProof/>
        </w:rPr>
        <w:t>2</w:t>
      </w:r>
      <w:r w:rsidR="006533DA">
        <w:fldChar w:fldCharType="end"/>
      </w:r>
      <w:r w:rsidRPr="00672F93">
        <w:t xml:space="preserve">.  This needs to be </w:t>
      </w:r>
      <w:proofErr w:type="gramStart"/>
      <w:r w:rsidRPr="00672F93">
        <w:t>taken into account</w:t>
      </w:r>
      <w:proofErr w:type="gramEnd"/>
      <w:r w:rsidRPr="00672F93">
        <w:t xml:space="preserve"> when considering DU Hard/Soft configuration impact on</w:t>
      </w:r>
      <w:r w:rsidR="00816CBC">
        <w:t xml:space="preserve"> the</w:t>
      </w:r>
      <w:r w:rsidRPr="00672F93">
        <w:t xml:space="preserve"> MT availability.</w:t>
      </w:r>
    </w:p>
    <w:p w14:paraId="3A150807" w14:textId="4E9C35B2" w:rsidR="00A33E52" w:rsidRPr="00CF27AA" w:rsidRDefault="00A33E52" w:rsidP="00A33E52">
      <w:pPr>
        <w:jc w:val="center"/>
      </w:pPr>
      <w:r w:rsidRPr="00A33E52">
        <w:rPr>
          <w:noProof/>
        </w:rPr>
        <w:lastRenderedPageBreak/>
        <w:drawing>
          <wp:inline distT="0" distB="0" distL="0" distR="0" wp14:anchorId="48AA310E" wp14:editId="5E66479B">
            <wp:extent cx="4680000" cy="2814118"/>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0000" cy="2814118"/>
                    </a:xfrm>
                    <a:prstGeom prst="rect">
                      <a:avLst/>
                    </a:prstGeom>
                    <a:noFill/>
                    <a:ln>
                      <a:noFill/>
                    </a:ln>
                  </pic:spPr>
                </pic:pic>
              </a:graphicData>
            </a:graphic>
          </wp:inline>
        </w:drawing>
      </w:r>
    </w:p>
    <w:p w14:paraId="2BCF8B16" w14:textId="2EE3CAC5" w:rsidR="006533DA" w:rsidRDefault="006533DA" w:rsidP="006533DA">
      <w:pPr>
        <w:pStyle w:val="Caption"/>
      </w:pPr>
      <w:bookmarkStart w:id="95" w:name="_Ref15301981"/>
      <w:r>
        <w:t xml:space="preserve">Figure </w:t>
      </w:r>
      <w:r>
        <w:fldChar w:fldCharType="begin"/>
      </w:r>
      <w:r>
        <w:instrText xml:space="preserve"> SEQ Figure \* ARABIC </w:instrText>
      </w:r>
      <w:r>
        <w:fldChar w:fldCharType="separate"/>
      </w:r>
      <w:r w:rsidR="003A1476">
        <w:rPr>
          <w:noProof/>
        </w:rPr>
        <w:t>2</w:t>
      </w:r>
      <w:r>
        <w:fldChar w:fldCharType="end"/>
      </w:r>
      <w:bookmarkEnd w:id="95"/>
      <w:r>
        <w:t xml:space="preserve">: MT-DU timing misalignment of an IAB node at slot </w:t>
      </w:r>
      <w:r w:rsidRPr="006533DA">
        <w:rPr>
          <w:i/>
        </w:rPr>
        <w:t>k</w:t>
      </w:r>
      <w:r>
        <w:t>.</w:t>
      </w:r>
    </w:p>
    <w:p w14:paraId="216EE55F" w14:textId="4787A530" w:rsidR="00375760" w:rsidRDefault="00F9620A" w:rsidP="00375760">
      <w:r>
        <w:t xml:space="preserve">When the timing misalignment within the IAB node is considered, four alternatives (alt. 1a, 1b, 1c and 2) were discussed during RAN1 #97 </w:t>
      </w:r>
      <w:r>
        <w:fldChar w:fldCharType="begin"/>
      </w:r>
      <w:r>
        <w:instrText xml:space="preserve"> REF _Ref476919366 \r \h </w:instrText>
      </w:r>
      <w:r>
        <w:fldChar w:fldCharType="separate"/>
      </w:r>
      <w:r w:rsidR="003A1476">
        <w:t>[1]</w:t>
      </w:r>
      <w:r>
        <w:fldChar w:fldCharType="end"/>
      </w:r>
      <w:r>
        <w:t xml:space="preserve">. </w:t>
      </w:r>
      <w:r w:rsidR="00737B4F">
        <w:t xml:space="preserve">Timing-wise, Alt. 1a and 1c are the same whereas </w:t>
      </w:r>
      <w:r w:rsidR="00F60074">
        <w:t xml:space="preserve">Alt. 1b and 2 are the same. </w:t>
      </w:r>
    </w:p>
    <w:p w14:paraId="4B7596CE" w14:textId="20122586" w:rsidR="008A077E" w:rsidRDefault="008A077E" w:rsidP="00375760">
      <w:r>
        <w:t xml:space="preserve">The timing option of alt. 1a and 1c </w:t>
      </w:r>
      <w:r w:rsidR="00626D70">
        <w:t xml:space="preserve">is </w:t>
      </w:r>
      <w:r w:rsidR="00DE6488" w:rsidRPr="00DE6488">
        <w:t>straightforward from the DU configuration perspective. But it causes that the availability of DU resource not only impacts or be impacted by the corresponding MT resource in question, but also impacts or be impacted by the MT time-domain resource(s) right before or after the DU resource. One example is shown in</w:t>
      </w:r>
      <w:r w:rsidR="00F927A0">
        <w:t xml:space="preserve"> </w:t>
      </w:r>
      <w:r w:rsidR="00F927A0">
        <w:fldChar w:fldCharType="begin"/>
      </w:r>
      <w:r w:rsidR="00F927A0">
        <w:instrText xml:space="preserve"> REF _Ref15304087 \h </w:instrText>
      </w:r>
      <w:r w:rsidR="00F927A0">
        <w:fldChar w:fldCharType="separate"/>
      </w:r>
      <w:r w:rsidR="003A1476">
        <w:t xml:space="preserve">Figure </w:t>
      </w:r>
      <w:r w:rsidR="003A1476">
        <w:rPr>
          <w:noProof/>
        </w:rPr>
        <w:t>3</w:t>
      </w:r>
      <w:r w:rsidR="00F927A0">
        <w:fldChar w:fldCharType="end"/>
      </w:r>
      <w:r w:rsidR="00DE6488" w:rsidRPr="00DE6488">
        <w:t xml:space="preserve">. In this example, the parent node is about to send three DL slots to the IAB-node (MT). </w:t>
      </w:r>
      <w:r w:rsidR="006B2188">
        <w:t>Since t</w:t>
      </w:r>
      <w:r w:rsidR="00DE6488" w:rsidRPr="00DE6488">
        <w:t xml:space="preserve">he </w:t>
      </w:r>
      <w:r w:rsidR="00DE6488" w:rsidRPr="00856AD9">
        <w:rPr>
          <w:i/>
        </w:rPr>
        <w:t>k</w:t>
      </w:r>
      <w:r w:rsidR="00DE6488" w:rsidRPr="00DE6488">
        <w:t>-</w:t>
      </w:r>
      <w:proofErr w:type="spellStart"/>
      <w:r w:rsidR="00DE6488" w:rsidRPr="00DE6488">
        <w:t>th</w:t>
      </w:r>
      <w:proofErr w:type="spellEnd"/>
      <w:r w:rsidR="00DE6488" w:rsidRPr="00DE6488">
        <w:t xml:space="preserve"> slot of the IAB DU is configured as UL-H with a UL reception timing slightly advanced (</w:t>
      </w:r>
      <w:r w:rsidR="00C615A3">
        <w:t>e.g.</w:t>
      </w:r>
      <w:r w:rsidR="00C615A3" w:rsidRPr="00DE6488">
        <w:t xml:space="preserve"> </w:t>
      </w:r>
      <w:r w:rsidR="00DE6488" w:rsidRPr="00DE6488">
        <w:t>due to some PHY processing reasons at the DU</w:t>
      </w:r>
      <w:r w:rsidR="006B2188">
        <w:t>)</w:t>
      </w:r>
      <w:r w:rsidR="00DE6488" w:rsidRPr="00DE6488">
        <w:t xml:space="preserve">, the </w:t>
      </w:r>
      <w:r w:rsidR="00DE6488" w:rsidRPr="006B2188">
        <w:rPr>
          <w:i/>
        </w:rPr>
        <w:t>k</w:t>
      </w:r>
      <w:r w:rsidR="00DE6488" w:rsidRPr="00DE6488">
        <w:t>-</w:t>
      </w:r>
      <w:proofErr w:type="spellStart"/>
      <w:r w:rsidR="00DE6488" w:rsidRPr="00DE6488">
        <w:t>th</w:t>
      </w:r>
      <w:proofErr w:type="spellEnd"/>
      <w:r w:rsidR="00DE6488" w:rsidRPr="00DE6488">
        <w:t xml:space="preserve"> slot of the IAB MT will not be available. Due to the misalignment between IAB MT DL reception and IAB DU UL reception, denoted as T</w:t>
      </w:r>
      <w:r w:rsidR="004636EF">
        <w:rPr>
          <w:vertAlign w:val="subscript"/>
        </w:rPr>
        <w:t>o</w:t>
      </w:r>
      <w:r w:rsidR="00DE6488" w:rsidRPr="00DE6488">
        <w:t xml:space="preserve">, the last part of the slot </w:t>
      </w:r>
      <w:r w:rsidR="00DE6488" w:rsidRPr="004636EF">
        <w:rPr>
          <w:i/>
        </w:rPr>
        <w:t>(k-1)</w:t>
      </w:r>
      <w:r w:rsidR="00DE6488" w:rsidRPr="00DE6488">
        <w:t xml:space="preserve"> of the IAB MT will be unavailable</w:t>
      </w:r>
      <w:r w:rsidR="00AC0A07">
        <w:t xml:space="preserve"> either</w:t>
      </w:r>
      <w:r w:rsidR="00DE6488" w:rsidRPr="00DE6488">
        <w:t>.</w:t>
      </w:r>
    </w:p>
    <w:p w14:paraId="10A2A18B" w14:textId="5CF93DD8" w:rsidR="00247DC5" w:rsidRDefault="00613C23" w:rsidP="00B60498">
      <w:pPr>
        <w:jc w:val="center"/>
      </w:pPr>
      <w:r w:rsidRPr="00613C23">
        <w:rPr>
          <w:noProof/>
        </w:rPr>
        <w:drawing>
          <wp:inline distT="0" distB="0" distL="0" distR="0" wp14:anchorId="25978998" wp14:editId="305C2542">
            <wp:extent cx="4680000" cy="19362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0000" cy="1936284"/>
                    </a:xfrm>
                    <a:prstGeom prst="rect">
                      <a:avLst/>
                    </a:prstGeom>
                    <a:noFill/>
                    <a:ln>
                      <a:noFill/>
                    </a:ln>
                  </pic:spPr>
                </pic:pic>
              </a:graphicData>
            </a:graphic>
          </wp:inline>
        </w:drawing>
      </w:r>
    </w:p>
    <w:p w14:paraId="04542949" w14:textId="404710CE" w:rsidR="00A32A9D" w:rsidRDefault="00A32A9D" w:rsidP="00A32A9D">
      <w:pPr>
        <w:pStyle w:val="Caption"/>
      </w:pPr>
      <w:bookmarkStart w:id="96" w:name="_Ref15304087"/>
      <w:r>
        <w:t xml:space="preserve">Figure </w:t>
      </w:r>
      <w:r>
        <w:fldChar w:fldCharType="begin"/>
      </w:r>
      <w:r>
        <w:instrText xml:space="preserve"> SEQ Figure \* ARABIC </w:instrText>
      </w:r>
      <w:r>
        <w:fldChar w:fldCharType="separate"/>
      </w:r>
      <w:r w:rsidR="003A1476">
        <w:rPr>
          <w:noProof/>
        </w:rPr>
        <w:t>3</w:t>
      </w:r>
      <w:r>
        <w:fldChar w:fldCharType="end"/>
      </w:r>
      <w:bookmarkEnd w:id="96"/>
      <w:r>
        <w:t xml:space="preserve">: Resource availability of IAB MT and DU when the </w:t>
      </w:r>
      <w:r w:rsidRPr="00B60498">
        <w:rPr>
          <w:i/>
        </w:rPr>
        <w:t>k</w:t>
      </w:r>
      <w:r>
        <w:t>-</w:t>
      </w:r>
      <w:proofErr w:type="spellStart"/>
      <w:r>
        <w:t>th</w:t>
      </w:r>
      <w:proofErr w:type="spellEnd"/>
      <w:r>
        <w:t xml:space="preserve"> slot of DU resource is configured as UL-H according to the DU slot timing.</w:t>
      </w:r>
    </w:p>
    <w:p w14:paraId="1A316FE9" w14:textId="5A461775" w:rsidR="004717A8" w:rsidRDefault="004717A8" w:rsidP="004717A8">
      <w:r w:rsidRPr="004717A8">
        <w:t>To avoid any resource conflict at the IAB</w:t>
      </w:r>
      <w:r w:rsidR="00AC0A07">
        <w:t xml:space="preserve"> </w:t>
      </w:r>
      <w:r w:rsidRPr="004717A8">
        <w:t xml:space="preserve">node, information </w:t>
      </w:r>
      <w:r>
        <w:t>about</w:t>
      </w:r>
      <w:r w:rsidRPr="004717A8">
        <w:t xml:space="preserve"> the timing misalignment between </w:t>
      </w:r>
      <w:r w:rsidR="001F2871">
        <w:t>the</w:t>
      </w:r>
      <w:r w:rsidRPr="004717A8">
        <w:t xml:space="preserve"> IAB MT and DU resource</w:t>
      </w:r>
      <w:r w:rsidR="001F2871">
        <w:t>s</w:t>
      </w:r>
      <w:r w:rsidRPr="004717A8">
        <w:t xml:space="preserve"> </w:t>
      </w:r>
      <w:r w:rsidR="00C615A3">
        <w:t>should</w:t>
      </w:r>
      <w:r w:rsidRPr="004717A8">
        <w:t xml:space="preserve"> be known by the parent node </w:t>
      </w:r>
      <w:r w:rsidR="00C81479">
        <w:t>which can</w:t>
      </w:r>
      <w:r w:rsidRPr="004717A8">
        <w:t xml:space="preserve"> adjust its transmission or scheduling towards the IAB-node MT</w:t>
      </w:r>
      <w:r w:rsidR="00FC4089">
        <w:t xml:space="preserve"> to accommodate the DU slot timing</w:t>
      </w:r>
      <w:r w:rsidRPr="004717A8">
        <w:t>. In the example of</w:t>
      </w:r>
      <w:r w:rsidR="00F927A0">
        <w:t xml:space="preserve"> </w:t>
      </w:r>
      <w:r w:rsidR="00F927A0">
        <w:fldChar w:fldCharType="begin"/>
      </w:r>
      <w:r w:rsidR="00F927A0">
        <w:instrText xml:space="preserve"> REF _Ref15304087 \h </w:instrText>
      </w:r>
      <w:r w:rsidR="00F927A0">
        <w:fldChar w:fldCharType="separate"/>
      </w:r>
      <w:r w:rsidR="003A1476">
        <w:t xml:space="preserve">Figure </w:t>
      </w:r>
      <w:r w:rsidR="003A1476">
        <w:rPr>
          <w:noProof/>
        </w:rPr>
        <w:t>3</w:t>
      </w:r>
      <w:r w:rsidR="00F927A0">
        <w:fldChar w:fldCharType="end"/>
      </w:r>
      <w:r w:rsidRPr="004717A8">
        <w:t xml:space="preserve">, the parent node needs to be provided with the value of </w:t>
      </w:r>
      <w:proofErr w:type="gramStart"/>
      <w:r w:rsidRPr="004717A8">
        <w:t>T</w:t>
      </w:r>
      <w:r w:rsidR="00312389">
        <w:rPr>
          <w:vertAlign w:val="subscript"/>
        </w:rPr>
        <w:t>o</w:t>
      </w:r>
      <w:proofErr w:type="gramEnd"/>
      <w:r w:rsidRPr="004717A8">
        <w:t xml:space="preserve"> so it can</w:t>
      </w:r>
      <w:r w:rsidR="00312389">
        <w:t xml:space="preserve"> </w:t>
      </w:r>
      <w:r w:rsidRPr="004717A8">
        <w:t xml:space="preserve">stop its DL transmission during slot </w:t>
      </w:r>
      <w:r w:rsidRPr="00312389">
        <w:rPr>
          <w:i/>
        </w:rPr>
        <w:t>(k-1)</w:t>
      </w:r>
      <w:r w:rsidRPr="004717A8">
        <w:t xml:space="preserve"> earlier by this T</w:t>
      </w:r>
      <w:r w:rsidRPr="00312389">
        <w:rPr>
          <w:vertAlign w:val="subscript"/>
        </w:rPr>
        <w:t>o</w:t>
      </w:r>
      <w:r w:rsidRPr="004717A8">
        <w:t xml:space="preserve"> before slot end, ensuring the corresponding IAB MT resource is sufficiently </w:t>
      </w:r>
      <w:r w:rsidR="001F2871">
        <w:t>available to receive the DL data</w:t>
      </w:r>
      <w:r w:rsidRPr="004717A8">
        <w:t>.</w:t>
      </w:r>
    </w:p>
    <w:p w14:paraId="674AA98E" w14:textId="4B9DC9C2" w:rsidR="008F7CF6" w:rsidRDefault="008F7CF6" w:rsidP="004717A8">
      <w:r>
        <w:t xml:space="preserve">In the case of alt. 1b and 2, </w:t>
      </w:r>
      <w:r w:rsidR="002D78D9" w:rsidRPr="002D78D9">
        <w:t xml:space="preserve">the availability of DU resource </w:t>
      </w:r>
      <w:r w:rsidR="00271BED">
        <w:t>is</w:t>
      </w:r>
      <w:r w:rsidR="002D78D9" w:rsidRPr="002D78D9">
        <w:t xml:space="preserve"> impacted by the corresponding MT resource in question. </w:t>
      </w:r>
      <w:r w:rsidR="003D7C8C">
        <w:t>T</w:t>
      </w:r>
      <w:r w:rsidR="002D78D9" w:rsidRPr="002D78D9">
        <w:t xml:space="preserve">he parent node does not need to know about the timing misalignment of the MT and DU resources at the IAB-node. However, </w:t>
      </w:r>
      <w:r w:rsidR="00C918ED">
        <w:t>this</w:t>
      </w:r>
      <w:r w:rsidR="00F17382">
        <w:t xml:space="preserve"> resource-</w:t>
      </w:r>
      <w:r w:rsidR="00CC2E46">
        <w:t>timing option</w:t>
      </w:r>
      <w:r w:rsidR="00C918ED">
        <w:t xml:space="preserve"> makes </w:t>
      </w:r>
      <w:r w:rsidR="002D78D9" w:rsidRPr="002D78D9">
        <w:t xml:space="preserve">the available DU resource(s) not aligned with the typical DU transmission or reception timing. </w:t>
      </w:r>
      <w:r w:rsidR="00494422">
        <w:fldChar w:fldCharType="begin"/>
      </w:r>
      <w:r w:rsidR="00494422">
        <w:instrText xml:space="preserve"> REF _Ref15542091 \h </w:instrText>
      </w:r>
      <w:r w:rsidR="00494422">
        <w:fldChar w:fldCharType="separate"/>
      </w:r>
      <w:r w:rsidR="003A1476">
        <w:t xml:space="preserve">Figure </w:t>
      </w:r>
      <w:r w:rsidR="003A1476">
        <w:rPr>
          <w:noProof/>
        </w:rPr>
        <w:t>4</w:t>
      </w:r>
      <w:r w:rsidR="00494422">
        <w:fldChar w:fldCharType="end"/>
      </w:r>
      <w:r w:rsidR="00494422">
        <w:t xml:space="preserve"> </w:t>
      </w:r>
      <w:r w:rsidR="002D78D9" w:rsidRPr="002D78D9">
        <w:t xml:space="preserve">shows one of such examples, where at the IAB DU the </w:t>
      </w:r>
      <w:r w:rsidR="00AB3A28" w:rsidRPr="002D78D9">
        <w:t>desi</w:t>
      </w:r>
      <w:r w:rsidR="00AB3A28">
        <w:t>red</w:t>
      </w:r>
      <w:r w:rsidR="00AB3A28" w:rsidRPr="002D78D9">
        <w:t xml:space="preserve"> </w:t>
      </w:r>
      <w:r w:rsidR="002D78D9" w:rsidRPr="002D78D9">
        <w:t>reception timing is outlined by black solid line while the available resource is outlined by red dashed line.  Due to the misalignment between IAB MT DL reception and IAB DU UL reception, denoted as T</w:t>
      </w:r>
      <w:r w:rsidR="002D78D9" w:rsidRPr="00990D55">
        <w:rPr>
          <w:vertAlign w:val="subscript"/>
        </w:rPr>
        <w:t>o</w:t>
      </w:r>
      <w:r w:rsidR="002D78D9" w:rsidRPr="002D78D9">
        <w:t xml:space="preserve">, the </w:t>
      </w:r>
      <w:r w:rsidR="002D78D9" w:rsidRPr="002D78D9">
        <w:lastRenderedPageBreak/>
        <w:t xml:space="preserve">IAB DU cannot start using the Hard resource until </w:t>
      </w:r>
      <w:proofErr w:type="gramStart"/>
      <w:r w:rsidR="002D78D9" w:rsidRPr="002D78D9">
        <w:t>T</w:t>
      </w:r>
      <w:r w:rsidR="002D78D9" w:rsidRPr="00990D55">
        <w:rPr>
          <w:vertAlign w:val="subscript"/>
        </w:rPr>
        <w:t>o</w:t>
      </w:r>
      <w:proofErr w:type="gramEnd"/>
      <w:r w:rsidR="002D78D9" w:rsidRPr="002D78D9">
        <w:t xml:space="preserve"> after its desired reception timing. It may need to send a timing advance (TA)</w:t>
      </w:r>
      <w:r w:rsidR="00C615A3">
        <w:t xml:space="preserve"> command</w:t>
      </w:r>
      <w:r w:rsidR="002D78D9" w:rsidRPr="002D78D9">
        <w:t xml:space="preserve"> to the served UEs or child IAB-node(s) with a relatively large step for covering </w:t>
      </w:r>
      <w:proofErr w:type="gramStart"/>
      <w:r w:rsidR="002D78D9" w:rsidRPr="002D78D9">
        <w:t>T</w:t>
      </w:r>
      <w:r w:rsidR="002D78D9" w:rsidRPr="00D14770">
        <w:rPr>
          <w:vertAlign w:val="subscript"/>
        </w:rPr>
        <w:t>o</w:t>
      </w:r>
      <w:proofErr w:type="gramEnd"/>
      <w:r w:rsidR="00C615A3">
        <w:t xml:space="preserve"> (and potentially resulting in a negative TA).</w:t>
      </w:r>
      <w:r w:rsidR="002D78D9" w:rsidRPr="002D78D9">
        <w:t xml:space="preserve"> In this case, the IAB DU needs to change its transmission and reception timing very often referring to the IAB MT transmission/reception timing, which will cause a chain effect on the transmission/reception timing of all the downstream IAB-nodes. Especially since </w:t>
      </w:r>
      <w:r w:rsidR="003D3231">
        <w:t xml:space="preserve">in IAB </w:t>
      </w:r>
      <w:r w:rsidR="002D78D9" w:rsidRPr="002D78D9">
        <w:t>the TA affects the 3GPP specified synchronization between IAB nodes, it leaves the IAB network without well-controlled timing coordination and causes problem to the consistent crosslink-interference management.</w:t>
      </w:r>
    </w:p>
    <w:p w14:paraId="596582A4" w14:textId="1049D22E" w:rsidR="009706A9" w:rsidRDefault="00613C23" w:rsidP="00261180">
      <w:pPr>
        <w:jc w:val="center"/>
      </w:pPr>
      <w:r w:rsidRPr="00613C23">
        <w:rPr>
          <w:noProof/>
        </w:rPr>
        <w:drawing>
          <wp:inline distT="0" distB="0" distL="0" distR="0" wp14:anchorId="2DAC5023" wp14:editId="54F9AFB0">
            <wp:extent cx="4680000" cy="1936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80000" cy="1936284"/>
                    </a:xfrm>
                    <a:prstGeom prst="rect">
                      <a:avLst/>
                    </a:prstGeom>
                    <a:noFill/>
                    <a:ln>
                      <a:noFill/>
                    </a:ln>
                  </pic:spPr>
                </pic:pic>
              </a:graphicData>
            </a:graphic>
          </wp:inline>
        </w:drawing>
      </w:r>
    </w:p>
    <w:p w14:paraId="299C2FEC" w14:textId="0656F59F" w:rsidR="00261180" w:rsidRDefault="00261180" w:rsidP="00261180">
      <w:pPr>
        <w:pStyle w:val="Caption"/>
      </w:pPr>
      <w:bookmarkStart w:id="97" w:name="_Ref15542091"/>
      <w:r>
        <w:t xml:space="preserve">Figure </w:t>
      </w:r>
      <w:r>
        <w:fldChar w:fldCharType="begin"/>
      </w:r>
      <w:r>
        <w:instrText xml:space="preserve"> SEQ Figure \* ARABIC </w:instrText>
      </w:r>
      <w:r>
        <w:fldChar w:fldCharType="separate"/>
      </w:r>
      <w:r w:rsidR="003A1476">
        <w:rPr>
          <w:noProof/>
        </w:rPr>
        <w:t>4</w:t>
      </w:r>
      <w:r>
        <w:fldChar w:fldCharType="end"/>
      </w:r>
      <w:bookmarkEnd w:id="97"/>
      <w:r>
        <w:t xml:space="preserve">: Resource availability of IAB MT and DU when the </w:t>
      </w:r>
      <w:r w:rsidRPr="00261180">
        <w:rPr>
          <w:i/>
        </w:rPr>
        <w:t>k</w:t>
      </w:r>
      <w:r>
        <w:t>-</w:t>
      </w:r>
      <w:proofErr w:type="spellStart"/>
      <w:r>
        <w:t>th</w:t>
      </w:r>
      <w:proofErr w:type="spellEnd"/>
      <w:r>
        <w:t xml:space="preserve"> slot of DU resource is configured as UL-H according to the MT slot timing.</w:t>
      </w:r>
    </w:p>
    <w:p w14:paraId="3C67A243" w14:textId="44C0B6E6" w:rsidR="009706A9" w:rsidRPr="004717A8" w:rsidRDefault="009706A9" w:rsidP="004717A8">
      <w:r w:rsidRPr="009706A9">
        <w:t>Therefore, applying H/S/NA relative to the DU transmission-direction configuration (D/U/F) slot timing is preferred in our view.</w:t>
      </w:r>
      <w:r w:rsidR="00C81BF2">
        <w:t xml:space="preserve"> Further, alt. 1a and 1c differ </w:t>
      </w:r>
      <w:r w:rsidR="00202039">
        <w:t xml:space="preserve">at whether the soft and NA resources should be explicitly indicated. </w:t>
      </w:r>
      <w:r w:rsidR="0085562C">
        <w:t>Alt. 1c</w:t>
      </w:r>
      <w:r w:rsidR="00F10753">
        <w:t xml:space="preserve"> ties the DU soft resource </w:t>
      </w:r>
      <w:r w:rsidR="00980E52">
        <w:t xml:space="preserve">only </w:t>
      </w:r>
      <w:r w:rsidR="00F10753">
        <w:t>to the</w:t>
      </w:r>
      <w:r w:rsidR="00980E52">
        <w:t xml:space="preserve"> MT-F configuration</w:t>
      </w:r>
      <w:r w:rsidR="007C071B">
        <w:t xml:space="preserve">, which makes the scheme less flexible. </w:t>
      </w:r>
      <w:r w:rsidR="005F6385">
        <w:t>For example, the combination of MT-UL and DU-Soft</w:t>
      </w:r>
      <w:r w:rsidR="008117A8">
        <w:t xml:space="preserve"> may be needed to allow the IAB determining </w:t>
      </w:r>
      <w:r w:rsidR="009A4D16">
        <w:t xml:space="preserve">its transmission at the MT or DU side depending on </w:t>
      </w:r>
      <w:r w:rsidR="000D5057">
        <w:t>the available data</w:t>
      </w:r>
      <w:r w:rsidR="00F42484">
        <w:t xml:space="preserve"> for </w:t>
      </w:r>
      <w:r w:rsidR="00F17D8D">
        <w:t>the parent backhaul link</w:t>
      </w:r>
      <w:r w:rsidR="000D5057">
        <w:t>.</w:t>
      </w:r>
      <w:r w:rsidR="00F10753">
        <w:t xml:space="preserve"> </w:t>
      </w:r>
      <w:r w:rsidR="00D17A07">
        <w:t>Also, it is not in line with the agreement</w:t>
      </w:r>
      <w:r w:rsidR="00D71C9E">
        <w:t xml:space="preserve"> in </w:t>
      </w:r>
      <w:r w:rsidR="00D71C9E">
        <w:fldChar w:fldCharType="begin"/>
      </w:r>
      <w:r w:rsidR="00D71C9E">
        <w:instrText xml:space="preserve"> REF _Ref15894196 \r \h </w:instrText>
      </w:r>
      <w:r w:rsidR="00D71C9E">
        <w:fldChar w:fldCharType="separate"/>
      </w:r>
      <w:r w:rsidR="003A1476">
        <w:t>[2]</w:t>
      </w:r>
      <w:r w:rsidR="00D71C9E">
        <w:fldChar w:fldCharType="end"/>
      </w:r>
      <w:r w:rsidR="00D17A07">
        <w:t xml:space="preserve"> that </w:t>
      </w:r>
      <w:r w:rsidR="00D71C9E">
        <w:t xml:space="preserve">the </w:t>
      </w:r>
      <w:r w:rsidR="003C0B53">
        <w:t>DU configuration should be indicated separately from the MT configuration.</w:t>
      </w:r>
      <w:r w:rsidR="00097C53">
        <w:t xml:space="preserve"> </w:t>
      </w:r>
      <w:r w:rsidR="001D69B3">
        <w:t xml:space="preserve"> </w:t>
      </w:r>
    </w:p>
    <w:p w14:paraId="4EBC4EBA" w14:textId="546D3317" w:rsidR="000744DE" w:rsidRDefault="006D391C" w:rsidP="006D391C">
      <w:pPr>
        <w:pStyle w:val="Proposal"/>
      </w:pPr>
      <w:bookmarkStart w:id="98" w:name="_Toc15562216"/>
      <w:bookmarkStart w:id="99" w:name="_Toc15646209"/>
      <w:bookmarkStart w:id="100" w:name="_Toc15907782"/>
      <w:bookmarkStart w:id="101" w:name="_Toc16247066"/>
      <w:bookmarkStart w:id="102" w:name="_Toc16253755"/>
      <w:bookmarkStart w:id="103" w:name="_Toc16606625"/>
      <w:bookmarkStart w:id="104" w:name="_Toc16606731"/>
      <w:bookmarkStart w:id="105" w:name="_Toc16671976"/>
      <w:bookmarkStart w:id="106" w:name="_Toc16753583"/>
      <w:bookmarkStart w:id="107" w:name="_Toc16758353"/>
      <w:bookmarkStart w:id="108" w:name="_Toc16839111"/>
      <w:bookmarkStart w:id="109" w:name="_Toc16843109"/>
      <w:bookmarkStart w:id="110" w:name="_Toc16857515"/>
      <w:r>
        <w:t xml:space="preserve">The indication of </w:t>
      </w:r>
      <w:r w:rsidRPr="006D391C">
        <w:t>H/S/NA</w:t>
      </w:r>
      <w:r>
        <w:t xml:space="preserve"> resources in the </w:t>
      </w:r>
      <w:r w:rsidR="005D4056">
        <w:t>semi-static DU configuration</w:t>
      </w:r>
      <w:r w:rsidRPr="006D391C">
        <w:t xml:space="preserve"> is applied relative to the </w:t>
      </w:r>
      <w:r w:rsidR="0032619E">
        <w:t>DU</w:t>
      </w:r>
      <w:r w:rsidRPr="006D391C">
        <w:t xml:space="preserve"> resource configuration (D/U/F) slot timing</w:t>
      </w:r>
      <w:r w:rsidR="005D4056">
        <w:t xml:space="preserve"> (i.e., alt. 1</w:t>
      </w:r>
      <w:r w:rsidR="001C02E6">
        <w:t>a</w:t>
      </w:r>
      <w:r w:rsidR="005D4056">
        <w:t>)</w:t>
      </w:r>
      <w:r w:rsidR="0032619E">
        <w:t xml:space="preserve"> without considering the MT resource configuration or timing</w:t>
      </w:r>
      <w:r w:rsidR="005D4056">
        <w:t>.</w:t>
      </w:r>
      <w:bookmarkEnd w:id="98"/>
      <w:bookmarkEnd w:id="99"/>
      <w:bookmarkEnd w:id="100"/>
      <w:bookmarkEnd w:id="101"/>
      <w:bookmarkEnd w:id="102"/>
      <w:bookmarkEnd w:id="103"/>
      <w:bookmarkEnd w:id="104"/>
      <w:bookmarkEnd w:id="105"/>
      <w:bookmarkEnd w:id="106"/>
      <w:bookmarkEnd w:id="107"/>
      <w:bookmarkEnd w:id="108"/>
      <w:bookmarkEnd w:id="109"/>
      <w:bookmarkEnd w:id="110"/>
      <w:r w:rsidR="005D4056">
        <w:t xml:space="preserve"> </w:t>
      </w:r>
    </w:p>
    <w:p w14:paraId="7C4DD42A" w14:textId="46F2993A" w:rsidR="004B097E" w:rsidRDefault="003734BB" w:rsidP="009F55DD">
      <w:r>
        <w:t xml:space="preserve">As mentioned earlier, </w:t>
      </w:r>
      <w:r w:rsidR="00134F18">
        <w:t xml:space="preserve">with alt.1a, </w:t>
      </w:r>
      <w:r w:rsidR="00A16294">
        <w:t xml:space="preserve">the </w:t>
      </w:r>
      <w:proofErr w:type="gramStart"/>
      <w:r w:rsidR="00A16294">
        <w:t>actually unavailable</w:t>
      </w:r>
      <w:proofErr w:type="gramEnd"/>
      <w:r w:rsidR="00A16294">
        <w:t xml:space="preserve"> MT resources</w:t>
      </w:r>
      <w:r w:rsidR="00794725">
        <w:t xml:space="preserve"> may not be clear to the parent node</w:t>
      </w:r>
      <w:r w:rsidR="00A16294">
        <w:t>.</w:t>
      </w:r>
      <w:r w:rsidR="00794725">
        <w:t xml:space="preserve"> </w:t>
      </w:r>
      <w:r w:rsidR="00134F18">
        <w:t xml:space="preserve"> </w:t>
      </w:r>
      <w:r w:rsidR="009F55DD">
        <w:t xml:space="preserve">Depending on </w:t>
      </w:r>
      <w:r w:rsidR="0034062B">
        <w:t xml:space="preserve">different combinations </w:t>
      </w:r>
      <w:r w:rsidR="002C5E15">
        <w:t xml:space="preserve">of the IAB MT and DU </w:t>
      </w:r>
      <w:r w:rsidR="0078695B">
        <w:t>transmission directions configured</w:t>
      </w:r>
      <w:r w:rsidR="002C5E15">
        <w:t xml:space="preserve"> </w:t>
      </w:r>
      <w:r w:rsidR="00D65164">
        <w:t>at a certain slot</w:t>
      </w:r>
      <w:r w:rsidR="00D5139D">
        <w:t xml:space="preserve">, as well as </w:t>
      </w:r>
      <w:r w:rsidR="00E0775F">
        <w:t xml:space="preserve">that of </w:t>
      </w:r>
      <w:r w:rsidR="00D5139D">
        <w:t xml:space="preserve">the slot </w:t>
      </w:r>
      <w:r w:rsidR="006F077D" w:rsidRPr="00DE6488">
        <w:t>right before or after</w:t>
      </w:r>
      <w:r w:rsidR="00826BAC">
        <w:t xml:space="preserve"> of the slot in question</w:t>
      </w:r>
      <w:r w:rsidR="002C5E15">
        <w:t>,</w:t>
      </w:r>
      <w:r w:rsidR="00826BAC">
        <w:t xml:space="preserve"> </w:t>
      </w:r>
      <w:r w:rsidR="00E076F6">
        <w:t>the parent node may need to know</w:t>
      </w:r>
      <w:r w:rsidR="006061AA">
        <w:t xml:space="preserve"> potential </w:t>
      </w:r>
      <w:r w:rsidR="00C37516">
        <w:t xml:space="preserve">time-resource </w:t>
      </w:r>
      <w:r w:rsidR="00035FF5">
        <w:t>misalignment</w:t>
      </w:r>
      <w:r w:rsidR="00C37516">
        <w:t xml:space="preserve"> between the MT and DU</w:t>
      </w:r>
      <w:r w:rsidR="002E4FB1">
        <w:t xml:space="preserve"> as the IAB node measures</w:t>
      </w:r>
      <w:r w:rsidR="00C37516">
        <w:t>. Different combinations</w:t>
      </w:r>
      <w:r w:rsidR="00035FF5">
        <w:t xml:space="preserve"> are:</w:t>
      </w:r>
      <w:r w:rsidR="00E076F6">
        <w:t xml:space="preserve"> </w:t>
      </w:r>
    </w:p>
    <w:p w14:paraId="29C21591" w14:textId="278EA389" w:rsidR="004A2A6D" w:rsidRDefault="004B5B8B" w:rsidP="004A2A6D">
      <w:pPr>
        <w:pStyle w:val="ListParagraph"/>
        <w:numPr>
          <w:ilvl w:val="0"/>
          <w:numId w:val="38"/>
        </w:numPr>
      </w:pPr>
      <w:r w:rsidRPr="004B5B8B">
        <w:t>misalignment between DU downlink transmission and MT downlink reception;</w:t>
      </w:r>
    </w:p>
    <w:p w14:paraId="26248474" w14:textId="6A9435C8" w:rsidR="004B5B8B" w:rsidRDefault="00EF6084" w:rsidP="004A2A6D">
      <w:pPr>
        <w:pStyle w:val="ListParagraph"/>
        <w:numPr>
          <w:ilvl w:val="0"/>
          <w:numId w:val="38"/>
        </w:numPr>
      </w:pPr>
      <w:r w:rsidRPr="00EF6084">
        <w:t>misalignment between DU downlink transmission and MT uplink transmission;</w:t>
      </w:r>
    </w:p>
    <w:p w14:paraId="52E02DCB" w14:textId="2B39611D" w:rsidR="00EF6084" w:rsidRDefault="00BB3C8E" w:rsidP="004A2A6D">
      <w:pPr>
        <w:pStyle w:val="ListParagraph"/>
        <w:numPr>
          <w:ilvl w:val="0"/>
          <w:numId w:val="38"/>
        </w:numPr>
      </w:pPr>
      <w:r w:rsidRPr="00BB3C8E">
        <w:t>misalignment between DU uplink reception and MT downlink reception; and</w:t>
      </w:r>
    </w:p>
    <w:p w14:paraId="534F7165" w14:textId="2C626AC8" w:rsidR="00BB3C8E" w:rsidRDefault="00647D03" w:rsidP="004A2A6D">
      <w:pPr>
        <w:pStyle w:val="ListParagraph"/>
        <w:numPr>
          <w:ilvl w:val="0"/>
          <w:numId w:val="38"/>
        </w:numPr>
      </w:pPr>
      <w:r>
        <w:t>misalignment between DU uplink reception and MT uplink transmission.</w:t>
      </w:r>
    </w:p>
    <w:p w14:paraId="56A748F5" w14:textId="1BB8EC8A" w:rsidR="00647D03" w:rsidRDefault="004E6F3C" w:rsidP="00647D03">
      <w:r>
        <w:t>Knowing exactly what the unavailable MT resource is</w:t>
      </w:r>
      <w:r w:rsidDel="004E6F3C">
        <w:t xml:space="preserve"> </w:t>
      </w:r>
      <w:r w:rsidR="00647D03">
        <w:t xml:space="preserve">would </w:t>
      </w:r>
      <w:r w:rsidR="00E0775F">
        <w:t>assist</w:t>
      </w:r>
      <w:r w:rsidR="00647D03">
        <w:t xml:space="preserve"> the </w:t>
      </w:r>
      <w:r w:rsidR="00F37A85">
        <w:t>parent node scheduling and mitigate possible resource conflicts at the IAB node</w:t>
      </w:r>
      <w:r w:rsidR="004B1FC7">
        <w:t>,</w:t>
      </w:r>
      <w:r w:rsidR="001257D2">
        <w:t xml:space="preserve"> as illustrated in </w:t>
      </w:r>
      <w:r w:rsidR="001257D2">
        <w:fldChar w:fldCharType="begin"/>
      </w:r>
      <w:r w:rsidR="001257D2">
        <w:instrText xml:space="preserve"> REF _Ref15388146 \h </w:instrText>
      </w:r>
      <w:r w:rsidR="001257D2">
        <w:fldChar w:fldCharType="separate"/>
      </w:r>
      <w:r w:rsidR="003A1476">
        <w:t xml:space="preserve">Figure </w:t>
      </w:r>
      <w:r w:rsidR="003A1476">
        <w:rPr>
          <w:noProof/>
        </w:rPr>
        <w:t>5</w:t>
      </w:r>
      <w:r w:rsidR="001257D2">
        <w:fldChar w:fldCharType="end"/>
      </w:r>
      <w:r w:rsidR="00BE5F2B">
        <w:t xml:space="preserve">, </w:t>
      </w:r>
      <w:r w:rsidR="00125E29">
        <w:fldChar w:fldCharType="begin"/>
      </w:r>
      <w:r w:rsidR="00125E29">
        <w:instrText xml:space="preserve"> REF _Ref15562260 \h </w:instrText>
      </w:r>
      <w:r w:rsidR="00125E29">
        <w:fldChar w:fldCharType="separate"/>
      </w:r>
      <w:r w:rsidR="003A1476">
        <w:t xml:space="preserve">Figure </w:t>
      </w:r>
      <w:r w:rsidR="003A1476">
        <w:rPr>
          <w:noProof/>
        </w:rPr>
        <w:t>6</w:t>
      </w:r>
      <w:r w:rsidR="00125E29">
        <w:fldChar w:fldCharType="end"/>
      </w:r>
      <w:r w:rsidR="00BE5F2B">
        <w:t xml:space="preserve"> and </w:t>
      </w:r>
      <w:r w:rsidR="00125E29">
        <w:fldChar w:fldCharType="begin"/>
      </w:r>
      <w:r w:rsidR="00125E29">
        <w:instrText xml:space="preserve"> REF _Ref15388169 \h </w:instrText>
      </w:r>
      <w:r w:rsidR="00125E29">
        <w:fldChar w:fldCharType="separate"/>
      </w:r>
      <w:r w:rsidR="003A1476">
        <w:t xml:space="preserve">Figure </w:t>
      </w:r>
      <w:r w:rsidR="003A1476">
        <w:rPr>
          <w:noProof/>
        </w:rPr>
        <w:t>7</w:t>
      </w:r>
      <w:r w:rsidR="00125E29">
        <w:fldChar w:fldCharType="end"/>
      </w:r>
      <w:r w:rsidR="004B1FC7">
        <w:t>, when the IAB DU is configured as DL-Hard, UL-Hard and Flexible-Hard, respectively</w:t>
      </w:r>
      <w:r w:rsidR="00BC2D3E">
        <w:t>.</w:t>
      </w:r>
      <w:r w:rsidR="00F37A85">
        <w:t xml:space="preserve"> </w:t>
      </w:r>
      <w:r w:rsidR="00BC2D3E">
        <w:t>The information will also be useful when the parent node re</w:t>
      </w:r>
      <w:r w:rsidR="00DD189D">
        <w:t>lease</w:t>
      </w:r>
      <w:r w:rsidR="002867CB">
        <w:t>s</w:t>
      </w:r>
      <w:r w:rsidR="00DD189D">
        <w:t xml:space="preserve"> MT resources to certain soft DU resource</w:t>
      </w:r>
      <w:r w:rsidR="00CE329E">
        <w:t xml:space="preserve"> via explicit indication</w:t>
      </w:r>
      <w:r w:rsidR="00DD189D">
        <w:t xml:space="preserve">. </w:t>
      </w:r>
      <w:r w:rsidR="00F03B0D">
        <w:t xml:space="preserve">The CU does not need to know such information when configuring the DU resources. </w:t>
      </w:r>
    </w:p>
    <w:p w14:paraId="76B6C11C" w14:textId="749CEBF2" w:rsidR="003C3336" w:rsidRDefault="002C12B6" w:rsidP="006D391C">
      <w:pPr>
        <w:pStyle w:val="Proposal"/>
      </w:pPr>
      <w:bookmarkStart w:id="111" w:name="_Toc15562217"/>
      <w:bookmarkStart w:id="112" w:name="_Toc15646210"/>
      <w:bookmarkStart w:id="113" w:name="_Toc15907783"/>
      <w:bookmarkStart w:id="114" w:name="_Toc16247067"/>
      <w:bookmarkStart w:id="115" w:name="_Toc16253756"/>
      <w:bookmarkStart w:id="116" w:name="_Toc16606626"/>
      <w:bookmarkStart w:id="117" w:name="_Toc16606732"/>
      <w:bookmarkStart w:id="118" w:name="_Toc16671977"/>
      <w:bookmarkStart w:id="119" w:name="_Toc16753584"/>
      <w:bookmarkStart w:id="120" w:name="_Toc16758354"/>
      <w:bookmarkStart w:id="121" w:name="_Toc16839112"/>
      <w:bookmarkStart w:id="122" w:name="_Toc16843110"/>
      <w:bookmarkStart w:id="123" w:name="_Toc16857516"/>
      <w:r>
        <w:t xml:space="preserve">The parent node is provided </w:t>
      </w:r>
      <w:r w:rsidR="000733E3">
        <w:t xml:space="preserve">with the information about the </w:t>
      </w:r>
      <w:r w:rsidR="00FD78C4">
        <w:t xml:space="preserve">timing </w:t>
      </w:r>
      <w:r w:rsidR="00B0135A">
        <w:t>misalignment</w:t>
      </w:r>
      <w:r w:rsidR="00FD78C4">
        <w:t xml:space="preserve"> between any one of the DU </w:t>
      </w:r>
      <w:r w:rsidR="00FC0743">
        <w:t>UL/DL resource and any one of the MT</w:t>
      </w:r>
      <w:r w:rsidR="00234D9C">
        <w:t xml:space="preserve"> UL/DL</w:t>
      </w:r>
      <w:r w:rsidR="00FC0743">
        <w:t xml:space="preserve"> </w:t>
      </w:r>
      <w:proofErr w:type="gramStart"/>
      <w:r w:rsidR="00FC0743">
        <w:t>resource</w:t>
      </w:r>
      <w:proofErr w:type="gramEnd"/>
      <w:r w:rsidR="00FC0743">
        <w:t xml:space="preserve"> </w:t>
      </w:r>
      <w:r w:rsidR="00586AD5">
        <w:t>of</w:t>
      </w:r>
      <w:r w:rsidR="0012206B">
        <w:t xml:space="preserve"> the</w:t>
      </w:r>
      <w:r w:rsidR="00CD2EEA">
        <w:t xml:space="preserve"> served IAB nodes</w:t>
      </w:r>
      <w:r w:rsidR="003B2426">
        <w:t xml:space="preserve"> as </w:t>
      </w:r>
      <w:r w:rsidR="00463A72">
        <w:t>each</w:t>
      </w:r>
      <w:r w:rsidR="003B2426">
        <w:t xml:space="preserve"> IAB node measures</w:t>
      </w:r>
      <w:r w:rsidR="00CD2EEA">
        <w:t>.</w:t>
      </w:r>
      <w:bookmarkEnd w:id="111"/>
      <w:bookmarkEnd w:id="112"/>
      <w:bookmarkEnd w:id="113"/>
      <w:bookmarkEnd w:id="114"/>
      <w:bookmarkEnd w:id="115"/>
      <w:bookmarkEnd w:id="116"/>
      <w:bookmarkEnd w:id="117"/>
      <w:bookmarkEnd w:id="118"/>
      <w:bookmarkEnd w:id="119"/>
      <w:bookmarkEnd w:id="120"/>
      <w:bookmarkEnd w:id="121"/>
      <w:bookmarkEnd w:id="122"/>
      <w:bookmarkEnd w:id="123"/>
      <w:r w:rsidR="00CD2EEA">
        <w:t xml:space="preserve"> </w:t>
      </w:r>
    </w:p>
    <w:p w14:paraId="7DE3D6E3" w14:textId="24317F24" w:rsidR="004257A4" w:rsidRDefault="004257A4" w:rsidP="004257A4">
      <w:pPr>
        <w:pStyle w:val="Observation"/>
      </w:pPr>
      <w:bookmarkStart w:id="124" w:name="_Toc15562213"/>
      <w:bookmarkStart w:id="125" w:name="_Toc15646202"/>
      <w:bookmarkStart w:id="126" w:name="_Toc15907774"/>
      <w:bookmarkStart w:id="127" w:name="_Toc16247058"/>
      <w:bookmarkStart w:id="128" w:name="_Toc16253747"/>
      <w:bookmarkStart w:id="129" w:name="_Toc16606617"/>
      <w:bookmarkStart w:id="130" w:name="_Toc16606722"/>
      <w:bookmarkStart w:id="131" w:name="_Toc16671969"/>
      <w:bookmarkStart w:id="132" w:name="_Toc16753576"/>
      <w:bookmarkStart w:id="133" w:name="_Toc16758346"/>
      <w:bookmarkStart w:id="134" w:name="_Toc16839102"/>
      <w:bookmarkStart w:id="135" w:name="_Toc16843102"/>
      <w:bookmarkStart w:id="136" w:name="_Toc16857508"/>
      <w:r>
        <w:t xml:space="preserve">The CU does not need the information about the </w:t>
      </w:r>
      <w:r w:rsidR="005361DD">
        <w:t>required guard-symbols/timing-misalignment for a given DU configuration.</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7EFCB330" w14:textId="77777777" w:rsidR="00DA0050" w:rsidRDefault="00DA0050" w:rsidP="00763336">
      <w:pPr>
        <w:jc w:val="center"/>
      </w:pPr>
    </w:p>
    <w:p w14:paraId="5E64759A" w14:textId="2704D218" w:rsidR="00BD0BD6" w:rsidRDefault="001C07AD" w:rsidP="00763336">
      <w:pPr>
        <w:jc w:val="center"/>
      </w:pPr>
      <w:r w:rsidRPr="001C07AD">
        <w:rPr>
          <w:noProof/>
        </w:rPr>
        <w:lastRenderedPageBreak/>
        <w:drawing>
          <wp:inline distT="0" distB="0" distL="0" distR="0" wp14:anchorId="38A02A73" wp14:editId="09054EE5">
            <wp:extent cx="4680000" cy="192366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80000" cy="1923660"/>
                    </a:xfrm>
                    <a:prstGeom prst="rect">
                      <a:avLst/>
                    </a:prstGeom>
                    <a:noFill/>
                    <a:ln>
                      <a:noFill/>
                    </a:ln>
                  </pic:spPr>
                </pic:pic>
              </a:graphicData>
            </a:graphic>
          </wp:inline>
        </w:drawing>
      </w:r>
    </w:p>
    <w:p w14:paraId="72ABCD54" w14:textId="4677E33F" w:rsidR="00763336" w:rsidRDefault="00763336" w:rsidP="00763336">
      <w:pPr>
        <w:pStyle w:val="Caption"/>
      </w:pPr>
      <w:bookmarkStart w:id="137" w:name="_Ref15388146"/>
      <w:r>
        <w:t xml:space="preserve">Figure </w:t>
      </w:r>
      <w:r>
        <w:fldChar w:fldCharType="begin"/>
      </w:r>
      <w:r>
        <w:instrText xml:space="preserve"> SEQ Figure \* ARABIC </w:instrText>
      </w:r>
      <w:r>
        <w:fldChar w:fldCharType="separate"/>
      </w:r>
      <w:r w:rsidR="003A1476">
        <w:rPr>
          <w:noProof/>
        </w:rPr>
        <w:t>5</w:t>
      </w:r>
      <w:r>
        <w:fldChar w:fldCharType="end"/>
      </w:r>
      <w:bookmarkEnd w:id="137"/>
      <w:r>
        <w:t>: Illustration of unavailable MT</w:t>
      </w:r>
      <w:r w:rsidR="00DA0050">
        <w:t xml:space="preserve"> </w:t>
      </w:r>
      <w:r>
        <w:t>duration when DU is configured as DL-Hard.</w:t>
      </w:r>
    </w:p>
    <w:p w14:paraId="42C977E5" w14:textId="5178C2A4" w:rsidR="00DA0050" w:rsidRDefault="005E3DE7" w:rsidP="00DA0050">
      <w:pPr>
        <w:jc w:val="center"/>
      </w:pPr>
      <w:r w:rsidRPr="005E3DE7">
        <w:rPr>
          <w:noProof/>
        </w:rPr>
        <w:drawing>
          <wp:inline distT="0" distB="0" distL="0" distR="0" wp14:anchorId="0D347DAF" wp14:editId="305E11C1">
            <wp:extent cx="4680000" cy="192366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80000" cy="1923660"/>
                    </a:xfrm>
                    <a:prstGeom prst="rect">
                      <a:avLst/>
                    </a:prstGeom>
                    <a:noFill/>
                    <a:ln>
                      <a:noFill/>
                    </a:ln>
                  </pic:spPr>
                </pic:pic>
              </a:graphicData>
            </a:graphic>
          </wp:inline>
        </w:drawing>
      </w:r>
    </w:p>
    <w:p w14:paraId="5FEE5B0A" w14:textId="6526D609" w:rsidR="00DA0050" w:rsidRDefault="00DA0050" w:rsidP="00DA0050">
      <w:pPr>
        <w:pStyle w:val="Caption"/>
      </w:pPr>
      <w:bookmarkStart w:id="138" w:name="_Ref15562260"/>
      <w:r>
        <w:t xml:space="preserve">Figure </w:t>
      </w:r>
      <w:r>
        <w:fldChar w:fldCharType="begin"/>
      </w:r>
      <w:r>
        <w:instrText xml:space="preserve"> SEQ Figure \* ARABIC </w:instrText>
      </w:r>
      <w:r>
        <w:fldChar w:fldCharType="separate"/>
      </w:r>
      <w:r w:rsidR="003A1476">
        <w:rPr>
          <w:noProof/>
        </w:rPr>
        <w:t>6</w:t>
      </w:r>
      <w:r>
        <w:fldChar w:fldCharType="end"/>
      </w:r>
      <w:bookmarkEnd w:id="138"/>
      <w:r>
        <w:t xml:space="preserve">: </w:t>
      </w:r>
      <w:r w:rsidRPr="00AC5556">
        <w:t xml:space="preserve">Illustration of unavailable MT duration when DU is configured as </w:t>
      </w:r>
      <w:r>
        <w:t>U</w:t>
      </w:r>
      <w:r w:rsidRPr="00AC5556">
        <w:t>L-Hard.</w:t>
      </w:r>
    </w:p>
    <w:p w14:paraId="75562AD1" w14:textId="2108CB6C" w:rsidR="00E72D9D" w:rsidRDefault="00E72D9D" w:rsidP="00524C08">
      <w:pPr>
        <w:jc w:val="center"/>
      </w:pPr>
      <w:r w:rsidRPr="00E72D9D">
        <w:rPr>
          <w:noProof/>
        </w:rPr>
        <w:drawing>
          <wp:inline distT="0" distB="0" distL="0" distR="0" wp14:anchorId="598DD71D" wp14:editId="1ECC5C97">
            <wp:extent cx="4680000" cy="192366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0000" cy="1923660"/>
                    </a:xfrm>
                    <a:prstGeom prst="rect">
                      <a:avLst/>
                    </a:prstGeom>
                    <a:noFill/>
                    <a:ln>
                      <a:noFill/>
                    </a:ln>
                  </pic:spPr>
                </pic:pic>
              </a:graphicData>
            </a:graphic>
          </wp:inline>
        </w:drawing>
      </w:r>
    </w:p>
    <w:p w14:paraId="6970BB69" w14:textId="6E90AEAE" w:rsidR="00E72D9D" w:rsidRPr="00E72D9D" w:rsidRDefault="000024F9" w:rsidP="000024F9">
      <w:pPr>
        <w:pStyle w:val="Caption"/>
      </w:pPr>
      <w:bookmarkStart w:id="139" w:name="_Ref15388169"/>
      <w:r>
        <w:t xml:space="preserve">Figure </w:t>
      </w:r>
      <w:r>
        <w:fldChar w:fldCharType="begin"/>
      </w:r>
      <w:r>
        <w:instrText xml:space="preserve"> SEQ Figure \* ARABIC </w:instrText>
      </w:r>
      <w:r>
        <w:fldChar w:fldCharType="separate"/>
      </w:r>
      <w:r w:rsidR="003A1476">
        <w:rPr>
          <w:noProof/>
        </w:rPr>
        <w:t>7</w:t>
      </w:r>
      <w:r>
        <w:fldChar w:fldCharType="end"/>
      </w:r>
      <w:bookmarkEnd w:id="139"/>
      <w:r>
        <w:t xml:space="preserve">: </w:t>
      </w:r>
      <w:r w:rsidRPr="00A625CA">
        <w:t xml:space="preserve">Illustration of unavailable MT duration when DU is configured as </w:t>
      </w:r>
      <w:r>
        <w:t>Flexible</w:t>
      </w:r>
      <w:r w:rsidRPr="00A625CA">
        <w:t>-Hard.</w:t>
      </w:r>
    </w:p>
    <w:p w14:paraId="34B5ECCA" w14:textId="29447838" w:rsidR="0026693A" w:rsidRDefault="00DE162A" w:rsidP="00FE1AB3">
      <w:pPr>
        <w:pStyle w:val="Heading1"/>
      </w:pPr>
      <w:r>
        <w:t>Explicit i</w:t>
      </w:r>
      <w:r w:rsidR="00FE1AB3">
        <w:t>ndication of the soft resource</w:t>
      </w:r>
    </w:p>
    <w:p w14:paraId="7CBDA74D" w14:textId="28233ADB" w:rsidR="00A74B35" w:rsidRDefault="00363407" w:rsidP="00A74B35">
      <w:r>
        <w:t xml:space="preserve">According to the agreement, the soft resource is by default not-available if it is not (implicitly or explicitly) indicated as available. In cases that implicit indication is not detected, explicit indication is needed for notifying </w:t>
      </w:r>
      <w:r w:rsidRPr="000D002C">
        <w:t xml:space="preserve">the availability of </w:t>
      </w:r>
      <w:r>
        <w:t>certain</w:t>
      </w:r>
      <w:r w:rsidRPr="000D002C">
        <w:t xml:space="preserve"> soft DU (time-domain) resource</w:t>
      </w:r>
      <w:r>
        <w:t xml:space="preserve">, </w:t>
      </w:r>
      <w:r w:rsidRPr="000D002C">
        <w:t>which may be a D</w:t>
      </w:r>
      <w:r>
        <w:t>L</w:t>
      </w:r>
      <w:r w:rsidRPr="000D002C">
        <w:t xml:space="preserve"> resource, an U</w:t>
      </w:r>
      <w:r>
        <w:t>L</w:t>
      </w:r>
      <w:r w:rsidRPr="000D002C">
        <w:t xml:space="preserve"> resource, or a F</w:t>
      </w:r>
      <w:r>
        <w:t>lexible</w:t>
      </w:r>
      <w:r w:rsidRPr="000D002C">
        <w:t xml:space="preserve"> resource</w:t>
      </w:r>
      <w:r>
        <w:t xml:space="preserve">. </w:t>
      </w:r>
      <w:r w:rsidRPr="00E37EEF">
        <w:t>In practice, such</w:t>
      </w:r>
      <w:r>
        <w:t xml:space="preserve"> explicitly indicated</w:t>
      </w:r>
      <w:r w:rsidRPr="00E37EEF">
        <w:t xml:space="preserve"> availability is due to the parent node not using a corresponding time-domain resource at the MT side.</w:t>
      </w:r>
      <w:r w:rsidR="003B5B89">
        <w:t xml:space="preserve"> Having the explicit indication signalled to the IAB MT about that a specific MT time resource will not be used is also in line with the agreement that the explicit indication is via L1 signalling.</w:t>
      </w:r>
    </w:p>
    <w:p w14:paraId="7806481F" w14:textId="710BA62E" w:rsidR="007D63E7" w:rsidRDefault="00673B47" w:rsidP="00673B47">
      <w:pPr>
        <w:pStyle w:val="Proposal"/>
      </w:pPr>
      <w:bookmarkStart w:id="140" w:name="_Toc15646211"/>
      <w:bookmarkStart w:id="141" w:name="_Toc15907784"/>
      <w:bookmarkStart w:id="142" w:name="_Toc16247068"/>
      <w:bookmarkStart w:id="143" w:name="_Toc16253757"/>
      <w:bookmarkStart w:id="144" w:name="_Toc16606627"/>
      <w:bookmarkStart w:id="145" w:name="_Toc16606733"/>
      <w:bookmarkStart w:id="146" w:name="_Toc16671978"/>
      <w:bookmarkStart w:id="147" w:name="_Toc16753585"/>
      <w:bookmarkStart w:id="148" w:name="_Toc16758355"/>
      <w:bookmarkStart w:id="149" w:name="_Toc16839113"/>
      <w:bookmarkStart w:id="150" w:name="_Toc16843111"/>
      <w:bookmarkStart w:id="151" w:name="_Toc16857517"/>
      <w:r>
        <w:t xml:space="preserve">The explicit indication of the availability of soft resource </w:t>
      </w:r>
      <w:r w:rsidR="00C65D12">
        <w:t xml:space="preserve">is to indicate </w:t>
      </w:r>
      <w:r w:rsidR="004A10C6">
        <w:t xml:space="preserve">certain </w:t>
      </w:r>
      <w:r w:rsidR="008C3D97">
        <w:t xml:space="preserve">DU </w:t>
      </w:r>
      <w:r w:rsidR="00C65D12">
        <w:t xml:space="preserve">resources are “IA” for the child DU (i.e., </w:t>
      </w:r>
      <w:r w:rsidR="008C3D97">
        <w:t>according to the DU slot timing</w:t>
      </w:r>
      <w:r w:rsidR="00C65D12">
        <w:t>)</w:t>
      </w:r>
      <w:r w:rsidR="00D37163">
        <w:t xml:space="preserve"> by explicitly informing</w:t>
      </w:r>
      <w:r w:rsidR="00734E4F">
        <w:t xml:space="preserve"> the IAB node that</w:t>
      </w:r>
      <w:r w:rsidR="00D37163">
        <w:t xml:space="preserve"> </w:t>
      </w:r>
      <w:r w:rsidR="00914981">
        <w:t xml:space="preserve">the corresponding MT resources </w:t>
      </w:r>
      <w:r w:rsidR="004A10C6">
        <w:t>will not be used</w:t>
      </w:r>
      <w:r w:rsidR="00C65D12">
        <w:t>.</w:t>
      </w:r>
      <w:bookmarkEnd w:id="140"/>
      <w:bookmarkEnd w:id="141"/>
      <w:bookmarkEnd w:id="142"/>
      <w:bookmarkEnd w:id="143"/>
      <w:r w:rsidR="00C65D12">
        <w:t xml:space="preserve"> </w:t>
      </w:r>
      <w:bookmarkEnd w:id="144"/>
      <w:bookmarkEnd w:id="145"/>
      <w:bookmarkEnd w:id="146"/>
      <w:bookmarkEnd w:id="147"/>
      <w:bookmarkEnd w:id="148"/>
      <w:bookmarkEnd w:id="149"/>
      <w:bookmarkEnd w:id="150"/>
      <w:bookmarkEnd w:id="151"/>
    </w:p>
    <w:p w14:paraId="24408C2A" w14:textId="1C8784C0" w:rsidR="002B0DF5" w:rsidRPr="003A1476" w:rsidRDefault="002B0DF5" w:rsidP="003B5B89">
      <w:pPr>
        <w:rPr>
          <w:lang w:val="en-US"/>
        </w:rPr>
      </w:pPr>
      <w:r w:rsidRPr="002B0DF5">
        <w:rPr>
          <w:lang w:val="en-US"/>
        </w:rPr>
        <w:lastRenderedPageBreak/>
        <w:t xml:space="preserve">According to Section </w:t>
      </w:r>
      <w:r>
        <w:rPr>
          <w:lang w:val="en-US"/>
        </w:rPr>
        <w:fldChar w:fldCharType="begin"/>
      </w:r>
      <w:r>
        <w:rPr>
          <w:lang w:val="en-US"/>
        </w:rPr>
        <w:instrText xml:space="preserve"> REF _Ref15563425 \r \h </w:instrText>
      </w:r>
      <w:r>
        <w:rPr>
          <w:lang w:val="en-US"/>
        </w:rPr>
      </w:r>
      <w:r>
        <w:rPr>
          <w:lang w:val="en-US"/>
        </w:rPr>
        <w:fldChar w:fldCharType="separate"/>
      </w:r>
      <w:r w:rsidR="003A1476">
        <w:rPr>
          <w:lang w:val="en-US"/>
        </w:rPr>
        <w:t>2.3</w:t>
      </w:r>
      <w:r>
        <w:rPr>
          <w:lang w:val="en-US"/>
        </w:rPr>
        <w:fldChar w:fldCharType="end"/>
      </w:r>
      <w:r w:rsidRPr="002B0DF5">
        <w:rPr>
          <w:lang w:val="en-US"/>
        </w:rPr>
        <w:t xml:space="preserve">, the parent node can be provided with the information of timing misalignments between the IAB MT and DU resources. The parent node may use such information to release resources to certain soft DU resources according to the DU slot timing.  </w:t>
      </w:r>
    </w:p>
    <w:p w14:paraId="024BA5BC" w14:textId="7D4CC907" w:rsidR="003014A4" w:rsidRDefault="005E79C7" w:rsidP="00A74B35">
      <w:r>
        <w:t>Further, t</w:t>
      </w:r>
      <w:r w:rsidR="003014A4">
        <w:t xml:space="preserve">here is no need to </w:t>
      </w:r>
      <w:r w:rsidR="00745291">
        <w:t xml:space="preserve">explicitly indicate if the DU-IA is for DU-D, DU-U or DU-F </w:t>
      </w:r>
      <w:r w:rsidR="005B643C">
        <w:t>with respect to the</w:t>
      </w:r>
      <w:r w:rsidR="00745291">
        <w:t xml:space="preserve"> soft DU</w:t>
      </w:r>
      <w:r w:rsidR="00D73960">
        <w:t xml:space="preserve">-F </w:t>
      </w:r>
      <w:r w:rsidR="00173331">
        <w:t xml:space="preserve">since it could be an IAB internal decision on how to use the released </w:t>
      </w:r>
      <w:r w:rsidR="00E610A7">
        <w:t>resources.</w:t>
      </w:r>
      <w:r w:rsidR="008B356E">
        <w:t xml:space="preserve"> There is no envisioned advantage </w:t>
      </w:r>
      <w:r w:rsidR="004F6E49">
        <w:t>of having the parent node control the transmission direction of the IAB node’s child link(s).</w:t>
      </w:r>
      <w:r w:rsidR="00E610A7">
        <w:t xml:space="preserve"> </w:t>
      </w:r>
    </w:p>
    <w:p w14:paraId="3EE334DC" w14:textId="4F8ECA0D" w:rsidR="00590B36" w:rsidRDefault="00590B36" w:rsidP="00590B36">
      <w:r>
        <w:rPr>
          <w:rFonts w:eastAsiaTheme="minorEastAsia"/>
          <w:lang w:val="en-US"/>
        </w:rPr>
        <w:t xml:space="preserve">It has been discussed if DCI Format 2_0 is appropriate to be used for explicit indication regarding Soft resource availability. From the signaling content point-of-view, there is similarity between the explicit indication and </w:t>
      </w:r>
      <w:proofErr w:type="spellStart"/>
      <w:r>
        <w:rPr>
          <w:rFonts w:eastAsiaTheme="minorEastAsia"/>
          <w:lang w:val="en-US"/>
        </w:rPr>
        <w:t>D</w:t>
      </w:r>
      <w:r w:rsidR="0066554A">
        <w:rPr>
          <w:rFonts w:eastAsiaTheme="minorEastAsia"/>
          <w:lang w:val="en-US"/>
        </w:rPr>
        <w:t>the</w:t>
      </w:r>
      <w:proofErr w:type="spellEnd"/>
      <w:r w:rsidR="0066554A">
        <w:rPr>
          <w:rFonts w:eastAsiaTheme="minorEastAsia"/>
          <w:lang w:val="en-US"/>
        </w:rPr>
        <w:t xml:space="preserve"> current </w:t>
      </w:r>
      <w:r>
        <w:rPr>
          <w:rFonts w:eastAsiaTheme="minorEastAsia"/>
          <w:lang w:val="en-US"/>
        </w:rPr>
        <w:t xml:space="preserve">CI Format 2_0, since </w:t>
      </w:r>
      <w:r w:rsidR="005E505F">
        <w:rPr>
          <w:rFonts w:eastAsiaTheme="minorEastAsia"/>
          <w:lang w:val="en-US"/>
        </w:rPr>
        <w:t xml:space="preserve">both </w:t>
      </w:r>
      <w:r>
        <w:t>relate to giving certain indication to time-domain resource(s) of MT/UE.</w:t>
      </w:r>
    </w:p>
    <w:p w14:paraId="2D6FA8A6" w14:textId="77777777" w:rsidR="00590B36" w:rsidRDefault="00590B36" w:rsidP="00590B36">
      <w:pPr>
        <w:rPr>
          <w:rFonts w:eastAsiaTheme="minorEastAsia"/>
          <w:lang w:val="en-US"/>
        </w:rPr>
      </w:pPr>
      <w:r>
        <w:rPr>
          <w:rFonts w:eastAsiaTheme="minorEastAsia"/>
          <w:lang w:val="en-US"/>
        </w:rPr>
        <w:t>However, there are also several new aspects to be considered for implementing explicit indication in addition to the current DCI Format 2_0:</w:t>
      </w:r>
    </w:p>
    <w:p w14:paraId="2FA5C225" w14:textId="0B0DC87A" w:rsidR="00590B36" w:rsidRDefault="00590B36" w:rsidP="00590B36">
      <w:pPr>
        <w:pStyle w:val="ListParagraph"/>
        <w:numPr>
          <w:ilvl w:val="0"/>
          <w:numId w:val="36"/>
        </w:numPr>
        <w:ind w:left="723"/>
        <w:rPr>
          <w:rFonts w:eastAsiaTheme="minorEastAsia"/>
          <w:lang w:val="en-US"/>
        </w:rPr>
      </w:pPr>
      <w:r>
        <w:rPr>
          <w:rFonts w:eastAsiaTheme="minorEastAsia"/>
          <w:lang w:val="en-US"/>
        </w:rPr>
        <w:t>new resource type indicating certain MT resource(s) will be “not-used”</w:t>
      </w:r>
      <w:r w:rsidR="00E67182">
        <w:rPr>
          <w:rFonts w:eastAsiaTheme="minorEastAsia"/>
          <w:lang w:val="en-US"/>
        </w:rPr>
        <w:t xml:space="preserve"> which </w:t>
      </w:r>
      <w:r w:rsidR="005E44C4">
        <w:rPr>
          <w:rFonts w:eastAsiaTheme="minorEastAsia"/>
          <w:lang w:val="en-US"/>
        </w:rPr>
        <w:t>are “IA” for the child DU</w:t>
      </w:r>
      <w:r>
        <w:rPr>
          <w:rFonts w:eastAsiaTheme="minorEastAsia"/>
          <w:lang w:val="en-US"/>
        </w:rPr>
        <w:t>;</w:t>
      </w:r>
    </w:p>
    <w:p w14:paraId="0515D71E" w14:textId="6A761F8B" w:rsidR="00590B36" w:rsidRPr="00336230" w:rsidRDefault="00590B36" w:rsidP="00336230">
      <w:pPr>
        <w:pStyle w:val="ListParagraph"/>
        <w:numPr>
          <w:ilvl w:val="0"/>
          <w:numId w:val="36"/>
        </w:numPr>
        <w:ind w:left="723"/>
        <w:rPr>
          <w:rFonts w:eastAsiaTheme="minorEastAsia"/>
          <w:lang w:val="en-US"/>
        </w:rPr>
      </w:pPr>
      <w:r>
        <w:rPr>
          <w:rFonts w:eastAsiaTheme="minorEastAsia"/>
          <w:lang w:val="en-US"/>
        </w:rPr>
        <w:t>new overriding rules between the new resource type and resource types that have been configured semi-statically or dynamically</w:t>
      </w:r>
      <w:r w:rsidR="00D43FF5" w:rsidRPr="00336230">
        <w:rPr>
          <w:lang w:val="en-US" w:eastAsia="en-US"/>
        </w:rPr>
        <w:t>;</w:t>
      </w:r>
    </w:p>
    <w:p w14:paraId="31EA4CED" w14:textId="77777777" w:rsidR="00590B36" w:rsidRPr="009F010B" w:rsidRDefault="00590B36" w:rsidP="00590B36">
      <w:pPr>
        <w:pStyle w:val="ListParagraph"/>
        <w:numPr>
          <w:ilvl w:val="0"/>
          <w:numId w:val="36"/>
        </w:numPr>
        <w:ind w:left="723"/>
        <w:rPr>
          <w:rFonts w:eastAsiaTheme="minorEastAsia"/>
          <w:lang w:val="en-US"/>
        </w:rPr>
      </w:pPr>
      <w:r>
        <w:rPr>
          <w:rFonts w:eastAsiaTheme="minorEastAsia"/>
          <w:lang w:val="en-US"/>
        </w:rPr>
        <w:t xml:space="preserve">new field about time-domain allocation, including the time-domain offset between the signaling reception timing and the actual time-domain resource the explicit indication would be carried out.  </w:t>
      </w:r>
    </w:p>
    <w:p w14:paraId="0495EE54" w14:textId="77777777" w:rsidR="00590B36" w:rsidRDefault="00590B36" w:rsidP="00590B36">
      <w:pPr>
        <w:rPr>
          <w:rFonts w:eastAsiaTheme="minorEastAsia"/>
          <w:lang w:val="en-US"/>
        </w:rPr>
      </w:pPr>
      <w:r>
        <w:rPr>
          <w:lang w:val="en-US"/>
        </w:rPr>
        <w:t xml:space="preserve">The SFI contained in DCI Format 2_0 is only supposed to overrule the semi-statically configured Flexible resource to be UL or DL resource. </w:t>
      </w:r>
      <w:proofErr w:type="gramStart"/>
      <w:r>
        <w:rPr>
          <w:lang w:val="en-US"/>
        </w:rPr>
        <w:t>For the purpose of</w:t>
      </w:r>
      <w:proofErr w:type="gramEnd"/>
      <w:r>
        <w:rPr>
          <w:lang w:val="en-US"/>
        </w:rPr>
        <w:t xml:space="preserve"> explicit indication regarding Soft DU resource, </w:t>
      </w:r>
      <w:r>
        <w:t xml:space="preserve">the new resource type </w:t>
      </w:r>
      <w:r>
        <w:rPr>
          <w:rFonts w:eastAsiaTheme="minorEastAsia"/>
          <w:lang w:val="en-US"/>
        </w:rPr>
        <w:t>indicating certain MT resource(s) will be “not-used”</w:t>
      </w:r>
      <w:r>
        <w:t xml:space="preserve"> needs to be able to disable any resource type configured at the MT side, including semi-statically or dynamically configured DL/UL. This new behaviour needs to be defined. </w:t>
      </w:r>
    </w:p>
    <w:p w14:paraId="06E4B1E9" w14:textId="4490C9AF" w:rsidR="00590B36" w:rsidRPr="00774CD1" w:rsidRDefault="00590B36" w:rsidP="00590B36">
      <w:pPr>
        <w:rPr>
          <w:rFonts w:eastAsiaTheme="minorEastAsia"/>
          <w:lang w:val="en-US"/>
        </w:rPr>
      </w:pPr>
      <w:r>
        <w:rPr>
          <w:rFonts w:eastAsiaTheme="minorEastAsia"/>
          <w:lang w:val="en-US"/>
        </w:rPr>
        <w:t>In addition, i</w:t>
      </w:r>
      <w:r w:rsidRPr="00774CD1">
        <w:rPr>
          <w:rFonts w:eastAsiaTheme="minorEastAsia"/>
          <w:lang w:val="en-US"/>
        </w:rPr>
        <w:t>ssu</w:t>
      </w:r>
      <w:r>
        <w:rPr>
          <w:rFonts w:eastAsiaTheme="minorEastAsia"/>
          <w:lang w:val="en-US"/>
        </w:rPr>
        <w:t>ing</w:t>
      </w:r>
      <w:r w:rsidRPr="00774CD1">
        <w:rPr>
          <w:rFonts w:eastAsiaTheme="minorEastAsia"/>
          <w:lang w:val="en-US"/>
        </w:rPr>
        <w:t xml:space="preserve"> explicit indication from t</w:t>
      </w:r>
      <w:r>
        <w:rPr>
          <w:rFonts w:eastAsiaTheme="minorEastAsia"/>
          <w:lang w:val="en-US"/>
        </w:rPr>
        <w:t xml:space="preserve">he parent node would be triggered by the IAB Soft DU resource, either via the parent node knowing the IAB DU configuration, or the IAB node sends specific request for the resource. In either case, the parent node may signal the explicit indication regarding the future MT resources. In comparison, the DCI Format 2_0 will be carried out upon receiving. </w:t>
      </w:r>
      <w:proofErr w:type="gramStart"/>
      <w:r>
        <w:rPr>
          <w:rFonts w:eastAsiaTheme="minorEastAsia"/>
          <w:lang w:val="en-US"/>
        </w:rPr>
        <w:t>So</w:t>
      </w:r>
      <w:proofErr w:type="gramEnd"/>
      <w:r>
        <w:rPr>
          <w:rFonts w:eastAsiaTheme="minorEastAsia"/>
          <w:lang w:val="en-US"/>
        </w:rPr>
        <w:t xml:space="preserve"> for the explicit indication, a new field is needed to specify the time-domain allocation, </w:t>
      </w:r>
      <w:r>
        <w:t xml:space="preserve">similar to DCI 0_0 and DCI 0_1, about the </w:t>
      </w:r>
      <w:r>
        <w:rPr>
          <w:rFonts w:eastAsiaTheme="minorEastAsia"/>
          <w:lang w:val="en-US"/>
        </w:rPr>
        <w:t>actual time-domain resource the explicit indication would be carried out. The time-domain allocation field may include information such as, slot offset, valid length, etc.</w:t>
      </w:r>
      <w:r w:rsidR="00CA0E17">
        <w:rPr>
          <w:rFonts w:eastAsiaTheme="minorEastAsia"/>
          <w:lang w:val="en-US"/>
        </w:rPr>
        <w:t xml:space="preserve"> An example is shown in </w:t>
      </w:r>
      <w:r w:rsidR="006E2F42">
        <w:rPr>
          <w:rFonts w:eastAsiaTheme="minorEastAsia"/>
          <w:lang w:val="en-US"/>
        </w:rPr>
        <w:t>Table 1.</w:t>
      </w:r>
    </w:p>
    <w:p w14:paraId="0E89DD43" w14:textId="77777777" w:rsidR="00590B36" w:rsidRPr="00CD4161" w:rsidRDefault="00590B36" w:rsidP="00590B36">
      <w:pPr>
        <w:pStyle w:val="Observation"/>
      </w:pPr>
      <w:bookmarkStart w:id="152" w:name="_Toc7446329"/>
      <w:bookmarkStart w:id="153" w:name="_Toc7446373"/>
      <w:bookmarkStart w:id="154" w:name="_Toc7527983"/>
      <w:bookmarkStart w:id="155" w:name="_Toc7615376"/>
      <w:bookmarkStart w:id="156" w:name="_Toc7616135"/>
      <w:bookmarkStart w:id="157" w:name="_Toc7627208"/>
      <w:bookmarkStart w:id="158" w:name="_Toc7766656"/>
      <w:bookmarkStart w:id="159" w:name="_Toc15646203"/>
      <w:bookmarkStart w:id="160" w:name="_Toc15907775"/>
      <w:bookmarkStart w:id="161" w:name="_Toc16247059"/>
      <w:bookmarkStart w:id="162" w:name="_Toc16253748"/>
      <w:bookmarkStart w:id="163" w:name="_Toc16606618"/>
      <w:bookmarkStart w:id="164" w:name="_Toc16606723"/>
      <w:bookmarkStart w:id="165" w:name="_Toc16671970"/>
      <w:bookmarkStart w:id="166" w:name="_Toc16753577"/>
      <w:bookmarkStart w:id="167" w:name="_Toc16758347"/>
      <w:bookmarkStart w:id="168" w:name="_Toc16839103"/>
      <w:bookmarkStart w:id="169" w:name="_Toc16843103"/>
      <w:bookmarkStart w:id="170" w:name="_Toc16857509"/>
      <w:r>
        <w:rPr>
          <w:rFonts w:eastAsiaTheme="minorEastAsia"/>
          <w:lang w:val="en-US"/>
        </w:rPr>
        <w:t>Several new aspects need to be considered for implementing explicit indication in addition to the current DCI Format 2_0 including new resource type, new overriding rules and new field about time-domain allocation.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9FA0DDC" w14:textId="581C0AD5" w:rsidR="00590B36" w:rsidRDefault="00FC1D05" w:rsidP="00590B36">
      <w:pPr>
        <w:pStyle w:val="Proposal"/>
      </w:pPr>
      <w:bookmarkStart w:id="171" w:name="_Toc7446351"/>
      <w:bookmarkStart w:id="172" w:name="_Toc7446395"/>
      <w:bookmarkStart w:id="173" w:name="_Toc7528004"/>
      <w:bookmarkStart w:id="174" w:name="_Toc7615396"/>
      <w:bookmarkStart w:id="175" w:name="_Toc7616155"/>
      <w:bookmarkStart w:id="176" w:name="_Toc7627228"/>
      <w:bookmarkStart w:id="177" w:name="_Toc7766677"/>
      <w:bookmarkStart w:id="178" w:name="_Toc15646212"/>
      <w:bookmarkStart w:id="179" w:name="_Toc15907785"/>
      <w:bookmarkStart w:id="180" w:name="_Toc16247069"/>
      <w:bookmarkStart w:id="181" w:name="_Toc16253758"/>
      <w:bookmarkStart w:id="182" w:name="_Toc16606628"/>
      <w:bookmarkStart w:id="183" w:name="_Toc16606734"/>
      <w:bookmarkStart w:id="184" w:name="_Toc16839114"/>
      <w:bookmarkStart w:id="185" w:name="_Toc16671979"/>
      <w:bookmarkStart w:id="186" w:name="_Toc16753586"/>
      <w:bookmarkStart w:id="187" w:name="_Toc16758356"/>
      <w:bookmarkStart w:id="188" w:name="_Toc16843112"/>
      <w:bookmarkStart w:id="189" w:name="_Toc16857518"/>
      <w:r>
        <w:t xml:space="preserve">Explicit indication is not constrained to the current </w:t>
      </w:r>
      <w:r w:rsidR="009F7652">
        <w:t>DCI Format 2_0</w:t>
      </w:r>
      <w:r w:rsidR="00590B36">
        <w:t>.</w:t>
      </w:r>
      <w:bookmarkEnd w:id="171"/>
      <w:bookmarkEnd w:id="172"/>
      <w:bookmarkEnd w:id="173"/>
      <w:bookmarkEnd w:id="174"/>
      <w:bookmarkEnd w:id="175"/>
      <w:bookmarkEnd w:id="176"/>
      <w:bookmarkEnd w:id="177"/>
      <w:bookmarkEnd w:id="178"/>
      <w:bookmarkEnd w:id="179"/>
      <w:bookmarkEnd w:id="180"/>
      <w:bookmarkEnd w:id="181"/>
      <w:r w:rsidR="00590B36">
        <w:t xml:space="preserve"> </w:t>
      </w:r>
      <w:bookmarkEnd w:id="182"/>
      <w:bookmarkEnd w:id="183"/>
      <w:bookmarkEnd w:id="184"/>
      <w:bookmarkEnd w:id="185"/>
      <w:bookmarkEnd w:id="186"/>
      <w:bookmarkEnd w:id="187"/>
      <w:bookmarkEnd w:id="188"/>
      <w:bookmarkEnd w:id="189"/>
    </w:p>
    <w:p w14:paraId="0E40FDF9" w14:textId="38364120" w:rsidR="00A96080" w:rsidRDefault="00A96080" w:rsidP="00590B36"/>
    <w:p w14:paraId="146D3235" w14:textId="6AB97FD8" w:rsidR="00684340" w:rsidRDefault="00CC08B7" w:rsidP="003A1476">
      <w:pPr>
        <w:pStyle w:val="Caption"/>
      </w:pPr>
      <w:r>
        <w:t>Table 1: Possible fields needed for the explicit indication.</w:t>
      </w:r>
    </w:p>
    <w:tbl>
      <w:tblPr>
        <w:tblStyle w:val="TableGrid"/>
        <w:tblW w:w="0" w:type="auto"/>
        <w:tblLook w:val="04A0" w:firstRow="1" w:lastRow="0" w:firstColumn="1" w:lastColumn="0" w:noHBand="0" w:noVBand="1"/>
      </w:tblPr>
      <w:tblGrid>
        <w:gridCol w:w="3681"/>
        <w:gridCol w:w="1559"/>
        <w:gridCol w:w="4389"/>
      </w:tblGrid>
      <w:tr w:rsidR="00684340" w14:paraId="302BFA98" w14:textId="77777777" w:rsidTr="009226AD">
        <w:tc>
          <w:tcPr>
            <w:tcW w:w="3681" w:type="dxa"/>
            <w:shd w:val="clear" w:color="auto" w:fill="E7E6E6" w:themeFill="background2"/>
            <w:vAlign w:val="center"/>
          </w:tcPr>
          <w:p w14:paraId="6EEA3E90" w14:textId="26B4668B" w:rsidR="00684340" w:rsidRDefault="00684340" w:rsidP="009226AD">
            <w:pPr>
              <w:spacing w:before="60" w:after="60"/>
              <w:jc w:val="left"/>
            </w:pPr>
            <w:r>
              <w:t>Field (Item)</w:t>
            </w:r>
          </w:p>
        </w:tc>
        <w:tc>
          <w:tcPr>
            <w:tcW w:w="1559" w:type="dxa"/>
            <w:shd w:val="clear" w:color="auto" w:fill="E7E6E6" w:themeFill="background2"/>
            <w:vAlign w:val="center"/>
          </w:tcPr>
          <w:p w14:paraId="2B6F072F" w14:textId="6D0490AA" w:rsidR="00684340" w:rsidRDefault="009A3CA2" w:rsidP="009226AD">
            <w:pPr>
              <w:spacing w:before="60" w:after="60"/>
              <w:jc w:val="left"/>
            </w:pPr>
            <w:r>
              <w:t>Bits</w:t>
            </w:r>
          </w:p>
        </w:tc>
        <w:tc>
          <w:tcPr>
            <w:tcW w:w="4389" w:type="dxa"/>
            <w:shd w:val="clear" w:color="auto" w:fill="E7E6E6" w:themeFill="background2"/>
            <w:vAlign w:val="center"/>
          </w:tcPr>
          <w:p w14:paraId="5D736D11" w14:textId="7EF70D42" w:rsidR="00684340" w:rsidRDefault="00C51239" w:rsidP="009226AD">
            <w:pPr>
              <w:spacing w:before="60" w:after="60"/>
              <w:jc w:val="left"/>
            </w:pPr>
            <w:r>
              <w:t>Reference</w:t>
            </w:r>
          </w:p>
        </w:tc>
      </w:tr>
      <w:tr w:rsidR="00684340" w14:paraId="63487A31" w14:textId="77777777" w:rsidTr="009226AD">
        <w:tc>
          <w:tcPr>
            <w:tcW w:w="3681" w:type="dxa"/>
            <w:vAlign w:val="center"/>
          </w:tcPr>
          <w:p w14:paraId="223975C2" w14:textId="7B20B026" w:rsidR="00684340" w:rsidRDefault="009226AD" w:rsidP="009226AD">
            <w:pPr>
              <w:spacing w:before="60" w:after="60"/>
              <w:jc w:val="left"/>
            </w:pPr>
            <w:r>
              <w:t>Identifier for DCI formats</w:t>
            </w:r>
          </w:p>
        </w:tc>
        <w:tc>
          <w:tcPr>
            <w:tcW w:w="1559" w:type="dxa"/>
            <w:vAlign w:val="center"/>
          </w:tcPr>
          <w:p w14:paraId="11675378" w14:textId="26DF3C7E" w:rsidR="00684340" w:rsidRDefault="001A3B5D" w:rsidP="009226AD">
            <w:pPr>
              <w:spacing w:before="60" w:after="60"/>
              <w:jc w:val="left"/>
            </w:pPr>
            <w:r>
              <w:t>1</w:t>
            </w:r>
          </w:p>
        </w:tc>
        <w:tc>
          <w:tcPr>
            <w:tcW w:w="4389" w:type="dxa"/>
            <w:vAlign w:val="center"/>
          </w:tcPr>
          <w:p w14:paraId="43F9DAB7" w14:textId="77777777" w:rsidR="00684340" w:rsidRDefault="00684340" w:rsidP="009226AD">
            <w:pPr>
              <w:spacing w:before="60" w:after="60"/>
              <w:jc w:val="left"/>
            </w:pPr>
          </w:p>
        </w:tc>
      </w:tr>
      <w:tr w:rsidR="00845C13" w14:paraId="14A7CD5F" w14:textId="77777777" w:rsidTr="009226AD">
        <w:tc>
          <w:tcPr>
            <w:tcW w:w="3681" w:type="dxa"/>
            <w:vAlign w:val="center"/>
          </w:tcPr>
          <w:p w14:paraId="1D75DB64" w14:textId="0BC56BEB" w:rsidR="00845C13" w:rsidRDefault="00845C13" w:rsidP="009226AD">
            <w:pPr>
              <w:spacing w:before="60" w:after="60"/>
              <w:jc w:val="left"/>
            </w:pPr>
            <w:r>
              <w:t>Time-domain allocation</w:t>
            </w:r>
          </w:p>
        </w:tc>
        <w:tc>
          <w:tcPr>
            <w:tcW w:w="1559" w:type="dxa"/>
            <w:vAlign w:val="center"/>
          </w:tcPr>
          <w:p w14:paraId="4D6E4266" w14:textId="7F816D1C" w:rsidR="00845C13" w:rsidRDefault="008A04FB" w:rsidP="009226AD">
            <w:pPr>
              <w:spacing w:before="60" w:after="60"/>
              <w:jc w:val="left"/>
            </w:pPr>
            <w:r>
              <w:t>TBD</w:t>
            </w:r>
          </w:p>
        </w:tc>
        <w:tc>
          <w:tcPr>
            <w:tcW w:w="4389" w:type="dxa"/>
            <w:vAlign w:val="center"/>
          </w:tcPr>
          <w:p w14:paraId="19F6304E" w14:textId="5399A1C4" w:rsidR="00845C13" w:rsidRDefault="001F54B2" w:rsidP="009226AD">
            <w:pPr>
              <w:spacing w:before="60" w:after="60"/>
              <w:jc w:val="left"/>
            </w:pPr>
            <w:r>
              <w:t>Used as an index into an RRC-configured table indicating the “slot offset”, “start symbol”, “length”</w:t>
            </w:r>
            <w:r w:rsidR="00F22A39">
              <w:t>.</w:t>
            </w:r>
            <w:r w:rsidR="00AB2CF3">
              <w:t xml:space="preserve"> </w:t>
            </w:r>
          </w:p>
        </w:tc>
      </w:tr>
    </w:tbl>
    <w:p w14:paraId="0BE5D99B" w14:textId="163EA1E8" w:rsidR="00684340" w:rsidRDefault="00684340" w:rsidP="00590B36"/>
    <w:p w14:paraId="7905FAFD" w14:textId="6379C5A9" w:rsidR="00576E42" w:rsidRDefault="00576E42" w:rsidP="00F35900">
      <w:r>
        <w:t>In th</w:t>
      </w:r>
      <w:r w:rsidR="006D1BAE">
        <w:t>e above</w:t>
      </w:r>
      <w:r>
        <w:t xml:space="preserve"> example, the “slot offset”</w:t>
      </w:r>
      <w:r w:rsidR="006401A5">
        <w:t xml:space="preserve"> indicates the number of slots deviated from the slot where the DCI is present</w:t>
      </w:r>
      <w:r w:rsidR="00D623DA">
        <w:t xml:space="preserve">, </w:t>
      </w:r>
      <w:r w:rsidR="00C33F2A">
        <w:t xml:space="preserve">the “start symbol” </w:t>
      </w:r>
      <w:r w:rsidR="00B968B5">
        <w:t xml:space="preserve">indicates the index of starting symbol from which the </w:t>
      </w:r>
      <w:r w:rsidR="0039762E">
        <w:t xml:space="preserve">explicit </w:t>
      </w:r>
      <w:r w:rsidR="00B968B5">
        <w:t xml:space="preserve">indication is valid, and the “length” indicates the number of symbols </w:t>
      </w:r>
      <w:r w:rsidR="00B612DB">
        <w:t xml:space="preserve">during which the </w:t>
      </w:r>
      <w:r w:rsidR="0039762E">
        <w:t xml:space="preserve">explicit </w:t>
      </w:r>
      <w:r w:rsidR="00B612DB">
        <w:t xml:space="preserve">indication is valid. </w:t>
      </w:r>
      <w:r w:rsidR="006401A5">
        <w:t xml:space="preserve"> </w:t>
      </w:r>
    </w:p>
    <w:p w14:paraId="3EC7B3DA" w14:textId="32E7932D" w:rsidR="00E63E31" w:rsidRDefault="00EF1FDF" w:rsidP="00F35900">
      <w:r>
        <w:t xml:space="preserve">Upon receiving </w:t>
      </w:r>
      <w:r w:rsidR="00C12EBF">
        <w:t xml:space="preserve">such L1 </w:t>
      </w:r>
      <w:proofErr w:type="spellStart"/>
      <w:r w:rsidR="00C12EBF">
        <w:t>signaling</w:t>
      </w:r>
      <w:proofErr w:type="spellEnd"/>
      <w:r w:rsidR="00C12EBF">
        <w:t xml:space="preserve">, the </w:t>
      </w:r>
      <w:r w:rsidR="000363C8">
        <w:t xml:space="preserve">indicated “future” symbols of the IAB MT will not be scheduled by the parent node. </w:t>
      </w:r>
      <w:r w:rsidR="006E039E">
        <w:t xml:space="preserve">The corresponding DU can then derive </w:t>
      </w:r>
      <w:r w:rsidR="00640C4E">
        <w:t xml:space="preserve">how it can make use of the soft resources overlapped with the indicated </w:t>
      </w:r>
      <w:r w:rsidR="003A6437">
        <w:t xml:space="preserve">MT time resources. </w:t>
      </w:r>
    </w:p>
    <w:p w14:paraId="5DD2FD57" w14:textId="1086D547" w:rsidR="00F35900" w:rsidRDefault="00F35900" w:rsidP="00F35900">
      <w:r>
        <w:t xml:space="preserve">Referring to the general NR principle about the coupling between DCI formats and DCI sizes, different formats may share the same DCI size, which is key to limit the number of blind decoding at the UE/MT side. If a new DCI Format is to be defined, it is important to align the new DCI Format for explicit indication with the size on an existing DCI format, following the steps defined in </w:t>
      </w:r>
      <w:r>
        <w:fldChar w:fldCharType="begin"/>
      </w:r>
      <w:r>
        <w:instrText xml:space="preserve"> REF _Ref3380850 \r \h </w:instrText>
      </w:r>
      <w:r>
        <w:fldChar w:fldCharType="separate"/>
      </w:r>
      <w:r w:rsidR="003A1476">
        <w:t>[6]</w:t>
      </w:r>
      <w:r>
        <w:fldChar w:fldCharType="end"/>
      </w:r>
      <w:r>
        <w:t>.</w:t>
      </w:r>
    </w:p>
    <w:p w14:paraId="0A5B90F1" w14:textId="721A881D" w:rsidR="00E624DA" w:rsidRPr="000723A7" w:rsidRDefault="00630DF7" w:rsidP="00630DF7">
      <w:pPr>
        <w:pStyle w:val="Proposal"/>
      </w:pPr>
      <w:bookmarkStart w:id="190" w:name="_Toc15646213"/>
      <w:bookmarkStart w:id="191" w:name="_Toc15907786"/>
      <w:bookmarkStart w:id="192" w:name="_Toc16247070"/>
      <w:bookmarkStart w:id="193" w:name="_Toc16253759"/>
      <w:bookmarkStart w:id="194" w:name="_Toc16606629"/>
      <w:bookmarkStart w:id="195" w:name="_Toc16606735"/>
      <w:bookmarkStart w:id="196" w:name="_Toc16671980"/>
      <w:bookmarkStart w:id="197" w:name="_Toc16753587"/>
      <w:bookmarkStart w:id="198" w:name="_Toc16758357"/>
      <w:bookmarkStart w:id="199" w:name="_Toc16839115"/>
      <w:bookmarkStart w:id="200" w:name="_Toc16843113"/>
      <w:bookmarkStart w:id="201" w:name="_Toc16857519"/>
      <w:r>
        <w:t xml:space="preserve">The processing time for applying an explicit indication at the </w:t>
      </w:r>
      <w:r w:rsidR="00271373">
        <w:t>IAB</w:t>
      </w:r>
      <w:r>
        <w:t xml:space="preserve"> DU </w:t>
      </w:r>
      <w:r w:rsidR="00271373">
        <w:t xml:space="preserve">impacts the IAB node’s utilization rate of soft resources, which should be left </w:t>
      </w:r>
      <w:r w:rsidR="00D60DDC">
        <w:t>to</w:t>
      </w:r>
      <w:r w:rsidR="00271373">
        <w:t xml:space="preserve"> implementation.</w:t>
      </w:r>
      <w:bookmarkEnd w:id="190"/>
      <w:bookmarkEnd w:id="191"/>
      <w:bookmarkEnd w:id="192"/>
      <w:bookmarkEnd w:id="193"/>
      <w:bookmarkEnd w:id="194"/>
      <w:bookmarkEnd w:id="195"/>
      <w:bookmarkEnd w:id="196"/>
      <w:bookmarkEnd w:id="197"/>
      <w:bookmarkEnd w:id="198"/>
      <w:bookmarkEnd w:id="199"/>
      <w:bookmarkEnd w:id="200"/>
      <w:bookmarkEnd w:id="201"/>
    </w:p>
    <w:p w14:paraId="2C1B6BD4" w14:textId="77777777" w:rsidR="00C01F33" w:rsidRPr="00CE0424" w:rsidRDefault="00C01F33" w:rsidP="00CE0424">
      <w:pPr>
        <w:pStyle w:val="Heading1"/>
      </w:pPr>
      <w:r w:rsidRPr="00CE0424">
        <w:lastRenderedPageBreak/>
        <w:t>Conclusion</w:t>
      </w:r>
    </w:p>
    <w:p w14:paraId="1BA74B14" w14:textId="77777777" w:rsidR="00550B5E" w:rsidRDefault="008E065E" w:rsidP="008E065E">
      <w:pPr>
        <w:pStyle w:val="BodyText"/>
        <w:rPr>
          <w:noProof/>
        </w:rPr>
      </w:pPr>
      <w:r>
        <w:t xml:space="preserve">In </w:t>
      </w:r>
      <w:r w:rsidR="00BA6E05">
        <w:t>this paper</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BF7F3C3" w14:textId="77777777" w:rsidR="00550B5E" w:rsidRPr="00550B5E" w:rsidRDefault="00550B5E">
      <w:pPr>
        <w:pStyle w:val="TOC1"/>
        <w:rPr>
          <w:rFonts w:asciiTheme="minorHAnsi" w:eastAsiaTheme="minorEastAsia" w:hAnsiTheme="minorHAnsi" w:cstheme="minorBidi"/>
          <w:b w:val="0"/>
          <w:sz w:val="22"/>
        </w:rPr>
      </w:pPr>
      <w:r>
        <w:t>Observation 1</w:t>
      </w:r>
      <w:r w:rsidRPr="00550B5E">
        <w:rPr>
          <w:rFonts w:asciiTheme="minorHAnsi" w:eastAsiaTheme="minorEastAsia" w:hAnsiTheme="minorHAnsi" w:cstheme="minorBidi"/>
          <w:b w:val="0"/>
          <w:sz w:val="22"/>
        </w:rPr>
        <w:tab/>
      </w:r>
      <w:r w:rsidRPr="00777B24">
        <w:t>From the RAN1 perspective, it is desirable to have a scheme associating IAB DU resource configuration with activation timing information</w:t>
      </w:r>
      <w:r w:rsidRPr="00777B24">
        <w:rPr>
          <w:lang w:eastAsia="en-US"/>
        </w:rPr>
        <w:t xml:space="preserve"> to align the configuration carried out by different IAB nodes.</w:t>
      </w:r>
    </w:p>
    <w:p w14:paraId="724F7433" w14:textId="77777777" w:rsidR="00550B5E" w:rsidRPr="00550B5E" w:rsidRDefault="00550B5E">
      <w:pPr>
        <w:pStyle w:val="TOC1"/>
        <w:rPr>
          <w:rFonts w:asciiTheme="minorHAnsi" w:eastAsiaTheme="minorEastAsia" w:hAnsiTheme="minorHAnsi" w:cstheme="minorBidi"/>
          <w:b w:val="0"/>
          <w:sz w:val="22"/>
        </w:rPr>
      </w:pPr>
      <w:r>
        <w:t>Observation 2</w:t>
      </w:r>
      <w:r w:rsidRPr="00550B5E">
        <w:rPr>
          <w:rFonts w:asciiTheme="minorHAnsi" w:eastAsiaTheme="minorEastAsia" w:hAnsiTheme="minorHAnsi" w:cstheme="minorBidi"/>
          <w:b w:val="0"/>
          <w:sz w:val="22"/>
        </w:rPr>
        <w:tab/>
      </w:r>
      <w:r>
        <w:t>The CU does not need the information about the required guard-symbols/timing-misalignment for a given DU configuration.</w:t>
      </w:r>
    </w:p>
    <w:p w14:paraId="6D29CC2D" w14:textId="77777777" w:rsidR="00550B5E" w:rsidRPr="00550B5E" w:rsidRDefault="00550B5E">
      <w:pPr>
        <w:pStyle w:val="TOC1"/>
        <w:rPr>
          <w:rFonts w:asciiTheme="minorHAnsi" w:eastAsiaTheme="minorEastAsia" w:hAnsiTheme="minorHAnsi" w:cstheme="minorBidi"/>
          <w:b w:val="0"/>
          <w:sz w:val="22"/>
        </w:rPr>
      </w:pPr>
      <w:r>
        <w:t>Observation 3</w:t>
      </w:r>
      <w:r w:rsidRPr="00550B5E">
        <w:rPr>
          <w:rFonts w:asciiTheme="minorHAnsi" w:eastAsiaTheme="minorEastAsia" w:hAnsiTheme="minorHAnsi" w:cstheme="minorBidi"/>
          <w:b w:val="0"/>
          <w:sz w:val="22"/>
        </w:rPr>
        <w:tab/>
      </w:r>
      <w:r w:rsidRPr="00777B24">
        <w:rPr>
          <w:rFonts w:eastAsiaTheme="minorEastAsia"/>
        </w:rPr>
        <w:t>Several new aspects need to be considered for implementing explicit indication in addition to the current DCI Format 2_0 including new resource type, new overriding rules and new field about time-domain allocation.</w:t>
      </w:r>
    </w:p>
    <w:p w14:paraId="68ED5EBF" w14:textId="30CE010F" w:rsidR="008E065E" w:rsidRDefault="008E065E" w:rsidP="008E065E">
      <w:pPr>
        <w:pStyle w:val="BodyText"/>
        <w:rPr>
          <w:b/>
          <w:bCs/>
        </w:rPr>
      </w:pPr>
      <w:r>
        <w:rPr>
          <w:b/>
          <w:bCs/>
        </w:rPr>
        <w:fldChar w:fldCharType="end"/>
      </w:r>
    </w:p>
    <w:p w14:paraId="216BC1D2" w14:textId="77777777" w:rsidR="00550B5E" w:rsidRDefault="008E065E" w:rsidP="008E065E">
      <w:pPr>
        <w:pStyle w:val="BodyText"/>
        <w:rPr>
          <w:noProof/>
        </w:rPr>
      </w:pPr>
      <w:r w:rsidRPr="00CE0424">
        <w:t xml:space="preserve">Based on the discussion </w:t>
      </w:r>
      <w:r w:rsidR="00BA6E05">
        <w:t>above</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DF76610" w14:textId="77777777" w:rsidR="00550B5E" w:rsidRPr="00550B5E" w:rsidRDefault="00550B5E">
      <w:pPr>
        <w:pStyle w:val="TOC1"/>
        <w:rPr>
          <w:rFonts w:asciiTheme="minorHAnsi" w:eastAsiaTheme="minorEastAsia" w:hAnsiTheme="minorHAnsi" w:cstheme="minorBidi"/>
          <w:b w:val="0"/>
          <w:sz w:val="22"/>
        </w:rPr>
      </w:pPr>
      <w:r>
        <w:t>Proposal 1</w:t>
      </w:r>
      <w:r w:rsidRPr="00550B5E">
        <w:rPr>
          <w:rFonts w:asciiTheme="minorHAnsi" w:eastAsiaTheme="minorEastAsia" w:hAnsiTheme="minorHAnsi" w:cstheme="minorBidi"/>
          <w:b w:val="0"/>
          <w:sz w:val="22"/>
        </w:rPr>
        <w:tab/>
      </w:r>
      <w:r>
        <w:t>The DU configuration is not link specific at least for Rel-16.</w:t>
      </w:r>
    </w:p>
    <w:p w14:paraId="5713464F" w14:textId="77777777" w:rsidR="00550B5E" w:rsidRPr="00550B5E" w:rsidRDefault="00550B5E">
      <w:pPr>
        <w:pStyle w:val="TOC1"/>
        <w:rPr>
          <w:rFonts w:asciiTheme="minorHAnsi" w:eastAsiaTheme="minorEastAsia" w:hAnsiTheme="minorHAnsi" w:cstheme="minorBidi"/>
          <w:b w:val="0"/>
          <w:sz w:val="22"/>
        </w:rPr>
      </w:pPr>
      <w:r>
        <w:t>Proposal 2</w:t>
      </w:r>
      <w:r w:rsidRPr="00550B5E">
        <w:rPr>
          <w:rFonts w:asciiTheme="minorHAnsi" w:eastAsiaTheme="minorEastAsia" w:hAnsiTheme="minorHAnsi" w:cstheme="minorBidi"/>
          <w:b w:val="0"/>
          <w:sz w:val="22"/>
        </w:rPr>
        <w:tab/>
      </w:r>
      <w:r w:rsidRPr="00F02E90">
        <w:rPr>
          <w:i/>
        </w:rPr>
        <w:t>If it should be agreed to include the support for link-specific DU configuration</w:t>
      </w:r>
      <w:r>
        <w:t>, more specifically, by allowing overriding the  DU-specific H/S/NA base pattern for a subset of child links, it should only allow the Hard/Soft resource type overridden by NA, but not allow overriding from Hard to Soft, from Soft to Hard, nor from NA to Hard/Soft.</w:t>
      </w:r>
    </w:p>
    <w:p w14:paraId="197D1E04" w14:textId="77777777" w:rsidR="00550B5E" w:rsidRPr="00550B5E" w:rsidRDefault="00550B5E">
      <w:pPr>
        <w:pStyle w:val="TOC1"/>
        <w:rPr>
          <w:rFonts w:asciiTheme="minorHAnsi" w:eastAsiaTheme="minorEastAsia" w:hAnsiTheme="minorHAnsi" w:cstheme="minorBidi"/>
          <w:b w:val="0"/>
          <w:sz w:val="22"/>
        </w:rPr>
      </w:pPr>
      <w:r>
        <w:t>Proposal 3</w:t>
      </w:r>
      <w:r w:rsidRPr="00550B5E">
        <w:rPr>
          <w:rFonts w:asciiTheme="minorHAnsi" w:eastAsiaTheme="minorEastAsia" w:hAnsiTheme="minorHAnsi" w:cstheme="minorBidi"/>
          <w:b w:val="0"/>
          <w:sz w:val="22"/>
        </w:rPr>
        <w:tab/>
      </w:r>
      <w:r>
        <w:t>The DU H/S resource types are configured per DU cell with respect to each MT carrier frequency.</w:t>
      </w:r>
    </w:p>
    <w:p w14:paraId="6FF546B5" w14:textId="77777777" w:rsidR="00550B5E" w:rsidRPr="00550B5E" w:rsidRDefault="00550B5E">
      <w:pPr>
        <w:pStyle w:val="TOC1"/>
        <w:rPr>
          <w:rFonts w:asciiTheme="minorHAnsi" w:eastAsiaTheme="minorEastAsia" w:hAnsiTheme="minorHAnsi" w:cstheme="minorBidi"/>
          <w:b w:val="0"/>
          <w:sz w:val="22"/>
        </w:rPr>
      </w:pPr>
      <w:r>
        <w:t>Proposal 4</w:t>
      </w:r>
      <w:r w:rsidRPr="00550B5E">
        <w:rPr>
          <w:rFonts w:asciiTheme="minorHAnsi" w:eastAsiaTheme="minorEastAsia" w:hAnsiTheme="minorHAnsi" w:cstheme="minorBidi"/>
          <w:b w:val="0"/>
          <w:sz w:val="22"/>
        </w:rPr>
        <w:tab/>
      </w:r>
      <w:r w:rsidRPr="00F02E90">
        <w:rPr>
          <w:lang w:eastAsia="en-US"/>
        </w:rPr>
        <w:t xml:space="preserve">The DU configuration of DL, UL, and Flexible is based on the Rel-15 RRC-signaled D/U/F pattern provided by </w:t>
      </w:r>
      <w:r w:rsidRPr="00F02E90">
        <w:rPr>
          <w:i/>
          <w:lang w:eastAsia="en-US"/>
        </w:rPr>
        <w:t>TDD-UL-DL-ConfigurationCommon</w:t>
      </w:r>
      <w:r w:rsidRPr="00F02E90">
        <w:rPr>
          <w:lang w:eastAsia="en-US"/>
        </w:rPr>
        <w:t xml:space="preserve"> as in TS 38.213, with extension allowing the “downlink-uplink-flexible” sequence order to be configurable and permuted to any other sequence order.</w:t>
      </w:r>
    </w:p>
    <w:p w14:paraId="2FA683FE" w14:textId="77777777" w:rsidR="00550B5E" w:rsidRPr="00550B5E" w:rsidRDefault="00550B5E">
      <w:pPr>
        <w:pStyle w:val="TOC1"/>
        <w:rPr>
          <w:rFonts w:asciiTheme="minorHAnsi" w:eastAsiaTheme="minorEastAsia" w:hAnsiTheme="minorHAnsi" w:cstheme="minorBidi"/>
          <w:b w:val="0"/>
          <w:sz w:val="22"/>
        </w:rPr>
      </w:pPr>
      <w:r w:rsidRPr="00F02E90">
        <w:rPr>
          <w:lang w:eastAsia="en-US"/>
        </w:rPr>
        <w:t>Proposal 5</w:t>
      </w:r>
      <w:r w:rsidRPr="00550B5E">
        <w:rPr>
          <w:rFonts w:asciiTheme="minorHAnsi" w:eastAsiaTheme="minorEastAsia" w:hAnsiTheme="minorHAnsi" w:cstheme="minorBidi"/>
          <w:b w:val="0"/>
          <w:sz w:val="22"/>
        </w:rPr>
        <w:tab/>
      </w:r>
      <w:r w:rsidRPr="00F02E90">
        <w:rPr>
          <w:lang w:eastAsia="en-US"/>
        </w:rPr>
        <w:t>Extension allowing the “downlink-uplink-flexible” sequence order to be configurable and permuted to any other sequence order is also applied to the MT D/U/F configuration.</w:t>
      </w:r>
    </w:p>
    <w:p w14:paraId="22227307" w14:textId="77777777" w:rsidR="00550B5E" w:rsidRPr="00550B5E" w:rsidRDefault="00550B5E">
      <w:pPr>
        <w:pStyle w:val="TOC1"/>
        <w:rPr>
          <w:rFonts w:asciiTheme="minorHAnsi" w:eastAsiaTheme="minorEastAsia" w:hAnsiTheme="minorHAnsi" w:cstheme="minorBidi"/>
          <w:b w:val="0"/>
          <w:sz w:val="22"/>
        </w:rPr>
      </w:pPr>
      <w:r>
        <w:t>Proposal 6</w:t>
      </w:r>
      <w:r w:rsidRPr="00550B5E">
        <w:rPr>
          <w:rFonts w:asciiTheme="minorHAnsi" w:eastAsiaTheme="minorEastAsia" w:hAnsiTheme="minorHAnsi" w:cstheme="minorBidi"/>
          <w:b w:val="0"/>
          <w:sz w:val="22"/>
        </w:rPr>
        <w:tab/>
      </w:r>
      <w:r>
        <w:t>The indication of H/S/NA resources in the semi-static DU configuration is applied relative to the DU resource configuration (D/U/F) slot timing (i.e., alt. 1a) without considering the MT resource configuration or timing.</w:t>
      </w:r>
    </w:p>
    <w:p w14:paraId="1EA39F86" w14:textId="77777777" w:rsidR="00550B5E" w:rsidRPr="00550B5E" w:rsidRDefault="00550B5E">
      <w:pPr>
        <w:pStyle w:val="TOC1"/>
        <w:rPr>
          <w:rFonts w:asciiTheme="minorHAnsi" w:eastAsiaTheme="minorEastAsia" w:hAnsiTheme="minorHAnsi" w:cstheme="minorBidi"/>
          <w:b w:val="0"/>
          <w:sz w:val="22"/>
        </w:rPr>
      </w:pPr>
      <w:r>
        <w:t>Proposal 7</w:t>
      </w:r>
      <w:r w:rsidRPr="00550B5E">
        <w:rPr>
          <w:rFonts w:asciiTheme="minorHAnsi" w:eastAsiaTheme="minorEastAsia" w:hAnsiTheme="minorHAnsi" w:cstheme="minorBidi"/>
          <w:b w:val="0"/>
          <w:sz w:val="22"/>
        </w:rPr>
        <w:tab/>
      </w:r>
      <w:r>
        <w:t>The parent node is provided with the information about the timing misalignment between any one of the DU UL/DL resource and any one of the MT UL/DL resource of the served IAB nodes as each IAB node measures.</w:t>
      </w:r>
    </w:p>
    <w:p w14:paraId="062B9234" w14:textId="77777777" w:rsidR="00550B5E" w:rsidRPr="00550B5E" w:rsidRDefault="00550B5E">
      <w:pPr>
        <w:pStyle w:val="TOC1"/>
        <w:rPr>
          <w:rFonts w:asciiTheme="minorHAnsi" w:eastAsiaTheme="minorEastAsia" w:hAnsiTheme="minorHAnsi" w:cstheme="minorBidi"/>
          <w:b w:val="0"/>
          <w:sz w:val="22"/>
        </w:rPr>
      </w:pPr>
      <w:r>
        <w:t>Proposal 8</w:t>
      </w:r>
      <w:r w:rsidRPr="00550B5E">
        <w:rPr>
          <w:rFonts w:asciiTheme="minorHAnsi" w:eastAsiaTheme="minorEastAsia" w:hAnsiTheme="minorHAnsi" w:cstheme="minorBidi"/>
          <w:b w:val="0"/>
          <w:sz w:val="22"/>
        </w:rPr>
        <w:tab/>
      </w:r>
      <w:r>
        <w:t xml:space="preserve">The explicit indication of the availability of soft resource is to indicate certain DU resources are “IA” for the child DU (i.e., according to the DU slot timing) by explicitly informing the IAB node that the corresponding MT resources will not be used. </w:t>
      </w:r>
    </w:p>
    <w:p w14:paraId="5094830C" w14:textId="77777777" w:rsidR="00550B5E" w:rsidRPr="00550B5E" w:rsidRDefault="00550B5E">
      <w:pPr>
        <w:pStyle w:val="TOC1"/>
        <w:rPr>
          <w:rFonts w:asciiTheme="minorHAnsi" w:eastAsiaTheme="minorEastAsia" w:hAnsiTheme="minorHAnsi" w:cstheme="minorBidi"/>
          <w:b w:val="0"/>
          <w:sz w:val="22"/>
        </w:rPr>
      </w:pPr>
      <w:r>
        <w:t>Proposal 9</w:t>
      </w:r>
      <w:r w:rsidRPr="00550B5E">
        <w:rPr>
          <w:rFonts w:asciiTheme="minorHAnsi" w:eastAsiaTheme="minorEastAsia" w:hAnsiTheme="minorHAnsi" w:cstheme="minorBidi"/>
          <w:b w:val="0"/>
          <w:sz w:val="22"/>
        </w:rPr>
        <w:tab/>
      </w:r>
      <w:r>
        <w:t xml:space="preserve">Explicit indication is not constrained to the current DCI Format 2_0. </w:t>
      </w:r>
    </w:p>
    <w:p w14:paraId="6C743900" w14:textId="77777777" w:rsidR="00550B5E" w:rsidRPr="00550B5E" w:rsidRDefault="00550B5E">
      <w:pPr>
        <w:pStyle w:val="TOC1"/>
        <w:rPr>
          <w:rFonts w:asciiTheme="minorHAnsi" w:eastAsiaTheme="minorEastAsia" w:hAnsiTheme="minorHAnsi" w:cstheme="minorBidi"/>
          <w:b w:val="0"/>
          <w:sz w:val="22"/>
        </w:rPr>
      </w:pPr>
      <w:r>
        <w:t>Proposal 10</w:t>
      </w:r>
      <w:r w:rsidRPr="00550B5E">
        <w:rPr>
          <w:rFonts w:asciiTheme="minorHAnsi" w:eastAsiaTheme="minorEastAsia" w:hAnsiTheme="minorHAnsi" w:cstheme="minorBidi"/>
          <w:b w:val="0"/>
          <w:sz w:val="22"/>
        </w:rPr>
        <w:tab/>
      </w:r>
      <w:r>
        <w:t>The processing time for applying an explicit indication at the IAB DU impacts the IAB node’s utilization rate of soft resources, which should be left to implementation.</w:t>
      </w:r>
    </w:p>
    <w:p w14:paraId="70967945" w14:textId="7E134186" w:rsidR="00C01F33" w:rsidRPr="0080122F" w:rsidRDefault="008E065E" w:rsidP="006E062C">
      <w:pPr>
        <w:rPr>
          <w:b/>
          <w:bCs/>
        </w:rPr>
      </w:pPr>
      <w:r>
        <w:rPr>
          <w:b/>
          <w:bCs/>
        </w:rPr>
        <w:fldChar w:fldCharType="end"/>
      </w:r>
    </w:p>
    <w:p w14:paraId="57B73A36" w14:textId="77777777" w:rsidR="00F507D1" w:rsidRPr="00CE0424" w:rsidRDefault="00F507D1" w:rsidP="00CE0424">
      <w:pPr>
        <w:pStyle w:val="Heading1"/>
      </w:pPr>
      <w:bookmarkStart w:id="202" w:name="_In-sequence_SDU_delivery"/>
      <w:bookmarkEnd w:id="202"/>
      <w:r w:rsidRPr="00CE0424">
        <w:t>References</w:t>
      </w:r>
    </w:p>
    <w:p w14:paraId="6EF5CF0A" w14:textId="59E33D3B" w:rsidR="003A7EF3" w:rsidRDefault="000A4D8A" w:rsidP="00D14718">
      <w:pPr>
        <w:pStyle w:val="Reference"/>
      </w:pPr>
      <w:bookmarkStart w:id="203" w:name="_Ref476919366"/>
      <w:bookmarkStart w:id="204" w:name="_Ref454459437"/>
      <w:bookmarkStart w:id="205" w:name="_Ref174151459"/>
      <w:bookmarkStart w:id="206" w:name="_Ref189809556"/>
      <w:r>
        <w:rPr>
          <w:rFonts w:cs="Arial"/>
        </w:rPr>
        <w:t xml:space="preserve">RAN1, Chairman’s Notes, </w:t>
      </w:r>
      <w:r w:rsidRPr="00344662">
        <w:rPr>
          <w:rFonts w:cs="Arial"/>
        </w:rPr>
        <w:t>3GPP TSG RAN WG1 Meeting #</w:t>
      </w:r>
      <w:r w:rsidR="00D715EE">
        <w:rPr>
          <w:rFonts w:cs="Arial"/>
        </w:rPr>
        <w:t>9</w:t>
      </w:r>
      <w:r w:rsidR="00D14718">
        <w:rPr>
          <w:rFonts w:cs="Arial"/>
        </w:rPr>
        <w:t>7</w:t>
      </w:r>
      <w:r>
        <w:rPr>
          <w:rFonts w:cs="Arial"/>
        </w:rPr>
        <w:t xml:space="preserve">, </w:t>
      </w:r>
      <w:r w:rsidR="00D14718">
        <w:rPr>
          <w:rFonts w:cs="Arial"/>
        </w:rPr>
        <w:t>May</w:t>
      </w:r>
      <w:r>
        <w:rPr>
          <w:rFonts w:cs="Arial"/>
        </w:rPr>
        <w:t xml:space="preserve"> 201</w:t>
      </w:r>
      <w:r w:rsidR="00D715EE">
        <w:rPr>
          <w:rFonts w:cs="Arial"/>
        </w:rPr>
        <w:t>9</w:t>
      </w:r>
      <w:r>
        <w:rPr>
          <w:rFonts w:cs="Arial"/>
        </w:rPr>
        <w:t>.</w:t>
      </w:r>
      <w:bookmarkEnd w:id="203"/>
      <w:bookmarkEnd w:id="204"/>
      <w:bookmarkEnd w:id="205"/>
      <w:bookmarkEnd w:id="206"/>
      <w:r w:rsidR="00D14718" w:rsidRPr="00CE0424">
        <w:t xml:space="preserve"> </w:t>
      </w:r>
    </w:p>
    <w:p w14:paraId="7DB0D95F" w14:textId="015B41B7" w:rsidR="00414085" w:rsidRDefault="00414085" w:rsidP="00D14718">
      <w:pPr>
        <w:pStyle w:val="Reference"/>
      </w:pPr>
      <w:bookmarkStart w:id="207" w:name="_Ref15894196"/>
      <w:r>
        <w:t>RAN1, Chairman’s Notes, 3</w:t>
      </w:r>
      <w:r w:rsidR="00FF3265">
        <w:t>GPP TSG RAN WG1 Meeting Ad-Hoc Meeting 1901, January 2019.</w:t>
      </w:r>
      <w:bookmarkEnd w:id="207"/>
    </w:p>
    <w:p w14:paraId="642FCEB5" w14:textId="685F551B" w:rsidR="008A1E72" w:rsidRDefault="008A1E72" w:rsidP="00D14718">
      <w:pPr>
        <w:pStyle w:val="Reference"/>
      </w:pPr>
      <w:bookmarkStart w:id="208" w:name="_Ref15891845"/>
      <w:r>
        <w:t xml:space="preserve">R1-1907267, </w:t>
      </w:r>
      <w:r w:rsidR="000665F1">
        <w:t>Updated IAB resource management framework, Qualcomm Incorporated, May 2019.</w:t>
      </w:r>
      <w:bookmarkEnd w:id="208"/>
    </w:p>
    <w:p w14:paraId="0CBE3C6C" w14:textId="519CAF55" w:rsidR="007756AD" w:rsidRDefault="007756AD" w:rsidP="00D14718">
      <w:pPr>
        <w:pStyle w:val="Reference"/>
      </w:pPr>
      <w:bookmarkStart w:id="209" w:name="_Ref15562831"/>
      <w:r>
        <w:lastRenderedPageBreak/>
        <w:t xml:space="preserve">3GPP </w:t>
      </w:r>
      <w:r w:rsidRPr="007756AD">
        <w:t>TS 38.213, NR; Physical layer procedure for control, V15.5.0, March 2019.</w:t>
      </w:r>
      <w:bookmarkEnd w:id="209"/>
    </w:p>
    <w:p w14:paraId="719F98E6" w14:textId="65793281" w:rsidR="00583EF8" w:rsidRDefault="00BD1CC4" w:rsidP="00D14718">
      <w:pPr>
        <w:pStyle w:val="Reference"/>
      </w:pPr>
      <w:bookmarkStart w:id="210" w:name="_Ref15301775"/>
      <w:r>
        <w:t xml:space="preserve">3GPP </w:t>
      </w:r>
      <w:r w:rsidR="00583EF8">
        <w:t>TR</w:t>
      </w:r>
      <w:r w:rsidR="003A5AED">
        <w:t xml:space="preserve"> 38.874, </w:t>
      </w:r>
      <w:r w:rsidR="00E4714D" w:rsidRPr="00E4714D">
        <w:t>NR; Study on integrated access and backhaul</w:t>
      </w:r>
      <w:r w:rsidR="00B6159A">
        <w:t>, V1</w:t>
      </w:r>
      <w:r>
        <w:t>6</w:t>
      </w:r>
      <w:r w:rsidR="00B6159A">
        <w:t xml:space="preserve">.0.0, </w:t>
      </w:r>
      <w:r>
        <w:t xml:space="preserve">December </w:t>
      </w:r>
      <w:r w:rsidR="00B6159A">
        <w:t>2018.</w:t>
      </w:r>
      <w:bookmarkEnd w:id="210"/>
    </w:p>
    <w:p w14:paraId="75936EE1" w14:textId="76B4A217" w:rsidR="000033BA" w:rsidRPr="00CE0424" w:rsidRDefault="000033BA" w:rsidP="00D14718">
      <w:pPr>
        <w:pStyle w:val="Reference"/>
      </w:pPr>
      <w:bookmarkStart w:id="211" w:name="_Ref3380850"/>
      <w:r>
        <w:rPr>
          <w:rFonts w:cs="Arial"/>
        </w:rPr>
        <w:t>3GPP TS 38.212, NR; Multiplexing and channel coding, V 15.4.0, December 2018.</w:t>
      </w:r>
      <w:bookmarkEnd w:id="211"/>
    </w:p>
    <w:sectPr w:rsidR="000033BA"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21394" w14:textId="77777777" w:rsidR="00CD451C" w:rsidRDefault="00CD451C">
      <w:r>
        <w:separator/>
      </w:r>
    </w:p>
  </w:endnote>
  <w:endnote w:type="continuationSeparator" w:id="0">
    <w:p w14:paraId="0DD5DAF6" w14:textId="77777777" w:rsidR="00CD451C" w:rsidRDefault="00CD451C">
      <w:r>
        <w:continuationSeparator/>
      </w:r>
    </w:p>
  </w:endnote>
  <w:endnote w:type="continuationNotice" w:id="1">
    <w:p w14:paraId="3BCD7120" w14:textId="77777777" w:rsidR="00CD451C" w:rsidRDefault="00CD4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AA1B6" w14:textId="77777777" w:rsidR="00CD451C" w:rsidRDefault="00CD451C">
      <w:r>
        <w:separator/>
      </w:r>
    </w:p>
  </w:footnote>
  <w:footnote w:type="continuationSeparator" w:id="0">
    <w:p w14:paraId="47B21DCD" w14:textId="77777777" w:rsidR="00CD451C" w:rsidRDefault="00CD451C">
      <w:r>
        <w:continuationSeparator/>
      </w:r>
    </w:p>
  </w:footnote>
  <w:footnote w:type="continuationNotice" w:id="1">
    <w:p w14:paraId="5FB513E7" w14:textId="77777777" w:rsidR="00CD451C" w:rsidRDefault="00CD4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4A2584"/>
    <w:multiLevelType w:val="hybridMultilevel"/>
    <w:tmpl w:val="D9C4B822"/>
    <w:lvl w:ilvl="0" w:tplc="64AC7DB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E10058"/>
    <w:multiLevelType w:val="hybridMultilevel"/>
    <w:tmpl w:val="A2F06D34"/>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1700A9"/>
    <w:multiLevelType w:val="hybridMultilevel"/>
    <w:tmpl w:val="E968E37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5B0B04"/>
    <w:multiLevelType w:val="hybridMultilevel"/>
    <w:tmpl w:val="81FAC3FE"/>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D44A91"/>
    <w:multiLevelType w:val="hybridMultilevel"/>
    <w:tmpl w:val="CB18E19C"/>
    <w:lvl w:ilvl="0" w:tplc="7616A4F8">
      <w:numFmt w:val="bullet"/>
      <w:lvlText w:val="-"/>
      <w:lvlJc w:val="left"/>
      <w:pPr>
        <w:ind w:left="919" w:hanging="360"/>
      </w:pPr>
      <w:rPr>
        <w:rFonts w:ascii="Arial" w:eastAsia="Times New Roman" w:hAnsi="Arial" w:cs="Arial" w:hint="default"/>
      </w:rPr>
    </w:lvl>
    <w:lvl w:ilvl="1" w:tplc="041D0003" w:tentative="1">
      <w:start w:val="1"/>
      <w:numFmt w:val="bullet"/>
      <w:lvlText w:val="o"/>
      <w:lvlJc w:val="left"/>
      <w:pPr>
        <w:ind w:left="1639" w:hanging="360"/>
      </w:pPr>
      <w:rPr>
        <w:rFonts w:ascii="Courier New" w:hAnsi="Courier New" w:cs="Courier New" w:hint="default"/>
      </w:rPr>
    </w:lvl>
    <w:lvl w:ilvl="2" w:tplc="041D0005" w:tentative="1">
      <w:start w:val="1"/>
      <w:numFmt w:val="bullet"/>
      <w:lvlText w:val=""/>
      <w:lvlJc w:val="left"/>
      <w:pPr>
        <w:ind w:left="2359" w:hanging="360"/>
      </w:pPr>
      <w:rPr>
        <w:rFonts w:ascii="Wingdings" w:hAnsi="Wingdings" w:hint="default"/>
      </w:rPr>
    </w:lvl>
    <w:lvl w:ilvl="3" w:tplc="041D0001" w:tentative="1">
      <w:start w:val="1"/>
      <w:numFmt w:val="bullet"/>
      <w:lvlText w:val=""/>
      <w:lvlJc w:val="left"/>
      <w:pPr>
        <w:ind w:left="3079" w:hanging="360"/>
      </w:pPr>
      <w:rPr>
        <w:rFonts w:ascii="Symbol" w:hAnsi="Symbol" w:hint="default"/>
      </w:rPr>
    </w:lvl>
    <w:lvl w:ilvl="4" w:tplc="041D0003" w:tentative="1">
      <w:start w:val="1"/>
      <w:numFmt w:val="bullet"/>
      <w:lvlText w:val="o"/>
      <w:lvlJc w:val="left"/>
      <w:pPr>
        <w:ind w:left="3799" w:hanging="360"/>
      </w:pPr>
      <w:rPr>
        <w:rFonts w:ascii="Courier New" w:hAnsi="Courier New" w:cs="Courier New" w:hint="default"/>
      </w:rPr>
    </w:lvl>
    <w:lvl w:ilvl="5" w:tplc="041D0005" w:tentative="1">
      <w:start w:val="1"/>
      <w:numFmt w:val="bullet"/>
      <w:lvlText w:val=""/>
      <w:lvlJc w:val="left"/>
      <w:pPr>
        <w:ind w:left="4519" w:hanging="360"/>
      </w:pPr>
      <w:rPr>
        <w:rFonts w:ascii="Wingdings" w:hAnsi="Wingdings" w:hint="default"/>
      </w:rPr>
    </w:lvl>
    <w:lvl w:ilvl="6" w:tplc="041D0001" w:tentative="1">
      <w:start w:val="1"/>
      <w:numFmt w:val="bullet"/>
      <w:lvlText w:val=""/>
      <w:lvlJc w:val="left"/>
      <w:pPr>
        <w:ind w:left="5239" w:hanging="360"/>
      </w:pPr>
      <w:rPr>
        <w:rFonts w:ascii="Symbol" w:hAnsi="Symbol" w:hint="default"/>
      </w:rPr>
    </w:lvl>
    <w:lvl w:ilvl="7" w:tplc="041D0003" w:tentative="1">
      <w:start w:val="1"/>
      <w:numFmt w:val="bullet"/>
      <w:lvlText w:val="o"/>
      <w:lvlJc w:val="left"/>
      <w:pPr>
        <w:ind w:left="5959" w:hanging="360"/>
      </w:pPr>
      <w:rPr>
        <w:rFonts w:ascii="Courier New" w:hAnsi="Courier New" w:cs="Courier New" w:hint="default"/>
      </w:rPr>
    </w:lvl>
    <w:lvl w:ilvl="8" w:tplc="041D0005" w:tentative="1">
      <w:start w:val="1"/>
      <w:numFmt w:val="bullet"/>
      <w:lvlText w:val=""/>
      <w:lvlJc w:val="left"/>
      <w:pPr>
        <w:ind w:left="6679"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172C3"/>
    <w:multiLevelType w:val="hybridMultilevel"/>
    <w:tmpl w:val="3C6EBEA0"/>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38DB6BBE"/>
    <w:multiLevelType w:val="hybridMultilevel"/>
    <w:tmpl w:val="5CBAA5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2A70CA"/>
    <w:multiLevelType w:val="hybridMultilevel"/>
    <w:tmpl w:val="BE680B2A"/>
    <w:lvl w:ilvl="0" w:tplc="B892650C">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CA4CCC"/>
    <w:multiLevelType w:val="hybridMultilevel"/>
    <w:tmpl w:val="C638F706"/>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A5FFC"/>
    <w:multiLevelType w:val="hybridMultilevel"/>
    <w:tmpl w:val="24AC4F54"/>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67633"/>
    <w:multiLevelType w:val="hybridMultilevel"/>
    <w:tmpl w:val="A4E0BFE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F6E4B"/>
    <w:multiLevelType w:val="hybridMultilevel"/>
    <w:tmpl w:val="E2821C4E"/>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3D02739"/>
    <w:multiLevelType w:val="hybridMultilevel"/>
    <w:tmpl w:val="CC0ED8A6"/>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8E558F"/>
    <w:multiLevelType w:val="hybridMultilevel"/>
    <w:tmpl w:val="32DA3668"/>
    <w:lvl w:ilvl="0" w:tplc="28EC57CE">
      <w:start w:val="1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725B18"/>
    <w:multiLevelType w:val="hybridMultilevel"/>
    <w:tmpl w:val="CC1E182A"/>
    <w:lvl w:ilvl="0" w:tplc="4E5CA9E4">
      <w:numFmt w:val="bullet"/>
      <w:lvlText w:val="-"/>
      <w:lvlJc w:val="left"/>
      <w:pPr>
        <w:ind w:left="2061" w:hanging="360"/>
      </w:pPr>
      <w:rPr>
        <w:rFonts w:ascii="Times New Roman" w:eastAsia="MS Mincho"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2" w15:restartNumberingAfterBreak="0">
    <w:nsid w:val="6B777C69"/>
    <w:multiLevelType w:val="hybridMultilevel"/>
    <w:tmpl w:val="382679D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B13050"/>
    <w:multiLevelType w:val="hybridMultilevel"/>
    <w:tmpl w:val="49A82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B350C9"/>
    <w:multiLevelType w:val="hybridMultilevel"/>
    <w:tmpl w:val="F8546014"/>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6"/>
  </w:num>
  <w:num w:numId="4">
    <w:abstractNumId w:val="18"/>
  </w:num>
  <w:num w:numId="5">
    <w:abstractNumId w:val="12"/>
  </w:num>
  <w:num w:numId="6">
    <w:abstractNumId w:val="21"/>
  </w:num>
  <w:num w:numId="7">
    <w:abstractNumId w:val="29"/>
  </w:num>
  <w:num w:numId="8">
    <w:abstractNumId w:val="13"/>
  </w:num>
  <w:num w:numId="9">
    <w:abstractNumId w:val="10"/>
  </w:num>
  <w:num w:numId="10">
    <w:abstractNumId w:val="3"/>
  </w:num>
  <w:num w:numId="11">
    <w:abstractNumId w:val="2"/>
  </w:num>
  <w:num w:numId="12">
    <w:abstractNumId w:val="1"/>
  </w:num>
  <w:num w:numId="13">
    <w:abstractNumId w:val="26"/>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7"/>
  </w:num>
  <w:num w:numId="18">
    <w:abstractNumId w:val="34"/>
  </w:num>
  <w:num w:numId="19">
    <w:abstractNumId w:val="23"/>
  </w:num>
  <w:num w:numId="20">
    <w:abstractNumId w:val="32"/>
  </w:num>
  <w:num w:numId="21">
    <w:abstractNumId w:val="7"/>
  </w:num>
  <w:num w:numId="22">
    <w:abstractNumId w:val="4"/>
  </w:num>
  <w:num w:numId="23">
    <w:abstractNumId w:val="9"/>
  </w:num>
  <w:num w:numId="24">
    <w:abstractNumId w:val="24"/>
  </w:num>
  <w:num w:numId="25">
    <w:abstractNumId w:val="15"/>
  </w:num>
  <w:num w:numId="26">
    <w:abstractNumId w:val="6"/>
  </w:num>
  <w:num w:numId="27">
    <w:abstractNumId w:val="30"/>
  </w:num>
  <w:num w:numId="28">
    <w:abstractNumId w:val="8"/>
  </w:num>
  <w:num w:numId="29">
    <w:abstractNumId w:val="11"/>
  </w:num>
  <w:num w:numId="30">
    <w:abstractNumId w:val="33"/>
  </w:num>
  <w:num w:numId="31">
    <w:abstractNumId w:val="28"/>
  </w:num>
  <w:num w:numId="32">
    <w:abstractNumId w:val="14"/>
  </w:num>
  <w:num w:numId="33">
    <w:abstractNumId w:val="20"/>
  </w:num>
  <w:num w:numId="34">
    <w:abstractNumId w:val="31"/>
  </w:num>
  <w:num w:numId="35">
    <w:abstractNumId w:val="22"/>
  </w:num>
  <w:num w:numId="36">
    <w:abstractNumId w:val="36"/>
  </w:num>
  <w:num w:numId="37">
    <w:abstractNumId w:val="35"/>
  </w:num>
  <w:num w:numId="3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3A"/>
    <w:rsid w:val="000006E1"/>
    <w:rsid w:val="000024F9"/>
    <w:rsid w:val="00002A37"/>
    <w:rsid w:val="00002F31"/>
    <w:rsid w:val="000033BA"/>
    <w:rsid w:val="000044FD"/>
    <w:rsid w:val="00006446"/>
    <w:rsid w:val="00006896"/>
    <w:rsid w:val="0000721C"/>
    <w:rsid w:val="00007606"/>
    <w:rsid w:val="00007811"/>
    <w:rsid w:val="00007CDC"/>
    <w:rsid w:val="000100F0"/>
    <w:rsid w:val="0001126F"/>
    <w:rsid w:val="00011B28"/>
    <w:rsid w:val="000121EA"/>
    <w:rsid w:val="0001314F"/>
    <w:rsid w:val="0001387F"/>
    <w:rsid w:val="000147C1"/>
    <w:rsid w:val="00014E6F"/>
    <w:rsid w:val="00015665"/>
    <w:rsid w:val="00015D15"/>
    <w:rsid w:val="00016DD5"/>
    <w:rsid w:val="00020B44"/>
    <w:rsid w:val="00021083"/>
    <w:rsid w:val="000218F2"/>
    <w:rsid w:val="00024453"/>
    <w:rsid w:val="0002531D"/>
    <w:rsid w:val="000253EF"/>
    <w:rsid w:val="0002564D"/>
    <w:rsid w:val="00025B47"/>
    <w:rsid w:val="00025ECA"/>
    <w:rsid w:val="00030F1E"/>
    <w:rsid w:val="000312C3"/>
    <w:rsid w:val="000323B1"/>
    <w:rsid w:val="000325B8"/>
    <w:rsid w:val="0003371D"/>
    <w:rsid w:val="00034C15"/>
    <w:rsid w:val="0003564A"/>
    <w:rsid w:val="00035FF5"/>
    <w:rsid w:val="00036371"/>
    <w:rsid w:val="000363C8"/>
    <w:rsid w:val="00036BA1"/>
    <w:rsid w:val="000373C2"/>
    <w:rsid w:val="000422E2"/>
    <w:rsid w:val="00042D1F"/>
    <w:rsid w:val="00042F22"/>
    <w:rsid w:val="000444EF"/>
    <w:rsid w:val="00047DC6"/>
    <w:rsid w:val="000508D5"/>
    <w:rsid w:val="00052A07"/>
    <w:rsid w:val="000534E3"/>
    <w:rsid w:val="00053E89"/>
    <w:rsid w:val="0005550C"/>
    <w:rsid w:val="0005606A"/>
    <w:rsid w:val="00057117"/>
    <w:rsid w:val="00057607"/>
    <w:rsid w:val="00057835"/>
    <w:rsid w:val="000610BD"/>
    <w:rsid w:val="000616E7"/>
    <w:rsid w:val="00063B3C"/>
    <w:rsid w:val="0006487E"/>
    <w:rsid w:val="00065E1A"/>
    <w:rsid w:val="000665F1"/>
    <w:rsid w:val="000714FB"/>
    <w:rsid w:val="000723A7"/>
    <w:rsid w:val="000733E3"/>
    <w:rsid w:val="0007340D"/>
    <w:rsid w:val="000744DE"/>
    <w:rsid w:val="000768CB"/>
    <w:rsid w:val="00077E5F"/>
    <w:rsid w:val="0008036A"/>
    <w:rsid w:val="00081AE6"/>
    <w:rsid w:val="00082E01"/>
    <w:rsid w:val="000855EB"/>
    <w:rsid w:val="00085B52"/>
    <w:rsid w:val="000866F2"/>
    <w:rsid w:val="0008793E"/>
    <w:rsid w:val="00090075"/>
    <w:rsid w:val="0009009F"/>
    <w:rsid w:val="00091557"/>
    <w:rsid w:val="000924C1"/>
    <w:rsid w:val="000924F0"/>
    <w:rsid w:val="00093474"/>
    <w:rsid w:val="00093AA7"/>
    <w:rsid w:val="0009510F"/>
    <w:rsid w:val="00097C53"/>
    <w:rsid w:val="000A1B7B"/>
    <w:rsid w:val="000A4D8A"/>
    <w:rsid w:val="000A50C8"/>
    <w:rsid w:val="000A56F2"/>
    <w:rsid w:val="000A686D"/>
    <w:rsid w:val="000B1DBD"/>
    <w:rsid w:val="000B1F40"/>
    <w:rsid w:val="000B2609"/>
    <w:rsid w:val="000B2719"/>
    <w:rsid w:val="000B3A8F"/>
    <w:rsid w:val="000B4AB9"/>
    <w:rsid w:val="000B58C3"/>
    <w:rsid w:val="000B61E9"/>
    <w:rsid w:val="000C165A"/>
    <w:rsid w:val="000C2E19"/>
    <w:rsid w:val="000C4765"/>
    <w:rsid w:val="000C680E"/>
    <w:rsid w:val="000C76FA"/>
    <w:rsid w:val="000D0BF6"/>
    <w:rsid w:val="000D0D07"/>
    <w:rsid w:val="000D4101"/>
    <w:rsid w:val="000D4797"/>
    <w:rsid w:val="000D5057"/>
    <w:rsid w:val="000D6A62"/>
    <w:rsid w:val="000E0527"/>
    <w:rsid w:val="000E18B2"/>
    <w:rsid w:val="000E1E92"/>
    <w:rsid w:val="000E6818"/>
    <w:rsid w:val="000F06D6"/>
    <w:rsid w:val="000F0EB1"/>
    <w:rsid w:val="000F1106"/>
    <w:rsid w:val="000F3BE9"/>
    <w:rsid w:val="000F3F6C"/>
    <w:rsid w:val="000F46B5"/>
    <w:rsid w:val="000F5A64"/>
    <w:rsid w:val="000F5C54"/>
    <w:rsid w:val="000F6DF3"/>
    <w:rsid w:val="000F7136"/>
    <w:rsid w:val="000F7AE2"/>
    <w:rsid w:val="000F7F4C"/>
    <w:rsid w:val="001005FF"/>
    <w:rsid w:val="001024C6"/>
    <w:rsid w:val="001041D4"/>
    <w:rsid w:val="00104B48"/>
    <w:rsid w:val="001062FB"/>
    <w:rsid w:val="001063E6"/>
    <w:rsid w:val="00107C20"/>
    <w:rsid w:val="00111C4B"/>
    <w:rsid w:val="00113CF4"/>
    <w:rsid w:val="00113E21"/>
    <w:rsid w:val="001144D7"/>
    <w:rsid w:val="00114DF9"/>
    <w:rsid w:val="001153EA"/>
    <w:rsid w:val="00115643"/>
    <w:rsid w:val="00115C6C"/>
    <w:rsid w:val="00116765"/>
    <w:rsid w:val="00116C6F"/>
    <w:rsid w:val="001219F5"/>
    <w:rsid w:val="00121A20"/>
    <w:rsid w:val="0012206B"/>
    <w:rsid w:val="001229DE"/>
    <w:rsid w:val="0012377F"/>
    <w:rsid w:val="00124314"/>
    <w:rsid w:val="001257D2"/>
    <w:rsid w:val="00125E29"/>
    <w:rsid w:val="001264F5"/>
    <w:rsid w:val="00126B4A"/>
    <w:rsid w:val="001301C2"/>
    <w:rsid w:val="0013145D"/>
    <w:rsid w:val="00131D2B"/>
    <w:rsid w:val="00132FD0"/>
    <w:rsid w:val="0013352C"/>
    <w:rsid w:val="001344C0"/>
    <w:rsid w:val="001346FA"/>
    <w:rsid w:val="00134F18"/>
    <w:rsid w:val="0013519A"/>
    <w:rsid w:val="00135252"/>
    <w:rsid w:val="0013558E"/>
    <w:rsid w:val="00137AB5"/>
    <w:rsid w:val="00137B98"/>
    <w:rsid w:val="00137F0B"/>
    <w:rsid w:val="001409C8"/>
    <w:rsid w:val="00140CBB"/>
    <w:rsid w:val="001506A8"/>
    <w:rsid w:val="00151E23"/>
    <w:rsid w:val="001521A7"/>
    <w:rsid w:val="001526E0"/>
    <w:rsid w:val="0015375A"/>
    <w:rsid w:val="001538E6"/>
    <w:rsid w:val="00154D9D"/>
    <w:rsid w:val="00154DBC"/>
    <w:rsid w:val="001551B5"/>
    <w:rsid w:val="00163C41"/>
    <w:rsid w:val="00164B66"/>
    <w:rsid w:val="00164E79"/>
    <w:rsid w:val="001659C1"/>
    <w:rsid w:val="0016785F"/>
    <w:rsid w:val="00171CDD"/>
    <w:rsid w:val="00172410"/>
    <w:rsid w:val="00173331"/>
    <w:rsid w:val="00173A8E"/>
    <w:rsid w:val="00176C59"/>
    <w:rsid w:val="0017708F"/>
    <w:rsid w:val="00177795"/>
    <w:rsid w:val="00180C6E"/>
    <w:rsid w:val="0018143F"/>
    <w:rsid w:val="0018187B"/>
    <w:rsid w:val="00182FEB"/>
    <w:rsid w:val="00184586"/>
    <w:rsid w:val="0018621F"/>
    <w:rsid w:val="00186768"/>
    <w:rsid w:val="00187DFB"/>
    <w:rsid w:val="00190AC1"/>
    <w:rsid w:val="00190CEA"/>
    <w:rsid w:val="0019341A"/>
    <w:rsid w:val="00197DF9"/>
    <w:rsid w:val="001A089F"/>
    <w:rsid w:val="001A1987"/>
    <w:rsid w:val="001A1D9A"/>
    <w:rsid w:val="001A2564"/>
    <w:rsid w:val="001A295F"/>
    <w:rsid w:val="001A312F"/>
    <w:rsid w:val="001A3B5D"/>
    <w:rsid w:val="001A465C"/>
    <w:rsid w:val="001A5A6A"/>
    <w:rsid w:val="001A6173"/>
    <w:rsid w:val="001A6CBA"/>
    <w:rsid w:val="001B0D97"/>
    <w:rsid w:val="001B5A5D"/>
    <w:rsid w:val="001C0230"/>
    <w:rsid w:val="001C02E6"/>
    <w:rsid w:val="001C03BB"/>
    <w:rsid w:val="001C07AD"/>
    <w:rsid w:val="001C1CE5"/>
    <w:rsid w:val="001C3D2A"/>
    <w:rsid w:val="001D403B"/>
    <w:rsid w:val="001D51BA"/>
    <w:rsid w:val="001D6342"/>
    <w:rsid w:val="001D69B3"/>
    <w:rsid w:val="001D6D53"/>
    <w:rsid w:val="001D7586"/>
    <w:rsid w:val="001E11F4"/>
    <w:rsid w:val="001E167D"/>
    <w:rsid w:val="001E2CD1"/>
    <w:rsid w:val="001E38D4"/>
    <w:rsid w:val="001E58E2"/>
    <w:rsid w:val="001E7AED"/>
    <w:rsid w:val="001E7C07"/>
    <w:rsid w:val="001F0BF5"/>
    <w:rsid w:val="001F2871"/>
    <w:rsid w:val="001F3916"/>
    <w:rsid w:val="001F4FEF"/>
    <w:rsid w:val="001F50B6"/>
    <w:rsid w:val="001F54B2"/>
    <w:rsid w:val="001F54C5"/>
    <w:rsid w:val="001F63AB"/>
    <w:rsid w:val="001F662C"/>
    <w:rsid w:val="001F7074"/>
    <w:rsid w:val="001F7EAD"/>
    <w:rsid w:val="00200490"/>
    <w:rsid w:val="00201F3A"/>
    <w:rsid w:val="00202039"/>
    <w:rsid w:val="002027F3"/>
    <w:rsid w:val="00202E52"/>
    <w:rsid w:val="00203F96"/>
    <w:rsid w:val="002063B5"/>
    <w:rsid w:val="002069B2"/>
    <w:rsid w:val="00207FA3"/>
    <w:rsid w:val="0021061C"/>
    <w:rsid w:val="0021491D"/>
    <w:rsid w:val="00214A30"/>
    <w:rsid w:val="00214DA8"/>
    <w:rsid w:val="00214E08"/>
    <w:rsid w:val="00215423"/>
    <w:rsid w:val="002158FA"/>
    <w:rsid w:val="00215DC2"/>
    <w:rsid w:val="00220600"/>
    <w:rsid w:val="00221329"/>
    <w:rsid w:val="002224DB"/>
    <w:rsid w:val="00223FCB"/>
    <w:rsid w:val="002252C3"/>
    <w:rsid w:val="00225A8A"/>
    <w:rsid w:val="00225C54"/>
    <w:rsid w:val="00227F1D"/>
    <w:rsid w:val="00230115"/>
    <w:rsid w:val="00230765"/>
    <w:rsid w:val="002319E4"/>
    <w:rsid w:val="00234D9C"/>
    <w:rsid w:val="00235632"/>
    <w:rsid w:val="00235872"/>
    <w:rsid w:val="00236CF7"/>
    <w:rsid w:val="002374FA"/>
    <w:rsid w:val="00241507"/>
    <w:rsid w:val="00241559"/>
    <w:rsid w:val="002435B3"/>
    <w:rsid w:val="002458EB"/>
    <w:rsid w:val="00247DC5"/>
    <w:rsid w:val="002500C8"/>
    <w:rsid w:val="00250F1A"/>
    <w:rsid w:val="00251C43"/>
    <w:rsid w:val="00252F20"/>
    <w:rsid w:val="002544FF"/>
    <w:rsid w:val="00256CD4"/>
    <w:rsid w:val="00257543"/>
    <w:rsid w:val="0025795E"/>
    <w:rsid w:val="00261180"/>
    <w:rsid w:val="002617E7"/>
    <w:rsid w:val="00264228"/>
    <w:rsid w:val="00264334"/>
    <w:rsid w:val="0026473E"/>
    <w:rsid w:val="00266214"/>
    <w:rsid w:val="0026693A"/>
    <w:rsid w:val="00267C83"/>
    <w:rsid w:val="00271373"/>
    <w:rsid w:val="0027144F"/>
    <w:rsid w:val="00271BED"/>
    <w:rsid w:val="00271E8E"/>
    <w:rsid w:val="00271F3A"/>
    <w:rsid w:val="00273278"/>
    <w:rsid w:val="002737F4"/>
    <w:rsid w:val="00274305"/>
    <w:rsid w:val="00274922"/>
    <w:rsid w:val="002767D9"/>
    <w:rsid w:val="002778FD"/>
    <w:rsid w:val="00277F3E"/>
    <w:rsid w:val="002805F5"/>
    <w:rsid w:val="00280751"/>
    <w:rsid w:val="002820AC"/>
    <w:rsid w:val="00282776"/>
    <w:rsid w:val="0028280A"/>
    <w:rsid w:val="00284A2A"/>
    <w:rsid w:val="002867CB"/>
    <w:rsid w:val="00286ACD"/>
    <w:rsid w:val="002873E6"/>
    <w:rsid w:val="00287838"/>
    <w:rsid w:val="002907B5"/>
    <w:rsid w:val="002928AD"/>
    <w:rsid w:val="00292EB7"/>
    <w:rsid w:val="00293B5D"/>
    <w:rsid w:val="00294786"/>
    <w:rsid w:val="00295CD5"/>
    <w:rsid w:val="00296227"/>
    <w:rsid w:val="0029667C"/>
    <w:rsid w:val="00296F44"/>
    <w:rsid w:val="0029777D"/>
    <w:rsid w:val="002A055E"/>
    <w:rsid w:val="002A1D4E"/>
    <w:rsid w:val="002A1DC7"/>
    <w:rsid w:val="002A2869"/>
    <w:rsid w:val="002A6730"/>
    <w:rsid w:val="002A7C5F"/>
    <w:rsid w:val="002A7C7F"/>
    <w:rsid w:val="002B0DF5"/>
    <w:rsid w:val="002B1BE4"/>
    <w:rsid w:val="002B24D6"/>
    <w:rsid w:val="002C0B71"/>
    <w:rsid w:val="002C0D68"/>
    <w:rsid w:val="002C12B6"/>
    <w:rsid w:val="002C2333"/>
    <w:rsid w:val="002C234A"/>
    <w:rsid w:val="002C41E6"/>
    <w:rsid w:val="002C5BA4"/>
    <w:rsid w:val="002C5E15"/>
    <w:rsid w:val="002D071A"/>
    <w:rsid w:val="002D0B98"/>
    <w:rsid w:val="002D31EB"/>
    <w:rsid w:val="002D34B2"/>
    <w:rsid w:val="002D5315"/>
    <w:rsid w:val="002D7637"/>
    <w:rsid w:val="002D78D9"/>
    <w:rsid w:val="002D7E6B"/>
    <w:rsid w:val="002E03C7"/>
    <w:rsid w:val="002E07B0"/>
    <w:rsid w:val="002E17F2"/>
    <w:rsid w:val="002E4FB1"/>
    <w:rsid w:val="002E5562"/>
    <w:rsid w:val="002E5596"/>
    <w:rsid w:val="002E6804"/>
    <w:rsid w:val="002E7859"/>
    <w:rsid w:val="002E7CAE"/>
    <w:rsid w:val="002F2276"/>
    <w:rsid w:val="002F2771"/>
    <w:rsid w:val="002F3639"/>
    <w:rsid w:val="002F37A9"/>
    <w:rsid w:val="002F734F"/>
    <w:rsid w:val="0030025F"/>
    <w:rsid w:val="00300913"/>
    <w:rsid w:val="003014A4"/>
    <w:rsid w:val="00301CE6"/>
    <w:rsid w:val="00302170"/>
    <w:rsid w:val="0030256B"/>
    <w:rsid w:val="00303BF2"/>
    <w:rsid w:val="003042B2"/>
    <w:rsid w:val="00304BD5"/>
    <w:rsid w:val="0030501F"/>
    <w:rsid w:val="00307BA1"/>
    <w:rsid w:val="0031077B"/>
    <w:rsid w:val="00311702"/>
    <w:rsid w:val="003117F7"/>
    <w:rsid w:val="00311E82"/>
    <w:rsid w:val="00312389"/>
    <w:rsid w:val="0031328D"/>
    <w:rsid w:val="00313FD6"/>
    <w:rsid w:val="003141C5"/>
    <w:rsid w:val="003143BD"/>
    <w:rsid w:val="00317772"/>
    <w:rsid w:val="00317B40"/>
    <w:rsid w:val="003203ED"/>
    <w:rsid w:val="00321688"/>
    <w:rsid w:val="003229E1"/>
    <w:rsid w:val="00322C9F"/>
    <w:rsid w:val="003234E3"/>
    <w:rsid w:val="00323A10"/>
    <w:rsid w:val="00324D23"/>
    <w:rsid w:val="00326116"/>
    <w:rsid w:val="0032619E"/>
    <w:rsid w:val="00326DC0"/>
    <w:rsid w:val="003275CD"/>
    <w:rsid w:val="00331751"/>
    <w:rsid w:val="00334579"/>
    <w:rsid w:val="00335858"/>
    <w:rsid w:val="00336230"/>
    <w:rsid w:val="0033676E"/>
    <w:rsid w:val="00336BDA"/>
    <w:rsid w:val="0033702D"/>
    <w:rsid w:val="00340335"/>
    <w:rsid w:val="0034062B"/>
    <w:rsid w:val="0034124A"/>
    <w:rsid w:val="00341F62"/>
    <w:rsid w:val="00342BD7"/>
    <w:rsid w:val="00343A07"/>
    <w:rsid w:val="00344F21"/>
    <w:rsid w:val="00345322"/>
    <w:rsid w:val="003467C5"/>
    <w:rsid w:val="00346DB5"/>
    <w:rsid w:val="00347331"/>
    <w:rsid w:val="003477B1"/>
    <w:rsid w:val="003531ED"/>
    <w:rsid w:val="00356C6F"/>
    <w:rsid w:val="003572A5"/>
    <w:rsid w:val="00357380"/>
    <w:rsid w:val="00357979"/>
    <w:rsid w:val="003602D9"/>
    <w:rsid w:val="003604CE"/>
    <w:rsid w:val="00360B5C"/>
    <w:rsid w:val="00363407"/>
    <w:rsid w:val="00364242"/>
    <w:rsid w:val="00367A76"/>
    <w:rsid w:val="00367BF6"/>
    <w:rsid w:val="00370E47"/>
    <w:rsid w:val="003734BB"/>
    <w:rsid w:val="003742AC"/>
    <w:rsid w:val="00375760"/>
    <w:rsid w:val="0037640E"/>
    <w:rsid w:val="00376A8D"/>
    <w:rsid w:val="00377069"/>
    <w:rsid w:val="00377210"/>
    <w:rsid w:val="00377CE1"/>
    <w:rsid w:val="00381867"/>
    <w:rsid w:val="003823C9"/>
    <w:rsid w:val="00385BF0"/>
    <w:rsid w:val="003939FF"/>
    <w:rsid w:val="003948BF"/>
    <w:rsid w:val="00394C82"/>
    <w:rsid w:val="00394CB8"/>
    <w:rsid w:val="00395D97"/>
    <w:rsid w:val="00396077"/>
    <w:rsid w:val="0039762E"/>
    <w:rsid w:val="00397D89"/>
    <w:rsid w:val="003A0C10"/>
    <w:rsid w:val="003A1476"/>
    <w:rsid w:val="003A1A10"/>
    <w:rsid w:val="003A2223"/>
    <w:rsid w:val="003A225B"/>
    <w:rsid w:val="003A2A0F"/>
    <w:rsid w:val="003A45A1"/>
    <w:rsid w:val="003A5AED"/>
    <w:rsid w:val="003A5B0A"/>
    <w:rsid w:val="003A6437"/>
    <w:rsid w:val="003A6BAC"/>
    <w:rsid w:val="003A7EF3"/>
    <w:rsid w:val="003B159C"/>
    <w:rsid w:val="003B2426"/>
    <w:rsid w:val="003B3232"/>
    <w:rsid w:val="003B369F"/>
    <w:rsid w:val="003B36A3"/>
    <w:rsid w:val="003B3CD4"/>
    <w:rsid w:val="003B3FCB"/>
    <w:rsid w:val="003B527F"/>
    <w:rsid w:val="003B5B89"/>
    <w:rsid w:val="003B7FE5"/>
    <w:rsid w:val="003C0B53"/>
    <w:rsid w:val="003C11C8"/>
    <w:rsid w:val="003C2702"/>
    <w:rsid w:val="003C3336"/>
    <w:rsid w:val="003C3352"/>
    <w:rsid w:val="003C3C52"/>
    <w:rsid w:val="003C4EDC"/>
    <w:rsid w:val="003C5035"/>
    <w:rsid w:val="003C7806"/>
    <w:rsid w:val="003D109F"/>
    <w:rsid w:val="003D2478"/>
    <w:rsid w:val="003D3231"/>
    <w:rsid w:val="003D3C45"/>
    <w:rsid w:val="003D5672"/>
    <w:rsid w:val="003D5B1F"/>
    <w:rsid w:val="003D60FF"/>
    <w:rsid w:val="003D7C8C"/>
    <w:rsid w:val="003E0FFE"/>
    <w:rsid w:val="003E1235"/>
    <w:rsid w:val="003E15FA"/>
    <w:rsid w:val="003E4235"/>
    <w:rsid w:val="003E4EB5"/>
    <w:rsid w:val="003E55E4"/>
    <w:rsid w:val="003E605B"/>
    <w:rsid w:val="003E74E3"/>
    <w:rsid w:val="003E7AE2"/>
    <w:rsid w:val="003F05C7"/>
    <w:rsid w:val="003F1073"/>
    <w:rsid w:val="003F116C"/>
    <w:rsid w:val="003F12FF"/>
    <w:rsid w:val="003F1704"/>
    <w:rsid w:val="003F2CD4"/>
    <w:rsid w:val="003F3BE8"/>
    <w:rsid w:val="003F6BBE"/>
    <w:rsid w:val="004000E8"/>
    <w:rsid w:val="00400C4F"/>
    <w:rsid w:val="00402E2B"/>
    <w:rsid w:val="0040512B"/>
    <w:rsid w:val="00405CA5"/>
    <w:rsid w:val="004068A0"/>
    <w:rsid w:val="00407CD3"/>
    <w:rsid w:val="00407EC0"/>
    <w:rsid w:val="00410134"/>
    <w:rsid w:val="00410B72"/>
    <w:rsid w:val="00410F18"/>
    <w:rsid w:val="0041120A"/>
    <w:rsid w:val="00411C4A"/>
    <w:rsid w:val="0041263E"/>
    <w:rsid w:val="00413A2B"/>
    <w:rsid w:val="00413AAC"/>
    <w:rsid w:val="00413DD4"/>
    <w:rsid w:val="00414085"/>
    <w:rsid w:val="0041583D"/>
    <w:rsid w:val="00416237"/>
    <w:rsid w:val="004166C1"/>
    <w:rsid w:val="0041728E"/>
    <w:rsid w:val="004177EE"/>
    <w:rsid w:val="004178F9"/>
    <w:rsid w:val="00420A72"/>
    <w:rsid w:val="00421105"/>
    <w:rsid w:val="00422F7B"/>
    <w:rsid w:val="00423ADD"/>
    <w:rsid w:val="004242F4"/>
    <w:rsid w:val="004254F4"/>
    <w:rsid w:val="004257A4"/>
    <w:rsid w:val="00427248"/>
    <w:rsid w:val="00427509"/>
    <w:rsid w:val="004278CF"/>
    <w:rsid w:val="00430087"/>
    <w:rsid w:val="004317A7"/>
    <w:rsid w:val="0043184C"/>
    <w:rsid w:val="00434863"/>
    <w:rsid w:val="00437447"/>
    <w:rsid w:val="00441072"/>
    <w:rsid w:val="00441A92"/>
    <w:rsid w:val="00441CFF"/>
    <w:rsid w:val="00442B3A"/>
    <w:rsid w:val="004430B6"/>
    <w:rsid w:val="00443A66"/>
    <w:rsid w:val="00444720"/>
    <w:rsid w:val="00444F56"/>
    <w:rsid w:val="00446488"/>
    <w:rsid w:val="00446C09"/>
    <w:rsid w:val="00446DAC"/>
    <w:rsid w:val="00451723"/>
    <w:rsid w:val="004517AA"/>
    <w:rsid w:val="00452317"/>
    <w:rsid w:val="00452CAC"/>
    <w:rsid w:val="004556FF"/>
    <w:rsid w:val="00455CA6"/>
    <w:rsid w:val="00457565"/>
    <w:rsid w:val="00457736"/>
    <w:rsid w:val="00457B71"/>
    <w:rsid w:val="0046194B"/>
    <w:rsid w:val="00462E16"/>
    <w:rsid w:val="004636EF"/>
    <w:rsid w:val="00463A72"/>
    <w:rsid w:val="00464355"/>
    <w:rsid w:val="004648E8"/>
    <w:rsid w:val="004669E2"/>
    <w:rsid w:val="00470C31"/>
    <w:rsid w:val="004712F7"/>
    <w:rsid w:val="004717A8"/>
    <w:rsid w:val="004717C1"/>
    <w:rsid w:val="00471838"/>
    <w:rsid w:val="00472788"/>
    <w:rsid w:val="00472985"/>
    <w:rsid w:val="004734D0"/>
    <w:rsid w:val="00473E95"/>
    <w:rsid w:val="00474BBE"/>
    <w:rsid w:val="00474C7D"/>
    <w:rsid w:val="0047556B"/>
    <w:rsid w:val="00475845"/>
    <w:rsid w:val="00476D56"/>
    <w:rsid w:val="004770B0"/>
    <w:rsid w:val="00477768"/>
    <w:rsid w:val="0048026B"/>
    <w:rsid w:val="004811DC"/>
    <w:rsid w:val="0048477E"/>
    <w:rsid w:val="00484A54"/>
    <w:rsid w:val="004850C4"/>
    <w:rsid w:val="00485227"/>
    <w:rsid w:val="0049201F"/>
    <w:rsid w:val="00492BC5"/>
    <w:rsid w:val="00494422"/>
    <w:rsid w:val="00494E2C"/>
    <w:rsid w:val="004964F1"/>
    <w:rsid w:val="00497B84"/>
    <w:rsid w:val="004A10C6"/>
    <w:rsid w:val="004A16BC"/>
    <w:rsid w:val="004A2A6D"/>
    <w:rsid w:val="004A2B94"/>
    <w:rsid w:val="004B033E"/>
    <w:rsid w:val="004B097E"/>
    <w:rsid w:val="004B1035"/>
    <w:rsid w:val="004B1FC7"/>
    <w:rsid w:val="004B5B8B"/>
    <w:rsid w:val="004B63B1"/>
    <w:rsid w:val="004B7C0C"/>
    <w:rsid w:val="004C14FB"/>
    <w:rsid w:val="004C1D95"/>
    <w:rsid w:val="004C229F"/>
    <w:rsid w:val="004C28A1"/>
    <w:rsid w:val="004C2949"/>
    <w:rsid w:val="004C3898"/>
    <w:rsid w:val="004C63E8"/>
    <w:rsid w:val="004C73D4"/>
    <w:rsid w:val="004D147E"/>
    <w:rsid w:val="004D36B1"/>
    <w:rsid w:val="004D3C1E"/>
    <w:rsid w:val="004D4337"/>
    <w:rsid w:val="004D7EBD"/>
    <w:rsid w:val="004E1024"/>
    <w:rsid w:val="004E2680"/>
    <w:rsid w:val="004E28F9"/>
    <w:rsid w:val="004E462E"/>
    <w:rsid w:val="004E4944"/>
    <w:rsid w:val="004E56DC"/>
    <w:rsid w:val="004E599E"/>
    <w:rsid w:val="004E6F3C"/>
    <w:rsid w:val="004E76F4"/>
    <w:rsid w:val="004E7D68"/>
    <w:rsid w:val="004F0617"/>
    <w:rsid w:val="004F0B4E"/>
    <w:rsid w:val="004F0B6C"/>
    <w:rsid w:val="004F2078"/>
    <w:rsid w:val="004F273C"/>
    <w:rsid w:val="004F40CA"/>
    <w:rsid w:val="004F49F0"/>
    <w:rsid w:val="004F4DA3"/>
    <w:rsid w:val="004F51BE"/>
    <w:rsid w:val="004F6E49"/>
    <w:rsid w:val="004F6EE4"/>
    <w:rsid w:val="004F788B"/>
    <w:rsid w:val="005032D2"/>
    <w:rsid w:val="00506557"/>
    <w:rsid w:val="0050677A"/>
    <w:rsid w:val="005079B7"/>
    <w:rsid w:val="00507CE8"/>
    <w:rsid w:val="00510568"/>
    <w:rsid w:val="00510793"/>
    <w:rsid w:val="005108D8"/>
    <w:rsid w:val="005109C4"/>
    <w:rsid w:val="005116F9"/>
    <w:rsid w:val="00511A44"/>
    <w:rsid w:val="00511ECE"/>
    <w:rsid w:val="005125EA"/>
    <w:rsid w:val="00513A32"/>
    <w:rsid w:val="00513ED6"/>
    <w:rsid w:val="00514D40"/>
    <w:rsid w:val="005153A7"/>
    <w:rsid w:val="00517A54"/>
    <w:rsid w:val="005202D1"/>
    <w:rsid w:val="00520B6D"/>
    <w:rsid w:val="005219CF"/>
    <w:rsid w:val="0052451A"/>
    <w:rsid w:val="00524AF7"/>
    <w:rsid w:val="00524C08"/>
    <w:rsid w:val="005254DE"/>
    <w:rsid w:val="0052614F"/>
    <w:rsid w:val="00530C9E"/>
    <w:rsid w:val="005310A1"/>
    <w:rsid w:val="00534B59"/>
    <w:rsid w:val="005351D7"/>
    <w:rsid w:val="00535271"/>
    <w:rsid w:val="005361DD"/>
    <w:rsid w:val="00536759"/>
    <w:rsid w:val="005369FB"/>
    <w:rsid w:val="005377E6"/>
    <w:rsid w:val="00537C62"/>
    <w:rsid w:val="00540C2F"/>
    <w:rsid w:val="00546356"/>
    <w:rsid w:val="005466A8"/>
    <w:rsid w:val="00546970"/>
    <w:rsid w:val="00547F4D"/>
    <w:rsid w:val="00550419"/>
    <w:rsid w:val="00550A17"/>
    <w:rsid w:val="00550B5E"/>
    <w:rsid w:val="005514AE"/>
    <w:rsid w:val="00554E19"/>
    <w:rsid w:val="00556A0E"/>
    <w:rsid w:val="0056121F"/>
    <w:rsid w:val="00562DBE"/>
    <w:rsid w:val="00567234"/>
    <w:rsid w:val="00570E0F"/>
    <w:rsid w:val="00572505"/>
    <w:rsid w:val="00575921"/>
    <w:rsid w:val="00575DF3"/>
    <w:rsid w:val="00576E42"/>
    <w:rsid w:val="00577EF0"/>
    <w:rsid w:val="005811E4"/>
    <w:rsid w:val="005813ED"/>
    <w:rsid w:val="0058260D"/>
    <w:rsid w:val="00582809"/>
    <w:rsid w:val="0058345F"/>
    <w:rsid w:val="00583EF8"/>
    <w:rsid w:val="0058447F"/>
    <w:rsid w:val="005857AB"/>
    <w:rsid w:val="00586648"/>
    <w:rsid w:val="00586AD5"/>
    <w:rsid w:val="00586F25"/>
    <w:rsid w:val="0058798C"/>
    <w:rsid w:val="005879BC"/>
    <w:rsid w:val="005900FA"/>
    <w:rsid w:val="00590B36"/>
    <w:rsid w:val="0059127E"/>
    <w:rsid w:val="00592A8B"/>
    <w:rsid w:val="00592F8B"/>
    <w:rsid w:val="00592F97"/>
    <w:rsid w:val="005935A4"/>
    <w:rsid w:val="005948C2"/>
    <w:rsid w:val="00595068"/>
    <w:rsid w:val="00595DCA"/>
    <w:rsid w:val="00596140"/>
    <w:rsid w:val="0059779B"/>
    <w:rsid w:val="005A1B76"/>
    <w:rsid w:val="005A209A"/>
    <w:rsid w:val="005A22AC"/>
    <w:rsid w:val="005A322A"/>
    <w:rsid w:val="005A4879"/>
    <w:rsid w:val="005A662D"/>
    <w:rsid w:val="005B11EA"/>
    <w:rsid w:val="005B1C54"/>
    <w:rsid w:val="005B35D7"/>
    <w:rsid w:val="005B392A"/>
    <w:rsid w:val="005B3AA3"/>
    <w:rsid w:val="005B3DBD"/>
    <w:rsid w:val="005B61E8"/>
    <w:rsid w:val="005B643C"/>
    <w:rsid w:val="005B6F83"/>
    <w:rsid w:val="005B7D5A"/>
    <w:rsid w:val="005C0A98"/>
    <w:rsid w:val="005C2C2B"/>
    <w:rsid w:val="005C2E55"/>
    <w:rsid w:val="005C490B"/>
    <w:rsid w:val="005C74FB"/>
    <w:rsid w:val="005D1602"/>
    <w:rsid w:val="005D24E8"/>
    <w:rsid w:val="005D4056"/>
    <w:rsid w:val="005D4ADC"/>
    <w:rsid w:val="005E0772"/>
    <w:rsid w:val="005E0E4B"/>
    <w:rsid w:val="005E1B24"/>
    <w:rsid w:val="005E34D6"/>
    <w:rsid w:val="005E385F"/>
    <w:rsid w:val="005E3DE7"/>
    <w:rsid w:val="005E44C4"/>
    <w:rsid w:val="005E47F4"/>
    <w:rsid w:val="005E505F"/>
    <w:rsid w:val="005E5B81"/>
    <w:rsid w:val="005E62AC"/>
    <w:rsid w:val="005E79C7"/>
    <w:rsid w:val="005F1B01"/>
    <w:rsid w:val="005F2CB1"/>
    <w:rsid w:val="005F3025"/>
    <w:rsid w:val="005F5002"/>
    <w:rsid w:val="005F563A"/>
    <w:rsid w:val="005F618C"/>
    <w:rsid w:val="005F6385"/>
    <w:rsid w:val="005F6B1B"/>
    <w:rsid w:val="005F70BD"/>
    <w:rsid w:val="005F7E09"/>
    <w:rsid w:val="00600A53"/>
    <w:rsid w:val="00601177"/>
    <w:rsid w:val="006015AF"/>
    <w:rsid w:val="00601EFA"/>
    <w:rsid w:val="0060283C"/>
    <w:rsid w:val="00604F14"/>
    <w:rsid w:val="00605343"/>
    <w:rsid w:val="006061AA"/>
    <w:rsid w:val="00607770"/>
    <w:rsid w:val="0061135F"/>
    <w:rsid w:val="00611B83"/>
    <w:rsid w:val="00612DC3"/>
    <w:rsid w:val="00612DD2"/>
    <w:rsid w:val="00613257"/>
    <w:rsid w:val="00613C23"/>
    <w:rsid w:val="00615E16"/>
    <w:rsid w:val="00615E93"/>
    <w:rsid w:val="00620A71"/>
    <w:rsid w:val="00620D80"/>
    <w:rsid w:val="006212A9"/>
    <w:rsid w:val="00621E54"/>
    <w:rsid w:val="0062203D"/>
    <w:rsid w:val="006234A6"/>
    <w:rsid w:val="00624529"/>
    <w:rsid w:val="00624976"/>
    <w:rsid w:val="00626D70"/>
    <w:rsid w:val="00630001"/>
    <w:rsid w:val="00630356"/>
    <w:rsid w:val="00630DF7"/>
    <w:rsid w:val="006311B3"/>
    <w:rsid w:val="00631BF4"/>
    <w:rsid w:val="00631D2A"/>
    <w:rsid w:val="00631FCC"/>
    <w:rsid w:val="0063284C"/>
    <w:rsid w:val="006340B5"/>
    <w:rsid w:val="00634536"/>
    <w:rsid w:val="00634F10"/>
    <w:rsid w:val="00635E28"/>
    <w:rsid w:val="00636398"/>
    <w:rsid w:val="006368D3"/>
    <w:rsid w:val="00636F85"/>
    <w:rsid w:val="006377EC"/>
    <w:rsid w:val="006401A5"/>
    <w:rsid w:val="00640C4E"/>
    <w:rsid w:val="0064151F"/>
    <w:rsid w:val="00641533"/>
    <w:rsid w:val="0064208D"/>
    <w:rsid w:val="00643475"/>
    <w:rsid w:val="0064396A"/>
    <w:rsid w:val="00645ADE"/>
    <w:rsid w:val="00645C2E"/>
    <w:rsid w:val="0064624E"/>
    <w:rsid w:val="00647D03"/>
    <w:rsid w:val="00650AB9"/>
    <w:rsid w:val="00650B6D"/>
    <w:rsid w:val="00651A2E"/>
    <w:rsid w:val="00651DD2"/>
    <w:rsid w:val="006524A9"/>
    <w:rsid w:val="00652B78"/>
    <w:rsid w:val="006533DA"/>
    <w:rsid w:val="00653C64"/>
    <w:rsid w:val="00655733"/>
    <w:rsid w:val="00655A31"/>
    <w:rsid w:val="00655ACD"/>
    <w:rsid w:val="00656A92"/>
    <w:rsid w:val="00656DDE"/>
    <w:rsid w:val="0066011D"/>
    <w:rsid w:val="006607C0"/>
    <w:rsid w:val="006613A6"/>
    <w:rsid w:val="00661633"/>
    <w:rsid w:val="00661B43"/>
    <w:rsid w:val="006627A2"/>
    <w:rsid w:val="006634E6"/>
    <w:rsid w:val="006649BD"/>
    <w:rsid w:val="0066554A"/>
    <w:rsid w:val="0066554F"/>
    <w:rsid w:val="006655EE"/>
    <w:rsid w:val="00667EE7"/>
    <w:rsid w:val="00670922"/>
    <w:rsid w:val="00670BE1"/>
    <w:rsid w:val="00670D25"/>
    <w:rsid w:val="00671719"/>
    <w:rsid w:val="0067176C"/>
    <w:rsid w:val="0067218F"/>
    <w:rsid w:val="00672308"/>
    <w:rsid w:val="00672DE6"/>
    <w:rsid w:val="00672F93"/>
    <w:rsid w:val="00673B47"/>
    <w:rsid w:val="006741F2"/>
    <w:rsid w:val="00674CC3"/>
    <w:rsid w:val="00675C72"/>
    <w:rsid w:val="0067639E"/>
    <w:rsid w:val="00676798"/>
    <w:rsid w:val="006771F9"/>
    <w:rsid w:val="006773CD"/>
    <w:rsid w:val="006776D7"/>
    <w:rsid w:val="00681003"/>
    <w:rsid w:val="006817C9"/>
    <w:rsid w:val="00682024"/>
    <w:rsid w:val="00683395"/>
    <w:rsid w:val="00683ECE"/>
    <w:rsid w:val="00684340"/>
    <w:rsid w:val="00684CF7"/>
    <w:rsid w:val="00686801"/>
    <w:rsid w:val="00687C66"/>
    <w:rsid w:val="00690460"/>
    <w:rsid w:val="00690B84"/>
    <w:rsid w:val="00691ACF"/>
    <w:rsid w:val="00692CA7"/>
    <w:rsid w:val="00693793"/>
    <w:rsid w:val="006946EB"/>
    <w:rsid w:val="00695FC2"/>
    <w:rsid w:val="006962C7"/>
    <w:rsid w:val="00696638"/>
    <w:rsid w:val="00696949"/>
    <w:rsid w:val="00696ED1"/>
    <w:rsid w:val="00697052"/>
    <w:rsid w:val="006A2F14"/>
    <w:rsid w:val="006A46FB"/>
    <w:rsid w:val="006A5E28"/>
    <w:rsid w:val="006A5FAB"/>
    <w:rsid w:val="006A697B"/>
    <w:rsid w:val="006A7AFF"/>
    <w:rsid w:val="006B1816"/>
    <w:rsid w:val="006B2099"/>
    <w:rsid w:val="006B2188"/>
    <w:rsid w:val="006B387F"/>
    <w:rsid w:val="006B4ED7"/>
    <w:rsid w:val="006B50CF"/>
    <w:rsid w:val="006B5AD2"/>
    <w:rsid w:val="006B5B0F"/>
    <w:rsid w:val="006B6253"/>
    <w:rsid w:val="006C03B8"/>
    <w:rsid w:val="006C1A9D"/>
    <w:rsid w:val="006C2482"/>
    <w:rsid w:val="006C2652"/>
    <w:rsid w:val="006C3C1B"/>
    <w:rsid w:val="006C3E3D"/>
    <w:rsid w:val="006C40FF"/>
    <w:rsid w:val="006C55C5"/>
    <w:rsid w:val="006C5EC9"/>
    <w:rsid w:val="006C6059"/>
    <w:rsid w:val="006C716E"/>
    <w:rsid w:val="006C7522"/>
    <w:rsid w:val="006D0C46"/>
    <w:rsid w:val="006D1BAE"/>
    <w:rsid w:val="006D21E5"/>
    <w:rsid w:val="006D2D68"/>
    <w:rsid w:val="006D391C"/>
    <w:rsid w:val="006D41F0"/>
    <w:rsid w:val="006D5940"/>
    <w:rsid w:val="006D6F08"/>
    <w:rsid w:val="006E039E"/>
    <w:rsid w:val="006E05B2"/>
    <w:rsid w:val="006E062C"/>
    <w:rsid w:val="006E0878"/>
    <w:rsid w:val="006E2032"/>
    <w:rsid w:val="006E28B7"/>
    <w:rsid w:val="006E2F42"/>
    <w:rsid w:val="006E3310"/>
    <w:rsid w:val="006E4579"/>
    <w:rsid w:val="006E4772"/>
    <w:rsid w:val="006E4E39"/>
    <w:rsid w:val="006E5605"/>
    <w:rsid w:val="006E565E"/>
    <w:rsid w:val="006E673D"/>
    <w:rsid w:val="006E675A"/>
    <w:rsid w:val="006E76AB"/>
    <w:rsid w:val="006E7D3B"/>
    <w:rsid w:val="006F077D"/>
    <w:rsid w:val="006F1B70"/>
    <w:rsid w:val="006F2542"/>
    <w:rsid w:val="006F2B4B"/>
    <w:rsid w:val="006F341D"/>
    <w:rsid w:val="006F349A"/>
    <w:rsid w:val="006F3CDE"/>
    <w:rsid w:val="006F552E"/>
    <w:rsid w:val="006F58D4"/>
    <w:rsid w:val="006F7CBD"/>
    <w:rsid w:val="0070346E"/>
    <w:rsid w:val="00704EDB"/>
    <w:rsid w:val="007058A9"/>
    <w:rsid w:val="00705AAE"/>
    <w:rsid w:val="00705C39"/>
    <w:rsid w:val="00706101"/>
    <w:rsid w:val="00707072"/>
    <w:rsid w:val="00707090"/>
    <w:rsid w:val="00707D61"/>
    <w:rsid w:val="00712287"/>
    <w:rsid w:val="00712772"/>
    <w:rsid w:val="007148D3"/>
    <w:rsid w:val="00715B9A"/>
    <w:rsid w:val="007211F2"/>
    <w:rsid w:val="00721358"/>
    <w:rsid w:val="00723EC6"/>
    <w:rsid w:val="00726EA6"/>
    <w:rsid w:val="00727208"/>
    <w:rsid w:val="00727680"/>
    <w:rsid w:val="00727B02"/>
    <w:rsid w:val="00730B68"/>
    <w:rsid w:val="00731815"/>
    <w:rsid w:val="00732461"/>
    <w:rsid w:val="0073348B"/>
    <w:rsid w:val="007348B1"/>
    <w:rsid w:val="00734E4F"/>
    <w:rsid w:val="007358B4"/>
    <w:rsid w:val="007362A6"/>
    <w:rsid w:val="00736D7D"/>
    <w:rsid w:val="00737418"/>
    <w:rsid w:val="00737B4F"/>
    <w:rsid w:val="00740E58"/>
    <w:rsid w:val="00742663"/>
    <w:rsid w:val="0074279E"/>
    <w:rsid w:val="00743476"/>
    <w:rsid w:val="007445A0"/>
    <w:rsid w:val="0074524B"/>
    <w:rsid w:val="00745291"/>
    <w:rsid w:val="0074619F"/>
    <w:rsid w:val="00746C15"/>
    <w:rsid w:val="00746C6F"/>
    <w:rsid w:val="007472EF"/>
    <w:rsid w:val="00747D8B"/>
    <w:rsid w:val="00750ADF"/>
    <w:rsid w:val="00750EDF"/>
    <w:rsid w:val="00751228"/>
    <w:rsid w:val="00754BAA"/>
    <w:rsid w:val="007551C8"/>
    <w:rsid w:val="00756E0E"/>
    <w:rsid w:val="007571E1"/>
    <w:rsid w:val="00757676"/>
    <w:rsid w:val="007604B2"/>
    <w:rsid w:val="00761542"/>
    <w:rsid w:val="00762B72"/>
    <w:rsid w:val="00763336"/>
    <w:rsid w:val="00764E08"/>
    <w:rsid w:val="00764E31"/>
    <w:rsid w:val="00765281"/>
    <w:rsid w:val="00765BD7"/>
    <w:rsid w:val="00766BAD"/>
    <w:rsid w:val="00766C07"/>
    <w:rsid w:val="00766C10"/>
    <w:rsid w:val="0076730B"/>
    <w:rsid w:val="00767D67"/>
    <w:rsid w:val="00771754"/>
    <w:rsid w:val="00771E25"/>
    <w:rsid w:val="00772857"/>
    <w:rsid w:val="0077299B"/>
    <w:rsid w:val="007730BD"/>
    <w:rsid w:val="007735C1"/>
    <w:rsid w:val="00773725"/>
    <w:rsid w:val="0077486F"/>
    <w:rsid w:val="00774CD1"/>
    <w:rsid w:val="007755F2"/>
    <w:rsid w:val="007756AD"/>
    <w:rsid w:val="00775C29"/>
    <w:rsid w:val="00776971"/>
    <w:rsid w:val="00780BEC"/>
    <w:rsid w:val="0078177E"/>
    <w:rsid w:val="0078225E"/>
    <w:rsid w:val="0078304C"/>
    <w:rsid w:val="00783673"/>
    <w:rsid w:val="0078493F"/>
    <w:rsid w:val="00785490"/>
    <w:rsid w:val="0078695B"/>
    <w:rsid w:val="007925EA"/>
    <w:rsid w:val="00793CD8"/>
    <w:rsid w:val="00793E8A"/>
    <w:rsid w:val="00794725"/>
    <w:rsid w:val="00795C92"/>
    <w:rsid w:val="00796231"/>
    <w:rsid w:val="007A0A34"/>
    <w:rsid w:val="007A1CB3"/>
    <w:rsid w:val="007A298E"/>
    <w:rsid w:val="007A306F"/>
    <w:rsid w:val="007A31EA"/>
    <w:rsid w:val="007A328D"/>
    <w:rsid w:val="007A33F6"/>
    <w:rsid w:val="007A43A6"/>
    <w:rsid w:val="007A4A6E"/>
    <w:rsid w:val="007A58A6"/>
    <w:rsid w:val="007A5ECB"/>
    <w:rsid w:val="007A6CAA"/>
    <w:rsid w:val="007A7CE4"/>
    <w:rsid w:val="007B1199"/>
    <w:rsid w:val="007B2339"/>
    <w:rsid w:val="007B2887"/>
    <w:rsid w:val="007B2E84"/>
    <w:rsid w:val="007B3D2D"/>
    <w:rsid w:val="007B50AE"/>
    <w:rsid w:val="007B51DF"/>
    <w:rsid w:val="007C05DD"/>
    <w:rsid w:val="007C071B"/>
    <w:rsid w:val="007C1EA0"/>
    <w:rsid w:val="007C3D18"/>
    <w:rsid w:val="007C493D"/>
    <w:rsid w:val="007C60BF"/>
    <w:rsid w:val="007C6A07"/>
    <w:rsid w:val="007C75A1"/>
    <w:rsid w:val="007C77A5"/>
    <w:rsid w:val="007D04DA"/>
    <w:rsid w:val="007D04E5"/>
    <w:rsid w:val="007D114D"/>
    <w:rsid w:val="007D4CE5"/>
    <w:rsid w:val="007D5901"/>
    <w:rsid w:val="007D63E7"/>
    <w:rsid w:val="007D7526"/>
    <w:rsid w:val="007D7DDF"/>
    <w:rsid w:val="007E1DCE"/>
    <w:rsid w:val="007E2F4A"/>
    <w:rsid w:val="007E4610"/>
    <w:rsid w:val="007E4715"/>
    <w:rsid w:val="007E505B"/>
    <w:rsid w:val="007E7091"/>
    <w:rsid w:val="007E74C3"/>
    <w:rsid w:val="007E7942"/>
    <w:rsid w:val="007E7E78"/>
    <w:rsid w:val="007F03D6"/>
    <w:rsid w:val="007F221A"/>
    <w:rsid w:val="007F45A0"/>
    <w:rsid w:val="007F5500"/>
    <w:rsid w:val="0080122F"/>
    <w:rsid w:val="008031A6"/>
    <w:rsid w:val="00803FAE"/>
    <w:rsid w:val="00804960"/>
    <w:rsid w:val="0080605F"/>
    <w:rsid w:val="00807786"/>
    <w:rsid w:val="00810914"/>
    <w:rsid w:val="008114A1"/>
    <w:rsid w:val="008117A8"/>
    <w:rsid w:val="00811FCB"/>
    <w:rsid w:val="0081455B"/>
    <w:rsid w:val="00814DC7"/>
    <w:rsid w:val="008158D6"/>
    <w:rsid w:val="00816207"/>
    <w:rsid w:val="00816CBC"/>
    <w:rsid w:val="00817196"/>
    <w:rsid w:val="0081749A"/>
    <w:rsid w:val="008207AC"/>
    <w:rsid w:val="00821234"/>
    <w:rsid w:val="008235DB"/>
    <w:rsid w:val="00824550"/>
    <w:rsid w:val="00824AB4"/>
    <w:rsid w:val="00825C42"/>
    <w:rsid w:val="00825D25"/>
    <w:rsid w:val="00826BAC"/>
    <w:rsid w:val="00827BBD"/>
    <w:rsid w:val="00827D6F"/>
    <w:rsid w:val="00835051"/>
    <w:rsid w:val="00835427"/>
    <w:rsid w:val="00836E89"/>
    <w:rsid w:val="008372EB"/>
    <w:rsid w:val="008376AC"/>
    <w:rsid w:val="008377DA"/>
    <w:rsid w:val="008402D3"/>
    <w:rsid w:val="00842F64"/>
    <w:rsid w:val="008444E8"/>
    <w:rsid w:val="00844E80"/>
    <w:rsid w:val="00845C13"/>
    <w:rsid w:val="008461ED"/>
    <w:rsid w:val="00846FE7"/>
    <w:rsid w:val="00847648"/>
    <w:rsid w:val="00853208"/>
    <w:rsid w:val="00853375"/>
    <w:rsid w:val="00853C37"/>
    <w:rsid w:val="0085562C"/>
    <w:rsid w:val="00855A7A"/>
    <w:rsid w:val="00856911"/>
    <w:rsid w:val="00856AD9"/>
    <w:rsid w:val="00856CC0"/>
    <w:rsid w:val="0086267C"/>
    <w:rsid w:val="00865F2E"/>
    <w:rsid w:val="00866881"/>
    <w:rsid w:val="008672C6"/>
    <w:rsid w:val="008677FD"/>
    <w:rsid w:val="008706D4"/>
    <w:rsid w:val="00870F8A"/>
    <w:rsid w:val="008719A4"/>
    <w:rsid w:val="00871D23"/>
    <w:rsid w:val="008735C8"/>
    <w:rsid w:val="00874312"/>
    <w:rsid w:val="0087437C"/>
    <w:rsid w:val="00875CD7"/>
    <w:rsid w:val="00876B4D"/>
    <w:rsid w:val="00877F18"/>
    <w:rsid w:val="008807DA"/>
    <w:rsid w:val="00883B20"/>
    <w:rsid w:val="00883D41"/>
    <w:rsid w:val="00886F0A"/>
    <w:rsid w:val="00890641"/>
    <w:rsid w:val="00891752"/>
    <w:rsid w:val="00891D5F"/>
    <w:rsid w:val="00892997"/>
    <w:rsid w:val="008935E0"/>
    <w:rsid w:val="0089403D"/>
    <w:rsid w:val="008947CE"/>
    <w:rsid w:val="0089495B"/>
    <w:rsid w:val="00894A88"/>
    <w:rsid w:val="00895386"/>
    <w:rsid w:val="0089687F"/>
    <w:rsid w:val="00896F88"/>
    <w:rsid w:val="00897EE5"/>
    <w:rsid w:val="008A04FB"/>
    <w:rsid w:val="008A077E"/>
    <w:rsid w:val="008A1E72"/>
    <w:rsid w:val="008A21FF"/>
    <w:rsid w:val="008A2CE2"/>
    <w:rsid w:val="008A30AC"/>
    <w:rsid w:val="008A44B8"/>
    <w:rsid w:val="008A51A8"/>
    <w:rsid w:val="008A54C7"/>
    <w:rsid w:val="008A6F2D"/>
    <w:rsid w:val="008A77D8"/>
    <w:rsid w:val="008A7D60"/>
    <w:rsid w:val="008B0483"/>
    <w:rsid w:val="008B120C"/>
    <w:rsid w:val="008B18B3"/>
    <w:rsid w:val="008B356E"/>
    <w:rsid w:val="008B51A0"/>
    <w:rsid w:val="008B592A"/>
    <w:rsid w:val="008B7B5C"/>
    <w:rsid w:val="008C0C99"/>
    <w:rsid w:val="008C0C9A"/>
    <w:rsid w:val="008C112E"/>
    <w:rsid w:val="008C176D"/>
    <w:rsid w:val="008C1EB8"/>
    <w:rsid w:val="008C2017"/>
    <w:rsid w:val="008C36AA"/>
    <w:rsid w:val="008C3D97"/>
    <w:rsid w:val="008C431D"/>
    <w:rsid w:val="008C4958"/>
    <w:rsid w:val="008C4BAA"/>
    <w:rsid w:val="008C4C4D"/>
    <w:rsid w:val="008C54D5"/>
    <w:rsid w:val="008C6AE8"/>
    <w:rsid w:val="008C6F82"/>
    <w:rsid w:val="008C7573"/>
    <w:rsid w:val="008D16A5"/>
    <w:rsid w:val="008D34F1"/>
    <w:rsid w:val="008D39D8"/>
    <w:rsid w:val="008D5FA4"/>
    <w:rsid w:val="008D6D1A"/>
    <w:rsid w:val="008D7F5D"/>
    <w:rsid w:val="008E065E"/>
    <w:rsid w:val="008E0927"/>
    <w:rsid w:val="008E0AD0"/>
    <w:rsid w:val="008E1909"/>
    <w:rsid w:val="008E211A"/>
    <w:rsid w:val="008E2E7C"/>
    <w:rsid w:val="008E3CD9"/>
    <w:rsid w:val="008E3DC9"/>
    <w:rsid w:val="008E4E4A"/>
    <w:rsid w:val="008E55D4"/>
    <w:rsid w:val="008F1EAB"/>
    <w:rsid w:val="008F1FD2"/>
    <w:rsid w:val="008F23DC"/>
    <w:rsid w:val="008F33DC"/>
    <w:rsid w:val="008F3732"/>
    <w:rsid w:val="008F477F"/>
    <w:rsid w:val="008F5FD1"/>
    <w:rsid w:val="008F67B8"/>
    <w:rsid w:val="008F7894"/>
    <w:rsid w:val="008F7CF6"/>
    <w:rsid w:val="008F7D7B"/>
    <w:rsid w:val="008F7F76"/>
    <w:rsid w:val="00902350"/>
    <w:rsid w:val="0090336B"/>
    <w:rsid w:val="00903C54"/>
    <w:rsid w:val="009053AA"/>
    <w:rsid w:val="009056F9"/>
    <w:rsid w:val="00906939"/>
    <w:rsid w:val="0091077F"/>
    <w:rsid w:val="00910B7D"/>
    <w:rsid w:val="00910C73"/>
    <w:rsid w:val="0091118B"/>
    <w:rsid w:val="00911DFB"/>
    <w:rsid w:val="009139D9"/>
    <w:rsid w:val="00913C7D"/>
    <w:rsid w:val="00914981"/>
    <w:rsid w:val="00914AD8"/>
    <w:rsid w:val="00916079"/>
    <w:rsid w:val="00917CE9"/>
    <w:rsid w:val="00917FED"/>
    <w:rsid w:val="00920BF2"/>
    <w:rsid w:val="00922010"/>
    <w:rsid w:val="009226AD"/>
    <w:rsid w:val="00922A2F"/>
    <w:rsid w:val="00922CED"/>
    <w:rsid w:val="00923064"/>
    <w:rsid w:val="00924877"/>
    <w:rsid w:val="009253F1"/>
    <w:rsid w:val="009263F7"/>
    <w:rsid w:val="00931BD9"/>
    <w:rsid w:val="00934FAF"/>
    <w:rsid w:val="00935D87"/>
    <w:rsid w:val="00935E11"/>
    <w:rsid w:val="009368F3"/>
    <w:rsid w:val="00937497"/>
    <w:rsid w:val="00940ADD"/>
    <w:rsid w:val="00941636"/>
    <w:rsid w:val="0094310D"/>
    <w:rsid w:val="00943742"/>
    <w:rsid w:val="00944859"/>
    <w:rsid w:val="00944AF4"/>
    <w:rsid w:val="00945C05"/>
    <w:rsid w:val="00946945"/>
    <w:rsid w:val="009476E2"/>
    <w:rsid w:val="00947713"/>
    <w:rsid w:val="00950AE8"/>
    <w:rsid w:val="00950DE7"/>
    <w:rsid w:val="00951E94"/>
    <w:rsid w:val="00953920"/>
    <w:rsid w:val="00953D47"/>
    <w:rsid w:val="0095681E"/>
    <w:rsid w:val="009572D4"/>
    <w:rsid w:val="009605F8"/>
    <w:rsid w:val="00960BA1"/>
    <w:rsid w:val="00961921"/>
    <w:rsid w:val="00961D7F"/>
    <w:rsid w:val="0096430A"/>
    <w:rsid w:val="0096554B"/>
    <w:rsid w:val="0096584A"/>
    <w:rsid w:val="00966DE8"/>
    <w:rsid w:val="009706A9"/>
    <w:rsid w:val="00970D7B"/>
    <w:rsid w:val="00971399"/>
    <w:rsid w:val="00971F08"/>
    <w:rsid w:val="00974E50"/>
    <w:rsid w:val="00975A1D"/>
    <w:rsid w:val="0097603D"/>
    <w:rsid w:val="00976949"/>
    <w:rsid w:val="009774DB"/>
    <w:rsid w:val="00980477"/>
    <w:rsid w:val="00980E52"/>
    <w:rsid w:val="009828E5"/>
    <w:rsid w:val="00985253"/>
    <w:rsid w:val="009853B3"/>
    <w:rsid w:val="009867B8"/>
    <w:rsid w:val="00986BD2"/>
    <w:rsid w:val="0098709E"/>
    <w:rsid w:val="00987A88"/>
    <w:rsid w:val="00987FBB"/>
    <w:rsid w:val="00990186"/>
    <w:rsid w:val="00990630"/>
    <w:rsid w:val="00990D55"/>
    <w:rsid w:val="00991092"/>
    <w:rsid w:val="00991761"/>
    <w:rsid w:val="00994DCA"/>
    <w:rsid w:val="0099594D"/>
    <w:rsid w:val="009960EC"/>
    <w:rsid w:val="009961CD"/>
    <w:rsid w:val="009970DD"/>
    <w:rsid w:val="009975FB"/>
    <w:rsid w:val="009A0FBA"/>
    <w:rsid w:val="009A1601"/>
    <w:rsid w:val="009A3CA2"/>
    <w:rsid w:val="009A462D"/>
    <w:rsid w:val="009A4D16"/>
    <w:rsid w:val="009A4D1C"/>
    <w:rsid w:val="009A4D86"/>
    <w:rsid w:val="009A5CBA"/>
    <w:rsid w:val="009B1F30"/>
    <w:rsid w:val="009B2C2A"/>
    <w:rsid w:val="009B3054"/>
    <w:rsid w:val="009B3AC2"/>
    <w:rsid w:val="009B4398"/>
    <w:rsid w:val="009B44F3"/>
    <w:rsid w:val="009B472B"/>
    <w:rsid w:val="009B4DF4"/>
    <w:rsid w:val="009B564E"/>
    <w:rsid w:val="009B64E5"/>
    <w:rsid w:val="009B6B64"/>
    <w:rsid w:val="009B7E87"/>
    <w:rsid w:val="009C03E1"/>
    <w:rsid w:val="009C1B52"/>
    <w:rsid w:val="009C2F4B"/>
    <w:rsid w:val="009C3B26"/>
    <w:rsid w:val="009C403E"/>
    <w:rsid w:val="009D0A4B"/>
    <w:rsid w:val="009D106B"/>
    <w:rsid w:val="009D171C"/>
    <w:rsid w:val="009D1F8A"/>
    <w:rsid w:val="009D4FF0"/>
    <w:rsid w:val="009D530D"/>
    <w:rsid w:val="009D55F8"/>
    <w:rsid w:val="009D5CE6"/>
    <w:rsid w:val="009D703C"/>
    <w:rsid w:val="009D718F"/>
    <w:rsid w:val="009E068F"/>
    <w:rsid w:val="009E14E0"/>
    <w:rsid w:val="009E1E74"/>
    <w:rsid w:val="009E35DB"/>
    <w:rsid w:val="009E47A3"/>
    <w:rsid w:val="009E7599"/>
    <w:rsid w:val="009F010B"/>
    <w:rsid w:val="009F08F3"/>
    <w:rsid w:val="009F344F"/>
    <w:rsid w:val="009F4CE8"/>
    <w:rsid w:val="009F55DD"/>
    <w:rsid w:val="009F7652"/>
    <w:rsid w:val="00A00568"/>
    <w:rsid w:val="00A048A8"/>
    <w:rsid w:val="00A04F49"/>
    <w:rsid w:val="00A0550B"/>
    <w:rsid w:val="00A06A91"/>
    <w:rsid w:val="00A1055D"/>
    <w:rsid w:val="00A13E54"/>
    <w:rsid w:val="00A16294"/>
    <w:rsid w:val="00A17757"/>
    <w:rsid w:val="00A17F63"/>
    <w:rsid w:val="00A202EC"/>
    <w:rsid w:val="00A2193B"/>
    <w:rsid w:val="00A2351A"/>
    <w:rsid w:val="00A264A9"/>
    <w:rsid w:val="00A27785"/>
    <w:rsid w:val="00A30187"/>
    <w:rsid w:val="00A32726"/>
    <w:rsid w:val="00A328EA"/>
    <w:rsid w:val="00A32A9D"/>
    <w:rsid w:val="00A32E01"/>
    <w:rsid w:val="00A33231"/>
    <w:rsid w:val="00A33E52"/>
    <w:rsid w:val="00A3448A"/>
    <w:rsid w:val="00A36297"/>
    <w:rsid w:val="00A36A75"/>
    <w:rsid w:val="00A36EA0"/>
    <w:rsid w:val="00A371AA"/>
    <w:rsid w:val="00A40A18"/>
    <w:rsid w:val="00A41511"/>
    <w:rsid w:val="00A41E2B"/>
    <w:rsid w:val="00A45B74"/>
    <w:rsid w:val="00A52E1D"/>
    <w:rsid w:val="00A53468"/>
    <w:rsid w:val="00A5567A"/>
    <w:rsid w:val="00A55EFE"/>
    <w:rsid w:val="00A61499"/>
    <w:rsid w:val="00A62A77"/>
    <w:rsid w:val="00A62B50"/>
    <w:rsid w:val="00A63483"/>
    <w:rsid w:val="00A64156"/>
    <w:rsid w:val="00A647F1"/>
    <w:rsid w:val="00A657D7"/>
    <w:rsid w:val="00A660AC"/>
    <w:rsid w:val="00A67007"/>
    <w:rsid w:val="00A67E6C"/>
    <w:rsid w:val="00A7072D"/>
    <w:rsid w:val="00A71B99"/>
    <w:rsid w:val="00A739D0"/>
    <w:rsid w:val="00A74B35"/>
    <w:rsid w:val="00A761D4"/>
    <w:rsid w:val="00A76B7E"/>
    <w:rsid w:val="00A76ECD"/>
    <w:rsid w:val="00A77EC4"/>
    <w:rsid w:val="00A8438B"/>
    <w:rsid w:val="00A84450"/>
    <w:rsid w:val="00A84F17"/>
    <w:rsid w:val="00A92879"/>
    <w:rsid w:val="00A931A5"/>
    <w:rsid w:val="00A9442A"/>
    <w:rsid w:val="00A96075"/>
    <w:rsid w:val="00A96080"/>
    <w:rsid w:val="00A9627A"/>
    <w:rsid w:val="00A97965"/>
    <w:rsid w:val="00A97F08"/>
    <w:rsid w:val="00A97FCD"/>
    <w:rsid w:val="00AA016F"/>
    <w:rsid w:val="00AA1ED6"/>
    <w:rsid w:val="00AA234A"/>
    <w:rsid w:val="00AA2598"/>
    <w:rsid w:val="00AA51D6"/>
    <w:rsid w:val="00AA62A4"/>
    <w:rsid w:val="00AA761B"/>
    <w:rsid w:val="00AB02D8"/>
    <w:rsid w:val="00AB06E7"/>
    <w:rsid w:val="00AB0BC8"/>
    <w:rsid w:val="00AB0F54"/>
    <w:rsid w:val="00AB11CA"/>
    <w:rsid w:val="00AB14D9"/>
    <w:rsid w:val="00AB2CF3"/>
    <w:rsid w:val="00AB3A28"/>
    <w:rsid w:val="00AB43E1"/>
    <w:rsid w:val="00AB4AB8"/>
    <w:rsid w:val="00AB655E"/>
    <w:rsid w:val="00AB6561"/>
    <w:rsid w:val="00AB684F"/>
    <w:rsid w:val="00AC007F"/>
    <w:rsid w:val="00AC0A07"/>
    <w:rsid w:val="00AC11B3"/>
    <w:rsid w:val="00AC1BBE"/>
    <w:rsid w:val="00AC2A9E"/>
    <w:rsid w:val="00AC2ECD"/>
    <w:rsid w:val="00AC3119"/>
    <w:rsid w:val="00AC49FB"/>
    <w:rsid w:val="00AC5A10"/>
    <w:rsid w:val="00AD0AA3"/>
    <w:rsid w:val="00AD104F"/>
    <w:rsid w:val="00AD3F94"/>
    <w:rsid w:val="00AD408F"/>
    <w:rsid w:val="00AD4A5A"/>
    <w:rsid w:val="00AD5523"/>
    <w:rsid w:val="00AD5C1D"/>
    <w:rsid w:val="00AD6BB2"/>
    <w:rsid w:val="00AE27AC"/>
    <w:rsid w:val="00AE2834"/>
    <w:rsid w:val="00AE3837"/>
    <w:rsid w:val="00AE40E0"/>
    <w:rsid w:val="00AE4996"/>
    <w:rsid w:val="00AE4DBA"/>
    <w:rsid w:val="00AE4F07"/>
    <w:rsid w:val="00AE72A0"/>
    <w:rsid w:val="00AF1C5D"/>
    <w:rsid w:val="00AF1F8E"/>
    <w:rsid w:val="00AF37F6"/>
    <w:rsid w:val="00AF42D7"/>
    <w:rsid w:val="00AF60E9"/>
    <w:rsid w:val="00AF61E1"/>
    <w:rsid w:val="00B006FE"/>
    <w:rsid w:val="00B007CB"/>
    <w:rsid w:val="00B0135A"/>
    <w:rsid w:val="00B02AA9"/>
    <w:rsid w:val="00B02FA3"/>
    <w:rsid w:val="00B03951"/>
    <w:rsid w:val="00B03D41"/>
    <w:rsid w:val="00B04864"/>
    <w:rsid w:val="00B05084"/>
    <w:rsid w:val="00B107FC"/>
    <w:rsid w:val="00B10A94"/>
    <w:rsid w:val="00B157F9"/>
    <w:rsid w:val="00B16392"/>
    <w:rsid w:val="00B16B32"/>
    <w:rsid w:val="00B17A4D"/>
    <w:rsid w:val="00B20256"/>
    <w:rsid w:val="00B20D09"/>
    <w:rsid w:val="00B22088"/>
    <w:rsid w:val="00B2763F"/>
    <w:rsid w:val="00B27691"/>
    <w:rsid w:val="00B27AAC"/>
    <w:rsid w:val="00B304F3"/>
    <w:rsid w:val="00B30929"/>
    <w:rsid w:val="00B31357"/>
    <w:rsid w:val="00B34C4F"/>
    <w:rsid w:val="00B372AA"/>
    <w:rsid w:val="00B40445"/>
    <w:rsid w:val="00B40BEF"/>
    <w:rsid w:val="00B41229"/>
    <w:rsid w:val="00B41888"/>
    <w:rsid w:val="00B41F62"/>
    <w:rsid w:val="00B428EF"/>
    <w:rsid w:val="00B43213"/>
    <w:rsid w:val="00B45A52"/>
    <w:rsid w:val="00B46175"/>
    <w:rsid w:val="00B5166D"/>
    <w:rsid w:val="00B51E2B"/>
    <w:rsid w:val="00B534C3"/>
    <w:rsid w:val="00B557C7"/>
    <w:rsid w:val="00B577D0"/>
    <w:rsid w:val="00B6047E"/>
    <w:rsid w:val="00B60498"/>
    <w:rsid w:val="00B6053F"/>
    <w:rsid w:val="00B612DB"/>
    <w:rsid w:val="00B6159A"/>
    <w:rsid w:val="00B6188F"/>
    <w:rsid w:val="00B62B93"/>
    <w:rsid w:val="00B651C8"/>
    <w:rsid w:val="00B664C7"/>
    <w:rsid w:val="00B66768"/>
    <w:rsid w:val="00B70A50"/>
    <w:rsid w:val="00B730D6"/>
    <w:rsid w:val="00B739F6"/>
    <w:rsid w:val="00B75287"/>
    <w:rsid w:val="00B8147E"/>
    <w:rsid w:val="00B81A6C"/>
    <w:rsid w:val="00B81AD2"/>
    <w:rsid w:val="00B85A64"/>
    <w:rsid w:val="00B85DE5"/>
    <w:rsid w:val="00B87FE2"/>
    <w:rsid w:val="00B90F73"/>
    <w:rsid w:val="00B91965"/>
    <w:rsid w:val="00B93943"/>
    <w:rsid w:val="00B93B59"/>
    <w:rsid w:val="00B93C73"/>
    <w:rsid w:val="00B9406A"/>
    <w:rsid w:val="00B94681"/>
    <w:rsid w:val="00B968B5"/>
    <w:rsid w:val="00B96CAC"/>
    <w:rsid w:val="00B97752"/>
    <w:rsid w:val="00B97AB9"/>
    <w:rsid w:val="00BA1608"/>
    <w:rsid w:val="00BA1EA2"/>
    <w:rsid w:val="00BA2280"/>
    <w:rsid w:val="00BA2A08"/>
    <w:rsid w:val="00BA37B6"/>
    <w:rsid w:val="00BA37E4"/>
    <w:rsid w:val="00BA3BF9"/>
    <w:rsid w:val="00BA4F2A"/>
    <w:rsid w:val="00BA56D2"/>
    <w:rsid w:val="00BA6E05"/>
    <w:rsid w:val="00BA76E0"/>
    <w:rsid w:val="00BB0C12"/>
    <w:rsid w:val="00BB0FFD"/>
    <w:rsid w:val="00BB2A25"/>
    <w:rsid w:val="00BB2E6F"/>
    <w:rsid w:val="00BB3C8E"/>
    <w:rsid w:val="00BB478B"/>
    <w:rsid w:val="00BB51E9"/>
    <w:rsid w:val="00BB6098"/>
    <w:rsid w:val="00BB6AE7"/>
    <w:rsid w:val="00BB7539"/>
    <w:rsid w:val="00BB7C78"/>
    <w:rsid w:val="00BC0935"/>
    <w:rsid w:val="00BC0FDC"/>
    <w:rsid w:val="00BC21F5"/>
    <w:rsid w:val="00BC2D3E"/>
    <w:rsid w:val="00BC3053"/>
    <w:rsid w:val="00BC47BA"/>
    <w:rsid w:val="00BC4D2E"/>
    <w:rsid w:val="00BC53F2"/>
    <w:rsid w:val="00BD0BD6"/>
    <w:rsid w:val="00BD1345"/>
    <w:rsid w:val="00BD1CC4"/>
    <w:rsid w:val="00BD2553"/>
    <w:rsid w:val="00BD48AC"/>
    <w:rsid w:val="00BD5F1A"/>
    <w:rsid w:val="00BD7D1C"/>
    <w:rsid w:val="00BD7E94"/>
    <w:rsid w:val="00BE1234"/>
    <w:rsid w:val="00BE2FA6"/>
    <w:rsid w:val="00BE333F"/>
    <w:rsid w:val="00BE4150"/>
    <w:rsid w:val="00BE4AB2"/>
    <w:rsid w:val="00BE4EDB"/>
    <w:rsid w:val="00BE5F2B"/>
    <w:rsid w:val="00BE6583"/>
    <w:rsid w:val="00BE7406"/>
    <w:rsid w:val="00BE7603"/>
    <w:rsid w:val="00BE7EA2"/>
    <w:rsid w:val="00BF3279"/>
    <w:rsid w:val="00BF4661"/>
    <w:rsid w:val="00BF4F2C"/>
    <w:rsid w:val="00BF6A9D"/>
    <w:rsid w:val="00BF74C7"/>
    <w:rsid w:val="00C015F1"/>
    <w:rsid w:val="00C01891"/>
    <w:rsid w:val="00C01B87"/>
    <w:rsid w:val="00C01F33"/>
    <w:rsid w:val="00C02CC6"/>
    <w:rsid w:val="00C03B8E"/>
    <w:rsid w:val="00C040F7"/>
    <w:rsid w:val="00C041B0"/>
    <w:rsid w:val="00C044AB"/>
    <w:rsid w:val="00C05706"/>
    <w:rsid w:val="00C05F3D"/>
    <w:rsid w:val="00C07377"/>
    <w:rsid w:val="00C102C6"/>
    <w:rsid w:val="00C10478"/>
    <w:rsid w:val="00C12107"/>
    <w:rsid w:val="00C12A69"/>
    <w:rsid w:val="00C12EBF"/>
    <w:rsid w:val="00C14D4B"/>
    <w:rsid w:val="00C154BB"/>
    <w:rsid w:val="00C1782C"/>
    <w:rsid w:val="00C23A9C"/>
    <w:rsid w:val="00C27690"/>
    <w:rsid w:val="00C279B5"/>
    <w:rsid w:val="00C27C45"/>
    <w:rsid w:val="00C31C1E"/>
    <w:rsid w:val="00C3264B"/>
    <w:rsid w:val="00C33F2A"/>
    <w:rsid w:val="00C356D1"/>
    <w:rsid w:val="00C3719D"/>
    <w:rsid w:val="00C374C3"/>
    <w:rsid w:val="00C37516"/>
    <w:rsid w:val="00C37C68"/>
    <w:rsid w:val="00C4169C"/>
    <w:rsid w:val="00C42BBB"/>
    <w:rsid w:val="00C4469E"/>
    <w:rsid w:val="00C51239"/>
    <w:rsid w:val="00C52697"/>
    <w:rsid w:val="00C54995"/>
    <w:rsid w:val="00C54D41"/>
    <w:rsid w:val="00C56560"/>
    <w:rsid w:val="00C60783"/>
    <w:rsid w:val="00C60BFA"/>
    <w:rsid w:val="00C615A3"/>
    <w:rsid w:val="00C64562"/>
    <w:rsid w:val="00C64672"/>
    <w:rsid w:val="00C652CE"/>
    <w:rsid w:val="00C65D12"/>
    <w:rsid w:val="00C70697"/>
    <w:rsid w:val="00C72EF4"/>
    <w:rsid w:val="00C750D4"/>
    <w:rsid w:val="00C75D2F"/>
    <w:rsid w:val="00C767BE"/>
    <w:rsid w:val="00C76813"/>
    <w:rsid w:val="00C7683A"/>
    <w:rsid w:val="00C76E3C"/>
    <w:rsid w:val="00C810CC"/>
    <w:rsid w:val="00C81479"/>
    <w:rsid w:val="00C81568"/>
    <w:rsid w:val="00C81BF2"/>
    <w:rsid w:val="00C84D49"/>
    <w:rsid w:val="00C9027A"/>
    <w:rsid w:val="00C9068E"/>
    <w:rsid w:val="00C918ED"/>
    <w:rsid w:val="00C93C4B"/>
    <w:rsid w:val="00C93DE3"/>
    <w:rsid w:val="00C944AB"/>
    <w:rsid w:val="00C94B13"/>
    <w:rsid w:val="00C95073"/>
    <w:rsid w:val="00C95818"/>
    <w:rsid w:val="00C95B1D"/>
    <w:rsid w:val="00C95B40"/>
    <w:rsid w:val="00CA0E17"/>
    <w:rsid w:val="00CA1ED8"/>
    <w:rsid w:val="00CA1FD5"/>
    <w:rsid w:val="00CA21B2"/>
    <w:rsid w:val="00CA3FD0"/>
    <w:rsid w:val="00CA7EA9"/>
    <w:rsid w:val="00CB1F63"/>
    <w:rsid w:val="00CB216B"/>
    <w:rsid w:val="00CB2882"/>
    <w:rsid w:val="00CB7170"/>
    <w:rsid w:val="00CB798B"/>
    <w:rsid w:val="00CC040E"/>
    <w:rsid w:val="00CC08B7"/>
    <w:rsid w:val="00CC0C42"/>
    <w:rsid w:val="00CC111F"/>
    <w:rsid w:val="00CC2011"/>
    <w:rsid w:val="00CC2E46"/>
    <w:rsid w:val="00CC3553"/>
    <w:rsid w:val="00CC3DA8"/>
    <w:rsid w:val="00CC3EA0"/>
    <w:rsid w:val="00CC4B9C"/>
    <w:rsid w:val="00CC6291"/>
    <w:rsid w:val="00CC630F"/>
    <w:rsid w:val="00CC7B45"/>
    <w:rsid w:val="00CD1188"/>
    <w:rsid w:val="00CD2ED1"/>
    <w:rsid w:val="00CD2EEA"/>
    <w:rsid w:val="00CD337B"/>
    <w:rsid w:val="00CD3913"/>
    <w:rsid w:val="00CD3950"/>
    <w:rsid w:val="00CD4161"/>
    <w:rsid w:val="00CD451C"/>
    <w:rsid w:val="00CD5547"/>
    <w:rsid w:val="00CD7454"/>
    <w:rsid w:val="00CD7BB3"/>
    <w:rsid w:val="00CD7CC9"/>
    <w:rsid w:val="00CE0424"/>
    <w:rsid w:val="00CE0CF0"/>
    <w:rsid w:val="00CE14CA"/>
    <w:rsid w:val="00CE2190"/>
    <w:rsid w:val="00CE2292"/>
    <w:rsid w:val="00CE329E"/>
    <w:rsid w:val="00CE379D"/>
    <w:rsid w:val="00CE5370"/>
    <w:rsid w:val="00CE5BF0"/>
    <w:rsid w:val="00CE6444"/>
    <w:rsid w:val="00CE6D89"/>
    <w:rsid w:val="00CE7561"/>
    <w:rsid w:val="00CF1354"/>
    <w:rsid w:val="00CF27AA"/>
    <w:rsid w:val="00CF3B1F"/>
    <w:rsid w:val="00CF3BF6"/>
    <w:rsid w:val="00CF4291"/>
    <w:rsid w:val="00CF613D"/>
    <w:rsid w:val="00CF625B"/>
    <w:rsid w:val="00CF6381"/>
    <w:rsid w:val="00CF687E"/>
    <w:rsid w:val="00D0276A"/>
    <w:rsid w:val="00D0349B"/>
    <w:rsid w:val="00D03581"/>
    <w:rsid w:val="00D06835"/>
    <w:rsid w:val="00D10249"/>
    <w:rsid w:val="00D115C3"/>
    <w:rsid w:val="00D11897"/>
    <w:rsid w:val="00D1288D"/>
    <w:rsid w:val="00D13135"/>
    <w:rsid w:val="00D13E4E"/>
    <w:rsid w:val="00D1467E"/>
    <w:rsid w:val="00D14718"/>
    <w:rsid w:val="00D14770"/>
    <w:rsid w:val="00D15A36"/>
    <w:rsid w:val="00D17A07"/>
    <w:rsid w:val="00D20857"/>
    <w:rsid w:val="00D2207F"/>
    <w:rsid w:val="00D22335"/>
    <w:rsid w:val="00D239A7"/>
    <w:rsid w:val="00D23F47"/>
    <w:rsid w:val="00D36E71"/>
    <w:rsid w:val="00D37163"/>
    <w:rsid w:val="00D37D87"/>
    <w:rsid w:val="00D40B33"/>
    <w:rsid w:val="00D40C88"/>
    <w:rsid w:val="00D4318F"/>
    <w:rsid w:val="00D438BF"/>
    <w:rsid w:val="00D43FF5"/>
    <w:rsid w:val="00D440F8"/>
    <w:rsid w:val="00D4619F"/>
    <w:rsid w:val="00D463E6"/>
    <w:rsid w:val="00D46B1B"/>
    <w:rsid w:val="00D50029"/>
    <w:rsid w:val="00D50F97"/>
    <w:rsid w:val="00D5139D"/>
    <w:rsid w:val="00D537EA"/>
    <w:rsid w:val="00D546FF"/>
    <w:rsid w:val="00D55AD5"/>
    <w:rsid w:val="00D56F77"/>
    <w:rsid w:val="00D576CA"/>
    <w:rsid w:val="00D60DDC"/>
    <w:rsid w:val="00D61AF5"/>
    <w:rsid w:val="00D61BE7"/>
    <w:rsid w:val="00D623DA"/>
    <w:rsid w:val="00D643D8"/>
    <w:rsid w:val="00D64926"/>
    <w:rsid w:val="00D64B28"/>
    <w:rsid w:val="00D64C15"/>
    <w:rsid w:val="00D64F68"/>
    <w:rsid w:val="00D65164"/>
    <w:rsid w:val="00D652B5"/>
    <w:rsid w:val="00D66155"/>
    <w:rsid w:val="00D708B0"/>
    <w:rsid w:val="00D715EE"/>
    <w:rsid w:val="00D71C9E"/>
    <w:rsid w:val="00D73960"/>
    <w:rsid w:val="00D741C1"/>
    <w:rsid w:val="00D74C98"/>
    <w:rsid w:val="00D7528D"/>
    <w:rsid w:val="00D773D9"/>
    <w:rsid w:val="00D77B1D"/>
    <w:rsid w:val="00D8021F"/>
    <w:rsid w:val="00D80383"/>
    <w:rsid w:val="00D820DB"/>
    <w:rsid w:val="00D823C6"/>
    <w:rsid w:val="00D8281A"/>
    <w:rsid w:val="00D8409E"/>
    <w:rsid w:val="00D846DA"/>
    <w:rsid w:val="00D84FCF"/>
    <w:rsid w:val="00D85767"/>
    <w:rsid w:val="00D86CA3"/>
    <w:rsid w:val="00D871CE"/>
    <w:rsid w:val="00D874E8"/>
    <w:rsid w:val="00D9196D"/>
    <w:rsid w:val="00D92982"/>
    <w:rsid w:val="00D95155"/>
    <w:rsid w:val="00D970FB"/>
    <w:rsid w:val="00DA0050"/>
    <w:rsid w:val="00DA0099"/>
    <w:rsid w:val="00DA0944"/>
    <w:rsid w:val="00DA1B05"/>
    <w:rsid w:val="00DA305E"/>
    <w:rsid w:val="00DA488F"/>
    <w:rsid w:val="00DA5417"/>
    <w:rsid w:val="00DA56E8"/>
    <w:rsid w:val="00DA7A90"/>
    <w:rsid w:val="00DB0A9F"/>
    <w:rsid w:val="00DB0F71"/>
    <w:rsid w:val="00DB269D"/>
    <w:rsid w:val="00DB2F1E"/>
    <w:rsid w:val="00DB377D"/>
    <w:rsid w:val="00DB4317"/>
    <w:rsid w:val="00DB5D4D"/>
    <w:rsid w:val="00DC2507"/>
    <w:rsid w:val="00DC2D36"/>
    <w:rsid w:val="00DC52D1"/>
    <w:rsid w:val="00DC53EF"/>
    <w:rsid w:val="00DD1801"/>
    <w:rsid w:val="00DD189D"/>
    <w:rsid w:val="00DD2759"/>
    <w:rsid w:val="00DD42F8"/>
    <w:rsid w:val="00DD5420"/>
    <w:rsid w:val="00DD549E"/>
    <w:rsid w:val="00DD75CD"/>
    <w:rsid w:val="00DD7E86"/>
    <w:rsid w:val="00DE0770"/>
    <w:rsid w:val="00DE162A"/>
    <w:rsid w:val="00DE2203"/>
    <w:rsid w:val="00DE4A01"/>
    <w:rsid w:val="00DE5608"/>
    <w:rsid w:val="00DE58D0"/>
    <w:rsid w:val="00DE6488"/>
    <w:rsid w:val="00DE654F"/>
    <w:rsid w:val="00DE6DBD"/>
    <w:rsid w:val="00DF067F"/>
    <w:rsid w:val="00DF0B6E"/>
    <w:rsid w:val="00DF10B3"/>
    <w:rsid w:val="00DF15E0"/>
    <w:rsid w:val="00DF37A0"/>
    <w:rsid w:val="00DF5B2E"/>
    <w:rsid w:val="00DF70EF"/>
    <w:rsid w:val="00DF71A0"/>
    <w:rsid w:val="00E02DB2"/>
    <w:rsid w:val="00E03887"/>
    <w:rsid w:val="00E051F4"/>
    <w:rsid w:val="00E05349"/>
    <w:rsid w:val="00E05836"/>
    <w:rsid w:val="00E05AEA"/>
    <w:rsid w:val="00E076F6"/>
    <w:rsid w:val="00E0775F"/>
    <w:rsid w:val="00E10845"/>
    <w:rsid w:val="00E10EC6"/>
    <w:rsid w:val="00E110E7"/>
    <w:rsid w:val="00E11221"/>
    <w:rsid w:val="00E11B20"/>
    <w:rsid w:val="00E125FE"/>
    <w:rsid w:val="00E1277A"/>
    <w:rsid w:val="00E127A7"/>
    <w:rsid w:val="00E1407D"/>
    <w:rsid w:val="00E14825"/>
    <w:rsid w:val="00E14953"/>
    <w:rsid w:val="00E14D9A"/>
    <w:rsid w:val="00E161F1"/>
    <w:rsid w:val="00E17FA2"/>
    <w:rsid w:val="00E20426"/>
    <w:rsid w:val="00E22330"/>
    <w:rsid w:val="00E26163"/>
    <w:rsid w:val="00E30B5A"/>
    <w:rsid w:val="00E3123D"/>
    <w:rsid w:val="00E31461"/>
    <w:rsid w:val="00E31D43"/>
    <w:rsid w:val="00E31FF2"/>
    <w:rsid w:val="00E32317"/>
    <w:rsid w:val="00E32608"/>
    <w:rsid w:val="00E34188"/>
    <w:rsid w:val="00E34B6E"/>
    <w:rsid w:val="00E34EEE"/>
    <w:rsid w:val="00E35559"/>
    <w:rsid w:val="00E35D3B"/>
    <w:rsid w:val="00E3723A"/>
    <w:rsid w:val="00E37860"/>
    <w:rsid w:val="00E37EC2"/>
    <w:rsid w:val="00E41BF6"/>
    <w:rsid w:val="00E446F1"/>
    <w:rsid w:val="00E44CDE"/>
    <w:rsid w:val="00E456FF"/>
    <w:rsid w:val="00E46886"/>
    <w:rsid w:val="00E46F62"/>
    <w:rsid w:val="00E4714D"/>
    <w:rsid w:val="00E47AEF"/>
    <w:rsid w:val="00E50C06"/>
    <w:rsid w:val="00E53822"/>
    <w:rsid w:val="00E53B75"/>
    <w:rsid w:val="00E5490E"/>
    <w:rsid w:val="00E54E3B"/>
    <w:rsid w:val="00E5691F"/>
    <w:rsid w:val="00E56D9C"/>
    <w:rsid w:val="00E57565"/>
    <w:rsid w:val="00E57D9E"/>
    <w:rsid w:val="00E6049E"/>
    <w:rsid w:val="00E60B12"/>
    <w:rsid w:val="00E610A7"/>
    <w:rsid w:val="00E61885"/>
    <w:rsid w:val="00E61AC2"/>
    <w:rsid w:val="00E61C67"/>
    <w:rsid w:val="00E62239"/>
    <w:rsid w:val="00E624DA"/>
    <w:rsid w:val="00E63838"/>
    <w:rsid w:val="00E63E31"/>
    <w:rsid w:val="00E64434"/>
    <w:rsid w:val="00E64C1A"/>
    <w:rsid w:val="00E65768"/>
    <w:rsid w:val="00E660D3"/>
    <w:rsid w:val="00E66B1B"/>
    <w:rsid w:val="00E6712F"/>
    <w:rsid w:val="00E67182"/>
    <w:rsid w:val="00E67C51"/>
    <w:rsid w:val="00E70411"/>
    <w:rsid w:val="00E704A2"/>
    <w:rsid w:val="00E709A3"/>
    <w:rsid w:val="00E729DD"/>
    <w:rsid w:val="00E72D9D"/>
    <w:rsid w:val="00E72EFC"/>
    <w:rsid w:val="00E74EEE"/>
    <w:rsid w:val="00E758EC"/>
    <w:rsid w:val="00E7632A"/>
    <w:rsid w:val="00E76EE6"/>
    <w:rsid w:val="00E8234C"/>
    <w:rsid w:val="00E83AA9"/>
    <w:rsid w:val="00E83D21"/>
    <w:rsid w:val="00E85928"/>
    <w:rsid w:val="00E87822"/>
    <w:rsid w:val="00E90395"/>
    <w:rsid w:val="00E904B2"/>
    <w:rsid w:val="00E90C5B"/>
    <w:rsid w:val="00E90E49"/>
    <w:rsid w:val="00E91639"/>
    <w:rsid w:val="00E917F9"/>
    <w:rsid w:val="00E91BCF"/>
    <w:rsid w:val="00E9291C"/>
    <w:rsid w:val="00E93FFE"/>
    <w:rsid w:val="00E94B4C"/>
    <w:rsid w:val="00E94F8A"/>
    <w:rsid w:val="00EA041B"/>
    <w:rsid w:val="00EA2D1F"/>
    <w:rsid w:val="00EA3BAF"/>
    <w:rsid w:val="00EA5CEA"/>
    <w:rsid w:val="00EA6814"/>
    <w:rsid w:val="00EA768D"/>
    <w:rsid w:val="00EA7A41"/>
    <w:rsid w:val="00EB077B"/>
    <w:rsid w:val="00EB1773"/>
    <w:rsid w:val="00EB2B40"/>
    <w:rsid w:val="00EB334E"/>
    <w:rsid w:val="00EB3685"/>
    <w:rsid w:val="00EB4D1D"/>
    <w:rsid w:val="00EB4EA2"/>
    <w:rsid w:val="00EB6EC5"/>
    <w:rsid w:val="00EB77E3"/>
    <w:rsid w:val="00EC27C6"/>
    <w:rsid w:val="00EC4207"/>
    <w:rsid w:val="00EC5653"/>
    <w:rsid w:val="00EC624B"/>
    <w:rsid w:val="00EC71CE"/>
    <w:rsid w:val="00ED08A3"/>
    <w:rsid w:val="00ED1006"/>
    <w:rsid w:val="00ED1EED"/>
    <w:rsid w:val="00EE1EFA"/>
    <w:rsid w:val="00EE39D7"/>
    <w:rsid w:val="00EE49E9"/>
    <w:rsid w:val="00EE510E"/>
    <w:rsid w:val="00EE5684"/>
    <w:rsid w:val="00EE6FE1"/>
    <w:rsid w:val="00EE7450"/>
    <w:rsid w:val="00EE7CA6"/>
    <w:rsid w:val="00EF18FE"/>
    <w:rsid w:val="00EF1FDF"/>
    <w:rsid w:val="00EF4DE4"/>
    <w:rsid w:val="00EF50BD"/>
    <w:rsid w:val="00EF5787"/>
    <w:rsid w:val="00EF6084"/>
    <w:rsid w:val="00EF60D0"/>
    <w:rsid w:val="00EF674D"/>
    <w:rsid w:val="00F03A57"/>
    <w:rsid w:val="00F03B0D"/>
    <w:rsid w:val="00F0528D"/>
    <w:rsid w:val="00F06C67"/>
    <w:rsid w:val="00F06DFD"/>
    <w:rsid w:val="00F071D1"/>
    <w:rsid w:val="00F07205"/>
    <w:rsid w:val="00F07533"/>
    <w:rsid w:val="00F0794F"/>
    <w:rsid w:val="00F10629"/>
    <w:rsid w:val="00F10753"/>
    <w:rsid w:val="00F129CA"/>
    <w:rsid w:val="00F13268"/>
    <w:rsid w:val="00F14F48"/>
    <w:rsid w:val="00F153BA"/>
    <w:rsid w:val="00F154BD"/>
    <w:rsid w:val="00F156C0"/>
    <w:rsid w:val="00F15FA5"/>
    <w:rsid w:val="00F1692D"/>
    <w:rsid w:val="00F17052"/>
    <w:rsid w:val="00F17382"/>
    <w:rsid w:val="00F17D8D"/>
    <w:rsid w:val="00F2003E"/>
    <w:rsid w:val="00F209B7"/>
    <w:rsid w:val="00F21028"/>
    <w:rsid w:val="00F21659"/>
    <w:rsid w:val="00F22A39"/>
    <w:rsid w:val="00F2376F"/>
    <w:rsid w:val="00F243D8"/>
    <w:rsid w:val="00F2485A"/>
    <w:rsid w:val="00F25453"/>
    <w:rsid w:val="00F2594C"/>
    <w:rsid w:val="00F25BFD"/>
    <w:rsid w:val="00F27815"/>
    <w:rsid w:val="00F30828"/>
    <w:rsid w:val="00F313D6"/>
    <w:rsid w:val="00F32168"/>
    <w:rsid w:val="00F323D7"/>
    <w:rsid w:val="00F34128"/>
    <w:rsid w:val="00F34273"/>
    <w:rsid w:val="00F35900"/>
    <w:rsid w:val="00F37A85"/>
    <w:rsid w:val="00F40F0C"/>
    <w:rsid w:val="00F42484"/>
    <w:rsid w:val="00F45AEE"/>
    <w:rsid w:val="00F4766C"/>
    <w:rsid w:val="00F503A9"/>
    <w:rsid w:val="00F5052A"/>
    <w:rsid w:val="00F507D1"/>
    <w:rsid w:val="00F50E80"/>
    <w:rsid w:val="00F519CE"/>
    <w:rsid w:val="00F51ADA"/>
    <w:rsid w:val="00F52896"/>
    <w:rsid w:val="00F545F9"/>
    <w:rsid w:val="00F56F8D"/>
    <w:rsid w:val="00F60074"/>
    <w:rsid w:val="00F607C5"/>
    <w:rsid w:val="00F60DEA"/>
    <w:rsid w:val="00F6302A"/>
    <w:rsid w:val="00F63F81"/>
    <w:rsid w:val="00F64C2B"/>
    <w:rsid w:val="00F64F0C"/>
    <w:rsid w:val="00F651BE"/>
    <w:rsid w:val="00F67F53"/>
    <w:rsid w:val="00F703BE"/>
    <w:rsid w:val="00F71F69"/>
    <w:rsid w:val="00F72B72"/>
    <w:rsid w:val="00F72E21"/>
    <w:rsid w:val="00F74BB9"/>
    <w:rsid w:val="00F75582"/>
    <w:rsid w:val="00F75F8E"/>
    <w:rsid w:val="00F76EFA"/>
    <w:rsid w:val="00F778A9"/>
    <w:rsid w:val="00F804BE"/>
    <w:rsid w:val="00F80FC2"/>
    <w:rsid w:val="00F8142D"/>
    <w:rsid w:val="00F81721"/>
    <w:rsid w:val="00F817CE"/>
    <w:rsid w:val="00F8456C"/>
    <w:rsid w:val="00F859D8"/>
    <w:rsid w:val="00F868F5"/>
    <w:rsid w:val="00F9056A"/>
    <w:rsid w:val="00F90F8D"/>
    <w:rsid w:val="00F925D7"/>
    <w:rsid w:val="00F92782"/>
    <w:rsid w:val="00F927A0"/>
    <w:rsid w:val="00F93AA9"/>
    <w:rsid w:val="00F94C8C"/>
    <w:rsid w:val="00F9620A"/>
    <w:rsid w:val="00F96985"/>
    <w:rsid w:val="00F97838"/>
    <w:rsid w:val="00FA2BB3"/>
    <w:rsid w:val="00FA6FA6"/>
    <w:rsid w:val="00FB0492"/>
    <w:rsid w:val="00FB10CB"/>
    <w:rsid w:val="00FB12AA"/>
    <w:rsid w:val="00FB4C80"/>
    <w:rsid w:val="00FB6A6A"/>
    <w:rsid w:val="00FC0743"/>
    <w:rsid w:val="00FC1D05"/>
    <w:rsid w:val="00FC3822"/>
    <w:rsid w:val="00FC4089"/>
    <w:rsid w:val="00FC661D"/>
    <w:rsid w:val="00FC708B"/>
    <w:rsid w:val="00FC7429"/>
    <w:rsid w:val="00FD0690"/>
    <w:rsid w:val="00FD07F6"/>
    <w:rsid w:val="00FD1EC8"/>
    <w:rsid w:val="00FD3FC5"/>
    <w:rsid w:val="00FD47ED"/>
    <w:rsid w:val="00FD5166"/>
    <w:rsid w:val="00FD74DB"/>
    <w:rsid w:val="00FD7660"/>
    <w:rsid w:val="00FD78C4"/>
    <w:rsid w:val="00FE0655"/>
    <w:rsid w:val="00FE12EA"/>
    <w:rsid w:val="00FE131D"/>
    <w:rsid w:val="00FE1AB3"/>
    <w:rsid w:val="00FE2365"/>
    <w:rsid w:val="00FE3152"/>
    <w:rsid w:val="00FE42F2"/>
    <w:rsid w:val="00FE4C7B"/>
    <w:rsid w:val="00FE6318"/>
    <w:rsid w:val="00FE67B2"/>
    <w:rsid w:val="00FE7336"/>
    <w:rsid w:val="00FE787C"/>
    <w:rsid w:val="00FF1E2C"/>
    <w:rsid w:val="00FF2CB4"/>
    <w:rsid w:val="00FF3265"/>
    <w:rsid w:val="00FF45A5"/>
    <w:rsid w:val="00FF54D5"/>
    <w:rsid w:val="00FF5BCB"/>
    <w:rsid w:val="00FF5C91"/>
    <w:rsid w:val="00FF67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DFA041C7-8B3F-4B00-85E1-A43F80F4D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21"/>
      </w:numPr>
      <w:overflowPunct/>
      <w:autoSpaceDE/>
      <w:autoSpaceDN/>
      <w:adjustRightInd/>
      <w:spacing w:before="120"/>
      <w:jc w:val="left"/>
      <w:textAlignment w:val="auto"/>
    </w:pPr>
    <w:rPr>
      <w:sz w:val="24"/>
      <w:szCs w:val="24"/>
      <w:lang w:val="en-US" w:eastAsia="en-US"/>
    </w:rPr>
  </w:style>
  <w:style w:type="paragraph" w:customStyle="1" w:styleId="maintext">
    <w:name w:val="main text"/>
    <w:basedOn w:val="Normal"/>
    <w:link w:val="maintextChar"/>
    <w:qFormat/>
    <w:rsid w:val="005A22AC"/>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5NUHHDQN7SK2-1476151046-52361</_dlc_DocId>
    <_dlc_DocIdUrl xmlns="f166a696-7b5b-4ccd-9f0c-ffde0cceec81">
      <Url>https://ericsson.sharepoint.com/sites/star/_layouts/15/DocIdRedir.aspx?ID=5NUHHDQN7SK2-1476151046-52361</Url>
      <Description>5NUHHDQN7SK2-1476151046-52361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3BF68-F1B8-4C68-A49E-952F0F25A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6.xml><?xml version="1.0" encoding="utf-8"?>
<ds:datastoreItem xmlns:ds="http://schemas.openxmlformats.org/officeDocument/2006/customXml" ds:itemID="{F9AC6988-A222-4B1F-89F0-5598AB0FDB6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7.xml><?xml version="1.0" encoding="utf-8"?>
<ds:datastoreItem xmlns:ds="http://schemas.openxmlformats.org/officeDocument/2006/customXml" ds:itemID="{328BB712-EE5A-419F-BC9C-2F8547E5B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3217</TotalTime>
  <Pages>11</Pages>
  <Words>4995</Words>
  <Characters>26477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1296</cp:revision>
  <cp:lastPrinted>2019-08-16T12:22:00Z</cp:lastPrinted>
  <dcterms:created xsi:type="dcterms:W3CDTF">2017-02-07T17:47:00Z</dcterms:created>
  <dcterms:modified xsi:type="dcterms:W3CDTF">2019-08-16T16:41:00Z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2f6031fe-3899-4abc-b605-6bae07930ff9</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