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CF9" w:rsidRDefault="00BC4CF9" w:rsidP="00BC4CF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WG1 Meeting #98</w:t>
      </w:r>
      <w:r>
        <w:rPr>
          <w:rFonts w:cs="Arial"/>
          <w:b/>
          <w:noProof/>
          <w:sz w:val="24"/>
          <w:szCs w:val="24"/>
        </w:rPr>
        <w:tab/>
      </w:r>
      <w:r w:rsidR="00F17073">
        <w:rPr>
          <w:rFonts w:cs="Arial"/>
          <w:b/>
          <w:bCs/>
          <w:color w:val="000000" w:themeColor="text1"/>
          <w:sz w:val="26"/>
          <w:szCs w:val="26"/>
        </w:rPr>
        <w:t>R1-1909005</w:t>
      </w:r>
    </w:p>
    <w:p w:rsidR="00BC4CF9" w:rsidRDefault="00BC4CF9" w:rsidP="00BC4CF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Prague, Czech Republic, 26th</w:t>
      </w:r>
      <w:r w:rsidRPr="007C59AF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August – 30th August, 2019</w:t>
      </w:r>
      <w:r>
        <w:rPr>
          <w:rFonts w:cs="Arial"/>
          <w:b/>
          <w:noProof/>
          <w:sz w:val="24"/>
          <w:szCs w:val="24"/>
        </w:rPr>
        <w:tab/>
      </w:r>
    </w:p>
    <w:p w:rsidR="00BC4CF9" w:rsidRPr="00155924" w:rsidRDefault="00BC4CF9" w:rsidP="00BC4CF9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155924">
        <w:rPr>
          <w:sz w:val="24"/>
        </w:rPr>
        <w:tab/>
      </w:r>
    </w:p>
    <w:p w:rsidR="00BC4CF9" w:rsidRPr="00474F96" w:rsidRDefault="00BC4CF9" w:rsidP="00BC4CF9">
      <w:pPr>
        <w:ind w:left="1988" w:hanging="1988"/>
        <w:jc w:val="both"/>
        <w:rPr>
          <w:rFonts w:ascii="Arial" w:hAnsi="Arial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 w:cs="Arial"/>
          <w:sz w:val="24"/>
          <w:szCs w:val="24"/>
        </w:rPr>
        <w:t>TDD Timing on FDD Bands for Dual Uplink</w:t>
      </w:r>
      <w:r w:rsidR="00EB5D95">
        <w:rPr>
          <w:rFonts w:ascii="Arial" w:hAnsi="Arial" w:cs="Arial"/>
          <w:sz w:val="24"/>
          <w:szCs w:val="24"/>
        </w:rPr>
        <w:t xml:space="preserve"> EN-DC</w:t>
      </w:r>
      <w:r w:rsidRPr="00A02759">
        <w:rPr>
          <w:rFonts w:ascii="Arial" w:hAnsi="Arial" w:cs="Arial"/>
          <w:sz w:val="24"/>
          <w:szCs w:val="24"/>
        </w:rPr>
        <w:t> </w:t>
      </w:r>
    </w:p>
    <w:p w:rsidR="00BC4CF9" w:rsidRDefault="00BC4CF9" w:rsidP="00BC4CF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</w:p>
    <w:p w:rsidR="00BC4CF9" w:rsidRPr="00036934" w:rsidRDefault="00BC4CF9" w:rsidP="00BC4CF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7.2.13.2</w:t>
      </w:r>
    </w:p>
    <w:p w:rsidR="007805A9" w:rsidRDefault="00BC4CF9" w:rsidP="00BC4CF9">
      <w:pPr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 xml:space="preserve">     Discussion/Decision</w:t>
      </w:r>
    </w:p>
    <w:p w:rsidR="00D75166" w:rsidRPr="00874684" w:rsidRDefault="00D75166" w:rsidP="00D75166">
      <w:pPr>
        <w:pStyle w:val="Heading1"/>
        <w:ind w:left="284" w:hanging="284"/>
      </w:pPr>
      <w:r>
        <w:t xml:space="preserve">    </w:t>
      </w:r>
      <w:r w:rsidRPr="00874684">
        <w:t xml:space="preserve">Introduction </w:t>
      </w:r>
    </w:p>
    <w:p w:rsidR="00D75166" w:rsidRPr="008F336A" w:rsidRDefault="00D75166" w:rsidP="007D0147">
      <w:pPr>
        <w:tabs>
          <w:tab w:val="left" w:pos="1985"/>
        </w:tabs>
        <w:ind w:right="-441"/>
        <w:jc w:val="both"/>
        <w:rPr>
          <w:sz w:val="20"/>
          <w:szCs w:val="20"/>
        </w:rPr>
      </w:pPr>
      <w:r>
        <w:rPr>
          <w:sz w:val="20"/>
          <w:szCs w:val="20"/>
        </w:rPr>
        <w:t>In RAN #84, it was agreed that with regards to EN-DC, the following RAN1 objective should be met [1]:</w:t>
      </w:r>
    </w:p>
    <w:p w:rsidR="00D75166" w:rsidRPr="00504DFF" w:rsidRDefault="00D75166" w:rsidP="00504D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lang w:val="en-US"/>
        </w:rPr>
      </w:pPr>
      <w:r w:rsidRPr="00504DFF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Enable the Release 15 </w:t>
      </w:r>
      <w:proofErr w:type="spellStart"/>
      <w:r w:rsidRPr="00504DFF">
        <w:rPr>
          <w:rFonts w:ascii="Times New Roman" w:hAnsi="Times New Roman" w:cs="Times New Roman"/>
          <w:bCs/>
          <w:sz w:val="20"/>
          <w:szCs w:val="20"/>
          <w:lang w:val="en-US"/>
        </w:rPr>
        <w:t>behaviour</w:t>
      </w:r>
      <w:proofErr w:type="spellEnd"/>
      <w:r w:rsidRPr="00504DFF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of </w:t>
      </w:r>
      <w:r w:rsidRPr="00504DFF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US"/>
        </w:rPr>
        <w:t>“</w:t>
      </w:r>
      <w:r w:rsidRPr="00504DFF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 xml:space="preserve">DL HARQ timing for FDD </w:t>
      </w:r>
      <w:proofErr w:type="spellStart"/>
      <w:r w:rsidRPr="00504DFF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>Scell</w:t>
      </w:r>
      <w:proofErr w:type="spellEnd"/>
      <w:r w:rsidRPr="00504DFF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 xml:space="preserve"> for LTE TDD-FDD CA with TDD </w:t>
      </w:r>
      <w:proofErr w:type="spellStart"/>
      <w:r w:rsidRPr="00504DFF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>Pcell</w:t>
      </w:r>
      <w:proofErr w:type="spellEnd"/>
      <w:r w:rsidRPr="00504DFF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 xml:space="preserve">, applied to FDD </w:t>
      </w:r>
      <w:proofErr w:type="spellStart"/>
      <w:r w:rsidRPr="00504DFF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>Pcell</w:t>
      </w:r>
      <w:proofErr w:type="spellEnd"/>
      <w:r w:rsidRPr="00504DFF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  <w:t>”</w:t>
      </w:r>
      <w:r w:rsidRPr="00504DFF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to apply to dual uplink EN-DC, possibly including any conclusions on the previous objective for LTE FDD </w:t>
      </w:r>
      <w:proofErr w:type="spellStart"/>
      <w:r w:rsidRPr="00504DFF">
        <w:rPr>
          <w:rFonts w:ascii="Times New Roman" w:hAnsi="Times New Roman" w:cs="Times New Roman"/>
          <w:bCs/>
          <w:sz w:val="20"/>
          <w:szCs w:val="20"/>
          <w:lang w:val="en-US"/>
        </w:rPr>
        <w:t>Pcells</w:t>
      </w:r>
      <w:proofErr w:type="spellEnd"/>
      <w:r w:rsidRPr="00504DFF">
        <w:rPr>
          <w:rFonts w:ascii="Times New Roman" w:hAnsi="Times New Roman" w:cs="Times New Roman"/>
          <w:bCs/>
          <w:sz w:val="20"/>
          <w:szCs w:val="20"/>
          <w:lang w:val="en-US"/>
        </w:rPr>
        <w:t>.</w:t>
      </w:r>
    </w:p>
    <w:p w:rsidR="00504DFF" w:rsidRDefault="00504DFF" w:rsidP="007D0147">
      <w:pPr>
        <w:jc w:val="both"/>
        <w:rPr>
          <w:lang w:val="en-US"/>
        </w:rPr>
      </w:pPr>
    </w:p>
    <w:p w:rsidR="00D75166" w:rsidRDefault="00D75166" w:rsidP="007D0147">
      <w:pPr>
        <w:jc w:val="both"/>
        <w:rPr>
          <w:sz w:val="20"/>
          <w:szCs w:val="20"/>
        </w:rPr>
      </w:pPr>
      <w:r>
        <w:rPr>
          <w:sz w:val="20"/>
          <w:szCs w:val="20"/>
        </w:rPr>
        <w:t>The purpose of this contribution pap</w:t>
      </w:r>
      <w:r w:rsidR="00A00CFC">
        <w:rPr>
          <w:sz w:val="20"/>
          <w:szCs w:val="20"/>
        </w:rPr>
        <w:t>er is to discuss how the above objective taken from the WID [1]</w:t>
      </w:r>
      <w:r>
        <w:rPr>
          <w:sz w:val="20"/>
          <w:szCs w:val="20"/>
        </w:rPr>
        <w:t xml:space="preserve"> can be met in terms of the RAN1 specification impact, given the current setup of FDD/TDD bands for dual connectivity, in this NR Release 16 WI. The proposals take into consideration the existing UE capability parameters to outline the necessary specification changes nee</w:t>
      </w:r>
      <w:r w:rsidR="00A00CFC">
        <w:rPr>
          <w:sz w:val="20"/>
          <w:szCs w:val="20"/>
        </w:rPr>
        <w:t>ded to meet the WID objective [1]</w:t>
      </w:r>
      <w:r>
        <w:rPr>
          <w:sz w:val="20"/>
          <w:szCs w:val="20"/>
        </w:rPr>
        <w:t xml:space="preserve">. </w:t>
      </w:r>
    </w:p>
    <w:p w:rsidR="007D0147" w:rsidRDefault="007D0147" w:rsidP="007D0147">
      <w:pPr>
        <w:pStyle w:val="Heading1"/>
        <w:ind w:left="0" w:firstLine="0"/>
      </w:pPr>
      <w:r>
        <w:t>Limitations in Existing Specifications</w:t>
      </w:r>
    </w:p>
    <w:p w:rsidR="007D0147" w:rsidRDefault="00971AAB" w:rsidP="007D0147">
      <w:pPr>
        <w:rPr>
          <w:color w:val="0D0D0D" w:themeColor="text1" w:themeTint="F2"/>
          <w:sz w:val="20"/>
          <w:szCs w:val="20"/>
        </w:rPr>
      </w:pPr>
      <w:r>
        <w:rPr>
          <w:color w:val="0D0D0D" w:themeColor="text1" w:themeTint="F2"/>
          <w:sz w:val="20"/>
          <w:szCs w:val="20"/>
        </w:rPr>
        <w:t>Firstly, it is necessary to analyse how the existing specifications preclude the enablement of the “</w:t>
      </w:r>
      <w:r w:rsidRPr="00971AAB">
        <w:rPr>
          <w:color w:val="000000" w:themeColor="text1"/>
          <w:sz w:val="20"/>
          <w:szCs w:val="20"/>
          <w:lang w:val="en-US"/>
        </w:rPr>
        <w:t xml:space="preserve">DL HARQ timing for FDD </w:t>
      </w:r>
      <w:proofErr w:type="spellStart"/>
      <w:r w:rsidRPr="00971AAB">
        <w:rPr>
          <w:color w:val="000000" w:themeColor="text1"/>
          <w:sz w:val="20"/>
          <w:szCs w:val="20"/>
          <w:lang w:val="en-US"/>
        </w:rPr>
        <w:t>Scell</w:t>
      </w:r>
      <w:proofErr w:type="spellEnd"/>
      <w:r w:rsidRPr="00971AAB">
        <w:rPr>
          <w:color w:val="000000" w:themeColor="text1"/>
          <w:sz w:val="20"/>
          <w:szCs w:val="20"/>
          <w:lang w:val="en-US"/>
        </w:rPr>
        <w:t xml:space="preserve"> for LTE TDD-FDD CA with TDD </w:t>
      </w:r>
      <w:proofErr w:type="spellStart"/>
      <w:r w:rsidRPr="00971AAB">
        <w:rPr>
          <w:color w:val="000000" w:themeColor="text1"/>
          <w:sz w:val="20"/>
          <w:szCs w:val="20"/>
          <w:lang w:val="en-US"/>
        </w:rPr>
        <w:t>Pcell</w:t>
      </w:r>
      <w:proofErr w:type="spellEnd"/>
      <w:r w:rsidRPr="00971AAB">
        <w:rPr>
          <w:color w:val="000000" w:themeColor="text1"/>
          <w:sz w:val="20"/>
          <w:szCs w:val="20"/>
          <w:lang w:val="en-US"/>
        </w:rPr>
        <w:t xml:space="preserve">, applied to FDD </w:t>
      </w:r>
      <w:proofErr w:type="spellStart"/>
      <w:r w:rsidRPr="00971AAB">
        <w:rPr>
          <w:color w:val="000000" w:themeColor="text1"/>
          <w:sz w:val="20"/>
          <w:szCs w:val="20"/>
          <w:lang w:val="en-US"/>
        </w:rPr>
        <w:t>Pcell</w:t>
      </w:r>
      <w:proofErr w:type="spellEnd"/>
      <w:r>
        <w:rPr>
          <w:color w:val="000000" w:themeColor="text1"/>
          <w:sz w:val="20"/>
          <w:szCs w:val="20"/>
          <w:lang w:val="en-US"/>
        </w:rPr>
        <w:t>” for a UE performing dual UL transmissions.</w:t>
      </w:r>
      <w:r>
        <w:rPr>
          <w:color w:val="0D0D0D" w:themeColor="text1" w:themeTint="F2"/>
          <w:sz w:val="20"/>
          <w:szCs w:val="20"/>
        </w:rPr>
        <w:t xml:space="preserve"> </w:t>
      </w:r>
      <w:r w:rsidR="00EC602F">
        <w:rPr>
          <w:color w:val="0D0D0D" w:themeColor="text1" w:themeTint="F2"/>
          <w:sz w:val="20"/>
          <w:szCs w:val="20"/>
        </w:rPr>
        <w:t>Let us</w:t>
      </w:r>
      <w:r w:rsidR="007D0147">
        <w:rPr>
          <w:color w:val="0D0D0D" w:themeColor="text1" w:themeTint="F2"/>
          <w:sz w:val="20"/>
          <w:szCs w:val="20"/>
        </w:rPr>
        <w:t xml:space="preserve"> consider a UE </w:t>
      </w:r>
      <w:r w:rsidR="00EC602F">
        <w:rPr>
          <w:color w:val="0D0D0D" w:themeColor="text1" w:themeTint="F2"/>
          <w:sz w:val="20"/>
          <w:szCs w:val="20"/>
        </w:rPr>
        <w:t>performing dual UL EN-DC transmissions</w:t>
      </w:r>
      <w:r w:rsidR="007D0147" w:rsidRPr="007D0147">
        <w:rPr>
          <w:color w:val="0D0D0D" w:themeColor="text1" w:themeTint="F2"/>
          <w:sz w:val="20"/>
          <w:szCs w:val="20"/>
        </w:rPr>
        <w:t xml:space="preserve"> with the channe</w:t>
      </w:r>
      <w:r>
        <w:rPr>
          <w:color w:val="0D0D0D" w:themeColor="text1" w:themeTint="F2"/>
          <w:sz w:val="20"/>
          <w:szCs w:val="20"/>
        </w:rPr>
        <w:t>l allocation associated with a</w:t>
      </w:r>
      <w:r w:rsidR="007D0147" w:rsidRPr="007D0147">
        <w:rPr>
          <w:color w:val="0D0D0D" w:themeColor="text1" w:themeTint="F2"/>
          <w:sz w:val="20"/>
          <w:szCs w:val="20"/>
        </w:rPr>
        <w:t xml:space="preserve"> Band Combination </w:t>
      </w:r>
      <w:r>
        <w:rPr>
          <w:color w:val="0D0D0D" w:themeColor="text1" w:themeTint="F2"/>
          <w:sz w:val="20"/>
          <w:szCs w:val="20"/>
        </w:rPr>
        <w:t xml:space="preserve">(e.g. </w:t>
      </w:r>
      <w:r w:rsidR="007D0147" w:rsidRPr="007D0147">
        <w:rPr>
          <w:color w:val="0D0D0D" w:themeColor="text1" w:themeTint="F2"/>
          <w:sz w:val="20"/>
          <w:szCs w:val="20"/>
        </w:rPr>
        <w:t>DC_3_n78</w:t>
      </w:r>
      <w:r>
        <w:rPr>
          <w:color w:val="0D0D0D" w:themeColor="text1" w:themeTint="F2"/>
          <w:sz w:val="20"/>
          <w:szCs w:val="20"/>
        </w:rPr>
        <w:t>)</w:t>
      </w:r>
      <w:r w:rsidR="007D0147" w:rsidRPr="007D0147">
        <w:rPr>
          <w:color w:val="0D0D0D" w:themeColor="text1" w:themeTint="F2"/>
          <w:sz w:val="20"/>
          <w:szCs w:val="20"/>
        </w:rPr>
        <w:t xml:space="preserve">. This </w:t>
      </w:r>
      <w:r w:rsidR="00EC602F">
        <w:rPr>
          <w:color w:val="0D0D0D" w:themeColor="text1" w:themeTint="F2"/>
          <w:sz w:val="20"/>
          <w:szCs w:val="20"/>
        </w:rPr>
        <w:t>scenario is accounted for</w:t>
      </w:r>
      <w:r w:rsidR="007D0147">
        <w:rPr>
          <w:color w:val="0D0D0D" w:themeColor="text1" w:themeTint="F2"/>
          <w:sz w:val="20"/>
          <w:szCs w:val="20"/>
        </w:rPr>
        <w:t xml:space="preserve"> in 38.101-3 and since the UE is performing dual UL transmissions, it can transmit UL simultaneously on the LTE and NR carriers</w:t>
      </w:r>
      <w:r w:rsidR="00A53C17">
        <w:rPr>
          <w:color w:val="0D0D0D" w:themeColor="text1" w:themeTint="F2"/>
          <w:sz w:val="20"/>
          <w:szCs w:val="20"/>
        </w:rPr>
        <w:t xml:space="preserve"> [2]</w:t>
      </w:r>
      <w:r w:rsidR="007D0147">
        <w:rPr>
          <w:color w:val="0D0D0D" w:themeColor="text1" w:themeTint="F2"/>
          <w:sz w:val="20"/>
          <w:szCs w:val="20"/>
        </w:rPr>
        <w:t>.</w:t>
      </w:r>
      <w:r w:rsidR="007D0147" w:rsidRPr="007D0147">
        <w:rPr>
          <w:color w:val="0D0D0D" w:themeColor="text1" w:themeTint="F2"/>
          <w:sz w:val="20"/>
          <w:szCs w:val="20"/>
        </w:rPr>
        <w:t xml:space="preserve"> In this </w:t>
      </w:r>
      <w:bookmarkStart w:id="0" w:name="_GoBack"/>
      <w:bookmarkEnd w:id="0"/>
      <w:r w:rsidR="007D0147" w:rsidRPr="007D0147">
        <w:rPr>
          <w:color w:val="0D0D0D" w:themeColor="text1" w:themeTint="F2"/>
          <w:sz w:val="20"/>
          <w:szCs w:val="20"/>
        </w:rPr>
        <w:t xml:space="preserve">scenario, the UE will not report the parameter, </w:t>
      </w:r>
      <w:proofErr w:type="spellStart"/>
      <w:r w:rsidR="007D0147" w:rsidRPr="007D0147">
        <w:rPr>
          <w:b/>
          <w:bCs/>
          <w:i/>
          <w:iCs/>
          <w:color w:val="0D0D0D" w:themeColor="text1" w:themeTint="F2"/>
          <w:sz w:val="20"/>
          <w:szCs w:val="20"/>
        </w:rPr>
        <w:t>singleUL</w:t>
      </w:r>
      <w:proofErr w:type="spellEnd"/>
      <w:r w:rsidR="007D0147" w:rsidRPr="007D0147">
        <w:rPr>
          <w:b/>
          <w:bCs/>
          <w:i/>
          <w:iCs/>
          <w:color w:val="0D0D0D" w:themeColor="text1" w:themeTint="F2"/>
          <w:sz w:val="20"/>
          <w:szCs w:val="20"/>
        </w:rPr>
        <w:t xml:space="preserve">-Transmission </w:t>
      </w:r>
      <w:r w:rsidR="007D0147" w:rsidRPr="007D0147">
        <w:rPr>
          <w:color w:val="0D0D0D" w:themeColor="text1" w:themeTint="F2"/>
          <w:sz w:val="20"/>
          <w:szCs w:val="20"/>
        </w:rPr>
        <w:t>(defined in 38.306)</w:t>
      </w:r>
      <w:r w:rsidR="00EC602F">
        <w:rPr>
          <w:color w:val="0D0D0D" w:themeColor="text1" w:themeTint="F2"/>
          <w:sz w:val="20"/>
          <w:szCs w:val="20"/>
        </w:rPr>
        <w:t xml:space="preserve"> [3]</w:t>
      </w:r>
      <w:r w:rsidR="007D0147" w:rsidRPr="007D0147">
        <w:rPr>
          <w:color w:val="0D0D0D" w:themeColor="text1" w:themeTint="F2"/>
          <w:sz w:val="20"/>
          <w:szCs w:val="20"/>
        </w:rPr>
        <w:t xml:space="preserve">, since it is operating in dual Tx mode.  Now, </w:t>
      </w:r>
      <w:r w:rsidR="00EC602F" w:rsidRPr="007D0147">
        <w:rPr>
          <w:color w:val="0D0D0D" w:themeColor="text1" w:themeTint="F2"/>
          <w:sz w:val="20"/>
          <w:szCs w:val="20"/>
        </w:rPr>
        <w:t>let us</w:t>
      </w:r>
      <w:r w:rsidR="007D0147" w:rsidRPr="007D0147">
        <w:rPr>
          <w:color w:val="0D0D0D" w:themeColor="text1" w:themeTint="F2"/>
          <w:sz w:val="20"/>
          <w:szCs w:val="20"/>
        </w:rPr>
        <w:t xml:space="preserve"> look at the definition of the parameter, </w:t>
      </w:r>
      <w:proofErr w:type="spellStart"/>
      <w:r w:rsidR="007D0147" w:rsidRPr="007D0147">
        <w:rPr>
          <w:b/>
          <w:bCs/>
          <w:i/>
          <w:iCs/>
          <w:color w:val="0D0D0D" w:themeColor="text1" w:themeTint="F2"/>
          <w:sz w:val="20"/>
          <w:szCs w:val="20"/>
        </w:rPr>
        <w:t>tdm-PatternConfig</w:t>
      </w:r>
      <w:proofErr w:type="spellEnd"/>
      <w:r w:rsidR="007D0147" w:rsidRPr="007D0147">
        <w:rPr>
          <w:b/>
          <w:bCs/>
          <w:i/>
          <w:iCs/>
          <w:color w:val="0D0D0D" w:themeColor="text1" w:themeTint="F2"/>
          <w:sz w:val="20"/>
          <w:szCs w:val="20"/>
        </w:rPr>
        <w:t xml:space="preserve"> </w:t>
      </w:r>
      <w:r w:rsidR="007D0147" w:rsidRPr="007D0147">
        <w:rPr>
          <w:color w:val="0D0D0D" w:themeColor="text1" w:themeTint="F2"/>
          <w:sz w:val="20"/>
          <w:szCs w:val="20"/>
        </w:rPr>
        <w:t>(defined in 36.331)</w:t>
      </w:r>
      <w:r w:rsidR="00EC602F">
        <w:rPr>
          <w:color w:val="0D0D0D" w:themeColor="text1" w:themeTint="F2"/>
          <w:sz w:val="20"/>
          <w:szCs w:val="20"/>
        </w:rPr>
        <w:t xml:space="preserve"> [4]</w:t>
      </w:r>
      <w:r w:rsidR="007D0147" w:rsidRPr="007D0147">
        <w:rPr>
          <w:color w:val="0D0D0D" w:themeColor="text1" w:themeTint="F2"/>
          <w:sz w:val="20"/>
          <w:szCs w:val="20"/>
        </w:rPr>
        <w:t>:</w:t>
      </w:r>
    </w:p>
    <w:p w:rsidR="001727AB" w:rsidRPr="00D73F1A" w:rsidRDefault="001727AB" w:rsidP="001727AB">
      <w:pPr>
        <w:pStyle w:val="TAL"/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GB"/>
        </w:rPr>
      </w:pPr>
      <w:proofErr w:type="spellStart"/>
      <w:r w:rsidRPr="00D73F1A"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GB"/>
        </w:rPr>
        <w:t>tdm-PatternConfig</w:t>
      </w:r>
      <w:proofErr w:type="spellEnd"/>
    </w:p>
    <w:p w:rsidR="001727AB" w:rsidRPr="00D73F1A" w:rsidRDefault="001727AB" w:rsidP="001727AB">
      <w:pPr>
        <w:rPr>
          <w:rFonts w:ascii="Times New Roman" w:hAnsi="Times New Roman" w:cs="Times New Roman"/>
          <w:color w:val="0D0D0D" w:themeColor="text1" w:themeTint="F2"/>
          <w:sz w:val="20"/>
          <w:szCs w:val="20"/>
          <w:lang w:eastAsia="en-GB"/>
        </w:rPr>
      </w:pPr>
      <w:r w:rsidRPr="00D73F1A">
        <w:rPr>
          <w:rFonts w:ascii="Times New Roman" w:hAnsi="Times New Roman" w:cs="Times New Roman"/>
          <w:color w:val="0D0D0D" w:themeColor="text1" w:themeTint="F2"/>
          <w:sz w:val="20"/>
          <w:szCs w:val="20"/>
          <w:lang w:eastAsia="en-GB"/>
        </w:rPr>
        <w:t>UL/DL reference configuration indicating the time during which a UE configured with (NG)EN-DC is allowed to transmit. This field is used when power control or IMD issues require single UL transmission a</w:t>
      </w:r>
      <w:r w:rsidR="00B31264" w:rsidRPr="00D73F1A">
        <w:rPr>
          <w:rFonts w:ascii="Times New Roman" w:hAnsi="Times New Roman" w:cs="Times New Roman"/>
          <w:color w:val="0D0D0D" w:themeColor="text1" w:themeTint="F2"/>
          <w:sz w:val="20"/>
          <w:szCs w:val="20"/>
          <w:lang w:eastAsia="en-GB"/>
        </w:rPr>
        <w:t>s specified in TS 38.101-3 and TS 38.213.</w:t>
      </w:r>
    </w:p>
    <w:p w:rsidR="0082369B" w:rsidRDefault="001727AB" w:rsidP="001727AB">
      <w:pPr>
        <w:rPr>
          <w:color w:val="0D0D0D" w:themeColor="text1" w:themeTint="F2"/>
          <w:sz w:val="20"/>
          <w:szCs w:val="20"/>
        </w:rPr>
      </w:pPr>
      <w:r w:rsidRPr="001727AB">
        <w:rPr>
          <w:color w:val="0D0D0D" w:themeColor="text1" w:themeTint="F2"/>
          <w:sz w:val="20"/>
          <w:szCs w:val="20"/>
        </w:rPr>
        <w:t>The above definition</w:t>
      </w:r>
      <w:r w:rsidR="008F0065">
        <w:rPr>
          <w:color w:val="0D0D0D" w:themeColor="text1" w:themeTint="F2"/>
          <w:sz w:val="20"/>
          <w:szCs w:val="20"/>
        </w:rPr>
        <w:t xml:space="preserve"> indicates</w:t>
      </w:r>
      <w:r w:rsidRPr="001727AB">
        <w:rPr>
          <w:color w:val="0D0D0D" w:themeColor="text1" w:themeTint="F2"/>
          <w:sz w:val="20"/>
          <w:szCs w:val="20"/>
        </w:rPr>
        <w:t xml:space="preserve"> that the UE reports </w:t>
      </w:r>
      <w:proofErr w:type="spellStart"/>
      <w:r w:rsidRPr="001727AB">
        <w:rPr>
          <w:b/>
          <w:bCs/>
          <w:i/>
          <w:iCs/>
          <w:color w:val="0D0D0D" w:themeColor="text1" w:themeTint="F2"/>
          <w:sz w:val="20"/>
          <w:szCs w:val="20"/>
        </w:rPr>
        <w:t>tdm-PatternConfig</w:t>
      </w:r>
      <w:proofErr w:type="spellEnd"/>
      <w:r w:rsidRPr="001727AB">
        <w:rPr>
          <w:b/>
          <w:bCs/>
          <w:i/>
          <w:iCs/>
          <w:color w:val="0D0D0D" w:themeColor="text1" w:themeTint="F2"/>
          <w:sz w:val="20"/>
          <w:szCs w:val="20"/>
        </w:rPr>
        <w:t xml:space="preserve"> </w:t>
      </w:r>
      <w:r w:rsidRPr="001727AB">
        <w:rPr>
          <w:color w:val="0D0D0D" w:themeColor="text1" w:themeTint="F2"/>
          <w:sz w:val="20"/>
          <w:szCs w:val="20"/>
        </w:rPr>
        <w:t xml:space="preserve">when requiring single UL transmission. Since there is no </w:t>
      </w:r>
      <w:r>
        <w:rPr>
          <w:color w:val="0D0D0D" w:themeColor="text1" w:themeTint="F2"/>
          <w:sz w:val="20"/>
          <w:szCs w:val="20"/>
        </w:rPr>
        <w:t xml:space="preserve">mention of dual UL transmission, it can only be assumed that the dual UL operation is precluded and that the UE will not report this parameter. </w:t>
      </w:r>
    </w:p>
    <w:p w:rsidR="0082369B" w:rsidRPr="0082369B" w:rsidRDefault="0082369B" w:rsidP="0082369B">
      <w:pPr>
        <w:rPr>
          <w:rFonts w:cstheme="minorHAnsi"/>
          <w:color w:val="0D0D0D" w:themeColor="text1" w:themeTint="F2"/>
          <w:sz w:val="20"/>
          <w:szCs w:val="20"/>
        </w:rPr>
      </w:pPr>
      <w:r w:rsidRPr="0082369B">
        <w:rPr>
          <w:rFonts w:cstheme="minorHAnsi"/>
          <w:color w:val="0D0D0D" w:themeColor="text1" w:themeTint="F2"/>
          <w:sz w:val="20"/>
          <w:szCs w:val="20"/>
        </w:rPr>
        <w:t xml:space="preserve">Furthermore, the definition of </w:t>
      </w:r>
      <w:proofErr w:type="spellStart"/>
      <w:r w:rsidRPr="0082369B">
        <w:rPr>
          <w:rFonts w:cstheme="minorHAnsi"/>
          <w:b/>
          <w:bCs/>
          <w:i/>
          <w:iCs/>
          <w:color w:val="0D0D0D" w:themeColor="text1" w:themeTint="F2"/>
          <w:sz w:val="20"/>
          <w:szCs w:val="20"/>
        </w:rPr>
        <w:t>tdm</w:t>
      </w:r>
      <w:proofErr w:type="spellEnd"/>
      <w:r w:rsidRPr="0082369B">
        <w:rPr>
          <w:rFonts w:cstheme="minorHAnsi"/>
          <w:b/>
          <w:bCs/>
          <w:i/>
          <w:iCs/>
          <w:color w:val="0D0D0D" w:themeColor="text1" w:themeTint="F2"/>
          <w:sz w:val="20"/>
          <w:szCs w:val="20"/>
        </w:rPr>
        <w:t xml:space="preserve">-Pattern </w:t>
      </w:r>
      <w:r w:rsidRPr="0082369B">
        <w:rPr>
          <w:rFonts w:cstheme="minorHAnsi"/>
          <w:color w:val="0D0D0D" w:themeColor="text1" w:themeTint="F2"/>
          <w:sz w:val="20"/>
          <w:szCs w:val="20"/>
        </w:rPr>
        <w:t>is as follows (defined in 38.306)</w:t>
      </w:r>
      <w:r>
        <w:rPr>
          <w:rFonts w:cstheme="minorHAnsi"/>
          <w:color w:val="0D0D0D" w:themeColor="text1" w:themeTint="F2"/>
          <w:sz w:val="20"/>
          <w:szCs w:val="20"/>
        </w:rPr>
        <w:t xml:space="preserve"> [3]</w:t>
      </w:r>
      <w:r w:rsidRPr="0082369B">
        <w:rPr>
          <w:rFonts w:cstheme="minorHAnsi"/>
          <w:color w:val="0D0D0D" w:themeColor="text1" w:themeTint="F2"/>
          <w:sz w:val="20"/>
          <w:szCs w:val="20"/>
        </w:rPr>
        <w:t>:</w:t>
      </w:r>
    </w:p>
    <w:p w:rsidR="0082369B" w:rsidRPr="00D73F1A" w:rsidRDefault="0082369B" w:rsidP="0082369B">
      <w:pPr>
        <w:pStyle w:val="TAL"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0"/>
          <w:szCs w:val="20"/>
          <w:lang w:val="x-none"/>
        </w:rPr>
      </w:pPr>
      <w:proofErr w:type="spellStart"/>
      <w:r w:rsidRPr="00D73F1A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0"/>
          <w:szCs w:val="20"/>
          <w:lang w:val="x-none"/>
        </w:rPr>
        <w:t>tdm</w:t>
      </w:r>
      <w:proofErr w:type="spellEnd"/>
      <w:r w:rsidRPr="00D73F1A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0"/>
          <w:szCs w:val="20"/>
          <w:lang w:val="x-none"/>
        </w:rPr>
        <w:t>-Pattern</w:t>
      </w:r>
    </w:p>
    <w:p w:rsidR="0082369B" w:rsidRPr="00D73F1A" w:rsidRDefault="0082369B" w:rsidP="0082369B">
      <w:pPr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D73F1A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Indicates whether the UE supports the </w:t>
      </w:r>
      <w:proofErr w:type="spellStart"/>
      <w:r w:rsidRPr="00D73F1A">
        <w:rPr>
          <w:rFonts w:ascii="Times New Roman" w:hAnsi="Times New Roman" w:cs="Times New Roman"/>
          <w:i/>
          <w:iCs/>
          <w:color w:val="0D0D0D" w:themeColor="text1" w:themeTint="F2"/>
          <w:sz w:val="20"/>
          <w:szCs w:val="20"/>
        </w:rPr>
        <w:t>tdm-PatternConfig</w:t>
      </w:r>
      <w:proofErr w:type="spellEnd"/>
      <w:r w:rsidRPr="00D73F1A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for </w:t>
      </w:r>
      <w:r w:rsidRPr="00D73F1A">
        <w:rPr>
          <w:rFonts w:ascii="Times New Roman" w:hAnsi="Times New Roman" w:cs="Times New Roman"/>
          <w:i/>
          <w:iCs/>
          <w:color w:val="0D0D0D" w:themeColor="text1" w:themeTint="F2"/>
          <w:sz w:val="20"/>
          <w:szCs w:val="20"/>
        </w:rPr>
        <w:t>single UL-transmission</w:t>
      </w:r>
      <w:r w:rsidRPr="00D73F1A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associated functionality,</w:t>
      </w:r>
      <w:r w:rsidR="00B31264" w:rsidRPr="00D73F1A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as specified in TS 36.331</w:t>
      </w:r>
      <w:r w:rsidRPr="00D73F1A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. Support is conditionally mandatory for UEs that do not support dynamic power sharing and for UEs that indicate single UL transmission for any BC, and optional otherwise.</w:t>
      </w:r>
    </w:p>
    <w:p w:rsidR="001727AB" w:rsidRDefault="0082369B" w:rsidP="0082369B">
      <w:pPr>
        <w:rPr>
          <w:rFonts w:cstheme="minorHAnsi"/>
          <w:color w:val="0D0D0D" w:themeColor="text1" w:themeTint="F2"/>
          <w:sz w:val="20"/>
          <w:szCs w:val="20"/>
        </w:rPr>
      </w:pPr>
      <w:r>
        <w:rPr>
          <w:rFonts w:cstheme="minorHAnsi"/>
          <w:color w:val="0D0D0D" w:themeColor="text1" w:themeTint="F2"/>
          <w:sz w:val="20"/>
          <w:szCs w:val="20"/>
        </w:rPr>
        <w:t>This definition implies that</w:t>
      </w:r>
      <w:r w:rsidRPr="0082369B">
        <w:rPr>
          <w:rFonts w:cstheme="minorHAnsi"/>
          <w:color w:val="0D0D0D" w:themeColor="text1" w:themeTint="F2"/>
          <w:sz w:val="20"/>
          <w:szCs w:val="20"/>
        </w:rPr>
        <w:t xml:space="preserve"> the UE, even whe</w:t>
      </w:r>
      <w:r>
        <w:rPr>
          <w:rFonts w:cstheme="minorHAnsi"/>
          <w:color w:val="0D0D0D" w:themeColor="text1" w:themeTint="F2"/>
          <w:sz w:val="20"/>
          <w:szCs w:val="20"/>
        </w:rPr>
        <w:t>n operating in dual Tx mode, will</w:t>
      </w:r>
      <w:r w:rsidRPr="0082369B">
        <w:rPr>
          <w:rFonts w:cstheme="minorHAnsi"/>
          <w:color w:val="0D0D0D" w:themeColor="text1" w:themeTint="F2"/>
          <w:sz w:val="20"/>
          <w:szCs w:val="20"/>
        </w:rPr>
        <w:t xml:space="preserve"> report </w:t>
      </w:r>
      <w:proofErr w:type="spellStart"/>
      <w:r w:rsidRPr="0082369B">
        <w:rPr>
          <w:rFonts w:cstheme="minorHAnsi"/>
          <w:b/>
          <w:bCs/>
          <w:i/>
          <w:iCs/>
          <w:color w:val="0D0D0D" w:themeColor="text1" w:themeTint="F2"/>
          <w:sz w:val="20"/>
          <w:szCs w:val="20"/>
        </w:rPr>
        <w:t>tdm</w:t>
      </w:r>
      <w:proofErr w:type="spellEnd"/>
      <w:r w:rsidRPr="0082369B">
        <w:rPr>
          <w:rFonts w:cstheme="minorHAnsi"/>
          <w:b/>
          <w:bCs/>
          <w:i/>
          <w:iCs/>
          <w:color w:val="0D0D0D" w:themeColor="text1" w:themeTint="F2"/>
          <w:sz w:val="20"/>
          <w:szCs w:val="20"/>
        </w:rPr>
        <w:t xml:space="preserve">-Pattern </w:t>
      </w:r>
      <w:r>
        <w:rPr>
          <w:rFonts w:cstheme="minorHAnsi"/>
          <w:color w:val="0D0D0D" w:themeColor="text1" w:themeTint="F2"/>
          <w:sz w:val="20"/>
          <w:szCs w:val="20"/>
        </w:rPr>
        <w:t>but will not report</w:t>
      </w:r>
      <w:r w:rsidRPr="0082369B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Pr="0082369B">
        <w:rPr>
          <w:rFonts w:cstheme="minorHAnsi"/>
          <w:b/>
          <w:bCs/>
          <w:i/>
          <w:iCs/>
          <w:color w:val="0D0D0D" w:themeColor="text1" w:themeTint="F2"/>
          <w:sz w:val="20"/>
          <w:szCs w:val="20"/>
        </w:rPr>
        <w:t>tdm-PatternConfig</w:t>
      </w:r>
      <w:proofErr w:type="spellEnd"/>
      <w:r w:rsidRPr="0082369B">
        <w:rPr>
          <w:rFonts w:cstheme="minorHAnsi"/>
          <w:b/>
          <w:bCs/>
          <w:i/>
          <w:iCs/>
          <w:color w:val="0D0D0D" w:themeColor="text1" w:themeTint="F2"/>
          <w:sz w:val="20"/>
          <w:szCs w:val="20"/>
        </w:rPr>
        <w:t xml:space="preserve"> </w:t>
      </w:r>
      <w:r w:rsidRPr="0082369B">
        <w:rPr>
          <w:rFonts w:cstheme="minorHAnsi"/>
          <w:color w:val="0D0D0D" w:themeColor="text1" w:themeTint="F2"/>
          <w:sz w:val="20"/>
          <w:szCs w:val="20"/>
        </w:rPr>
        <w:t xml:space="preserve">because when the UE operates in dual Tx mode, there is nothing in the existing </w:t>
      </w:r>
      <w:r w:rsidRPr="0082369B">
        <w:rPr>
          <w:rFonts w:cstheme="minorHAnsi"/>
          <w:color w:val="0D0D0D" w:themeColor="text1" w:themeTint="F2"/>
          <w:sz w:val="20"/>
          <w:szCs w:val="20"/>
        </w:rPr>
        <w:lastRenderedPageBreak/>
        <w:t>spec</w:t>
      </w:r>
      <w:r>
        <w:rPr>
          <w:rFonts w:cstheme="minorHAnsi"/>
          <w:color w:val="0D0D0D" w:themeColor="text1" w:themeTint="F2"/>
          <w:sz w:val="20"/>
          <w:szCs w:val="20"/>
        </w:rPr>
        <w:t>ification</w:t>
      </w:r>
      <w:r w:rsidRPr="0082369B">
        <w:rPr>
          <w:rFonts w:cstheme="minorHAnsi"/>
          <w:color w:val="0D0D0D" w:themeColor="text1" w:themeTint="F2"/>
          <w:sz w:val="20"/>
          <w:szCs w:val="20"/>
        </w:rPr>
        <w:t xml:space="preserve">s to say that the dual Tx mode of operation is </w:t>
      </w:r>
      <w:r>
        <w:rPr>
          <w:rFonts w:cstheme="minorHAnsi"/>
          <w:color w:val="0D0D0D" w:themeColor="text1" w:themeTint="F2"/>
          <w:sz w:val="20"/>
          <w:szCs w:val="20"/>
        </w:rPr>
        <w:t xml:space="preserve">related to </w:t>
      </w:r>
      <w:r w:rsidRPr="0082369B">
        <w:rPr>
          <w:rFonts w:cstheme="minorHAnsi"/>
          <w:color w:val="0D0D0D" w:themeColor="text1" w:themeTint="F2"/>
          <w:sz w:val="20"/>
          <w:szCs w:val="20"/>
        </w:rPr>
        <w:t>a “</w:t>
      </w:r>
      <w:r w:rsidRPr="0082369B">
        <w:rPr>
          <w:rFonts w:cstheme="minorHAnsi"/>
          <w:i/>
          <w:iCs/>
          <w:color w:val="0D0D0D" w:themeColor="text1" w:themeTint="F2"/>
          <w:sz w:val="20"/>
          <w:szCs w:val="20"/>
        </w:rPr>
        <w:t xml:space="preserve">single UL-transmission </w:t>
      </w:r>
      <w:r w:rsidRPr="0082369B">
        <w:rPr>
          <w:rFonts w:cstheme="minorHAnsi"/>
          <w:color w:val="0D0D0D" w:themeColor="text1" w:themeTint="F2"/>
          <w:sz w:val="20"/>
          <w:szCs w:val="20"/>
        </w:rPr>
        <w:t>associated func</w:t>
      </w:r>
      <w:r w:rsidR="008F0065">
        <w:rPr>
          <w:rFonts w:cstheme="minorHAnsi"/>
          <w:color w:val="0D0D0D" w:themeColor="text1" w:themeTint="F2"/>
          <w:sz w:val="20"/>
          <w:szCs w:val="20"/>
        </w:rPr>
        <w:t>tionality”</w:t>
      </w:r>
      <w:r w:rsidRPr="0082369B">
        <w:rPr>
          <w:rFonts w:cstheme="minorHAnsi"/>
          <w:color w:val="0D0D0D" w:themeColor="text1" w:themeTint="F2"/>
          <w:sz w:val="20"/>
          <w:szCs w:val="20"/>
        </w:rPr>
        <w:t>.</w:t>
      </w:r>
      <w:r w:rsidR="001727AB" w:rsidRPr="0082369B">
        <w:rPr>
          <w:rFonts w:cstheme="minorHAnsi"/>
          <w:color w:val="0D0D0D" w:themeColor="text1" w:themeTint="F2"/>
          <w:sz w:val="20"/>
          <w:szCs w:val="20"/>
        </w:rPr>
        <w:t xml:space="preserve"> </w:t>
      </w:r>
    </w:p>
    <w:p w:rsidR="00CE7CAB" w:rsidRPr="00CE7CAB" w:rsidRDefault="00CE7CAB" w:rsidP="0082369B">
      <w:pPr>
        <w:rPr>
          <w:rFonts w:cstheme="minorHAnsi"/>
          <w:b/>
          <w:color w:val="0D0D0D" w:themeColor="text1" w:themeTint="F2"/>
          <w:sz w:val="20"/>
          <w:szCs w:val="20"/>
        </w:rPr>
      </w:pPr>
      <w:r>
        <w:rPr>
          <w:rFonts w:cstheme="minorHAnsi"/>
          <w:b/>
          <w:i/>
          <w:color w:val="0D0D0D" w:themeColor="text1" w:themeTint="F2"/>
          <w:sz w:val="20"/>
          <w:szCs w:val="20"/>
          <w:u w:val="single"/>
        </w:rPr>
        <w:t xml:space="preserve">Observation 1: </w:t>
      </w:r>
      <w:r>
        <w:rPr>
          <w:rFonts w:cstheme="minorHAnsi"/>
          <w:b/>
          <w:color w:val="0D0D0D" w:themeColor="text1" w:themeTint="F2"/>
          <w:sz w:val="20"/>
          <w:szCs w:val="20"/>
        </w:rPr>
        <w:t xml:space="preserve">The definitions of the UE Capability Parameters </w:t>
      </w:r>
      <w:proofErr w:type="spellStart"/>
      <w:r>
        <w:rPr>
          <w:rFonts w:cstheme="minorHAnsi"/>
          <w:b/>
          <w:i/>
          <w:color w:val="0D0D0D" w:themeColor="text1" w:themeTint="F2"/>
          <w:sz w:val="20"/>
          <w:szCs w:val="20"/>
        </w:rPr>
        <w:t>tdm</w:t>
      </w:r>
      <w:proofErr w:type="spellEnd"/>
      <w:r>
        <w:rPr>
          <w:rFonts w:cstheme="minorHAnsi"/>
          <w:b/>
          <w:i/>
          <w:color w:val="0D0D0D" w:themeColor="text1" w:themeTint="F2"/>
          <w:sz w:val="20"/>
          <w:szCs w:val="20"/>
        </w:rPr>
        <w:t xml:space="preserve">-Pattern </w:t>
      </w:r>
      <w:r>
        <w:rPr>
          <w:rFonts w:cstheme="minorHAnsi"/>
          <w:b/>
          <w:color w:val="0D0D0D" w:themeColor="text1" w:themeTint="F2"/>
          <w:sz w:val="20"/>
          <w:szCs w:val="20"/>
        </w:rPr>
        <w:t xml:space="preserve">and </w:t>
      </w:r>
      <w:proofErr w:type="spellStart"/>
      <w:r>
        <w:rPr>
          <w:rFonts w:cstheme="minorHAnsi"/>
          <w:b/>
          <w:i/>
          <w:color w:val="0D0D0D" w:themeColor="text1" w:themeTint="F2"/>
          <w:sz w:val="20"/>
          <w:szCs w:val="20"/>
        </w:rPr>
        <w:t>tdm-PatternConfig</w:t>
      </w:r>
      <w:proofErr w:type="spellEnd"/>
      <w:r>
        <w:rPr>
          <w:rFonts w:cstheme="minorHAnsi"/>
          <w:b/>
          <w:color w:val="0D0D0D" w:themeColor="text1" w:themeTint="F2"/>
          <w:sz w:val="20"/>
          <w:szCs w:val="20"/>
        </w:rPr>
        <w:t xml:space="preserve"> </w:t>
      </w:r>
      <w:r w:rsidR="00092352">
        <w:rPr>
          <w:rFonts w:cstheme="minorHAnsi"/>
          <w:b/>
          <w:color w:val="0D0D0D" w:themeColor="text1" w:themeTint="F2"/>
          <w:sz w:val="20"/>
          <w:szCs w:val="20"/>
        </w:rPr>
        <w:t xml:space="preserve">imply that a UE would not enable </w:t>
      </w:r>
      <w:r w:rsidR="00092352" w:rsidRPr="006F73D5">
        <w:rPr>
          <w:b/>
          <w:color w:val="000000" w:themeColor="text1"/>
          <w:sz w:val="20"/>
          <w:szCs w:val="20"/>
          <w:lang w:val="en-US"/>
        </w:rPr>
        <w:t xml:space="preserve">DL HARQ timing for FDD </w:t>
      </w:r>
      <w:proofErr w:type="spellStart"/>
      <w:r w:rsidR="00092352" w:rsidRPr="006F73D5">
        <w:rPr>
          <w:b/>
          <w:color w:val="000000" w:themeColor="text1"/>
          <w:sz w:val="20"/>
          <w:szCs w:val="20"/>
          <w:lang w:val="en-US"/>
        </w:rPr>
        <w:t>Scell</w:t>
      </w:r>
      <w:proofErr w:type="spellEnd"/>
      <w:r w:rsidR="00092352" w:rsidRPr="006F73D5">
        <w:rPr>
          <w:b/>
          <w:color w:val="000000" w:themeColor="text1"/>
          <w:sz w:val="20"/>
          <w:szCs w:val="20"/>
          <w:lang w:val="en-US"/>
        </w:rPr>
        <w:t xml:space="preserve"> for LTE TDD-FDD CA with TDD </w:t>
      </w:r>
      <w:proofErr w:type="spellStart"/>
      <w:r w:rsidR="00092352" w:rsidRPr="006F73D5">
        <w:rPr>
          <w:b/>
          <w:color w:val="000000" w:themeColor="text1"/>
          <w:sz w:val="20"/>
          <w:szCs w:val="20"/>
          <w:lang w:val="en-US"/>
        </w:rPr>
        <w:t>Pcell</w:t>
      </w:r>
      <w:proofErr w:type="spellEnd"/>
      <w:r w:rsidR="00092352" w:rsidRPr="006F73D5">
        <w:rPr>
          <w:b/>
          <w:color w:val="000000" w:themeColor="text1"/>
          <w:sz w:val="20"/>
          <w:szCs w:val="20"/>
          <w:lang w:val="en-US"/>
        </w:rPr>
        <w:t xml:space="preserve">, applied to FDD </w:t>
      </w:r>
      <w:proofErr w:type="spellStart"/>
      <w:r w:rsidR="00092352" w:rsidRPr="006F73D5">
        <w:rPr>
          <w:b/>
          <w:color w:val="000000" w:themeColor="text1"/>
          <w:sz w:val="20"/>
          <w:szCs w:val="20"/>
          <w:lang w:val="en-US"/>
        </w:rPr>
        <w:t>Pcell</w:t>
      </w:r>
      <w:proofErr w:type="spellEnd"/>
      <w:r w:rsidR="00092352">
        <w:rPr>
          <w:b/>
          <w:color w:val="000000" w:themeColor="text1"/>
          <w:sz w:val="20"/>
          <w:szCs w:val="20"/>
          <w:lang w:val="en-US"/>
        </w:rPr>
        <w:t>,</w:t>
      </w:r>
      <w:r w:rsidR="00092352">
        <w:rPr>
          <w:rFonts w:cstheme="minorHAnsi"/>
          <w:b/>
          <w:color w:val="0D0D0D" w:themeColor="text1" w:themeTint="F2"/>
          <w:sz w:val="20"/>
          <w:szCs w:val="20"/>
        </w:rPr>
        <w:t xml:space="preserve"> when a UE</w:t>
      </w:r>
      <w:r>
        <w:rPr>
          <w:rFonts w:cstheme="minorHAnsi"/>
          <w:b/>
          <w:color w:val="0D0D0D" w:themeColor="text1" w:themeTint="F2"/>
          <w:sz w:val="20"/>
          <w:szCs w:val="20"/>
        </w:rPr>
        <w:t xml:space="preserve"> </w:t>
      </w:r>
      <w:r w:rsidR="00092352">
        <w:rPr>
          <w:rFonts w:cstheme="minorHAnsi"/>
          <w:b/>
          <w:color w:val="0D0D0D" w:themeColor="text1" w:themeTint="F2"/>
          <w:sz w:val="20"/>
          <w:szCs w:val="20"/>
        </w:rPr>
        <w:t xml:space="preserve">is </w:t>
      </w:r>
      <w:r>
        <w:rPr>
          <w:rFonts w:cstheme="minorHAnsi"/>
          <w:b/>
          <w:color w:val="0D0D0D" w:themeColor="text1" w:themeTint="F2"/>
          <w:sz w:val="20"/>
          <w:szCs w:val="20"/>
        </w:rPr>
        <w:t xml:space="preserve">performing dual UL transmissions. </w:t>
      </w:r>
    </w:p>
    <w:p w:rsidR="00B8598C" w:rsidRPr="00D71CBD" w:rsidRDefault="00CE7CAB" w:rsidP="00B8598C">
      <w:pPr>
        <w:pStyle w:val="Heading1"/>
        <w:ind w:left="0" w:firstLine="0"/>
      </w:pPr>
      <w:r>
        <w:t>Higher Layer Signalling Solution</w:t>
      </w:r>
      <w:r w:rsidR="00E944A3">
        <w:t xml:space="preserve"> and Impact on RAN1 Specification TS 38.213</w:t>
      </w:r>
    </w:p>
    <w:p w:rsidR="00B8598C" w:rsidRDefault="00CE7CAB" w:rsidP="0082369B">
      <w:pPr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To address the absence of dual UL transmissions from the above definitions of the UE Capability Parameters, there are two possible solutions outlined below:</w:t>
      </w:r>
    </w:p>
    <w:p w:rsidR="00CE7CAB" w:rsidRDefault="00CE7CAB" w:rsidP="00CE7CAB">
      <w:pPr>
        <w:pStyle w:val="ListParagraph"/>
        <w:numPr>
          <w:ilvl w:val="0"/>
          <w:numId w:val="3"/>
        </w:numPr>
        <w:rPr>
          <w:color w:val="0D0D0D" w:themeColor="text1" w:themeTint="F2"/>
          <w:sz w:val="20"/>
          <w:szCs w:val="20"/>
        </w:rPr>
      </w:pPr>
      <w:r w:rsidRPr="00C11D0E">
        <w:rPr>
          <w:b/>
          <w:color w:val="0D0D0D" w:themeColor="text1" w:themeTint="F2"/>
          <w:sz w:val="20"/>
          <w:szCs w:val="20"/>
        </w:rPr>
        <w:t>Option A:</w:t>
      </w:r>
      <w:r>
        <w:rPr>
          <w:color w:val="0D0D0D" w:themeColor="text1" w:themeTint="F2"/>
          <w:sz w:val="20"/>
          <w:szCs w:val="20"/>
        </w:rPr>
        <w:t xml:space="preserve"> Send a Rel-16 CR to amend the definitions of </w:t>
      </w:r>
      <w:proofErr w:type="spellStart"/>
      <w:r>
        <w:rPr>
          <w:i/>
          <w:color w:val="0D0D0D" w:themeColor="text1" w:themeTint="F2"/>
          <w:sz w:val="20"/>
          <w:szCs w:val="20"/>
        </w:rPr>
        <w:t>tdm</w:t>
      </w:r>
      <w:proofErr w:type="spellEnd"/>
      <w:r>
        <w:rPr>
          <w:i/>
          <w:color w:val="0D0D0D" w:themeColor="text1" w:themeTint="F2"/>
          <w:sz w:val="20"/>
          <w:szCs w:val="20"/>
        </w:rPr>
        <w:t xml:space="preserve">-Pattern </w:t>
      </w:r>
      <w:r>
        <w:rPr>
          <w:color w:val="0D0D0D" w:themeColor="text1" w:themeTint="F2"/>
          <w:sz w:val="20"/>
          <w:szCs w:val="20"/>
        </w:rPr>
        <w:t xml:space="preserve">and </w:t>
      </w:r>
      <w:proofErr w:type="spellStart"/>
      <w:r>
        <w:rPr>
          <w:i/>
          <w:color w:val="0D0D0D" w:themeColor="text1" w:themeTint="F2"/>
          <w:sz w:val="20"/>
          <w:szCs w:val="20"/>
        </w:rPr>
        <w:t>tdm-PatternConfig</w:t>
      </w:r>
      <w:proofErr w:type="spellEnd"/>
      <w:r>
        <w:rPr>
          <w:i/>
          <w:color w:val="0D0D0D" w:themeColor="text1" w:themeTint="F2"/>
          <w:sz w:val="20"/>
          <w:szCs w:val="20"/>
        </w:rPr>
        <w:t xml:space="preserve"> </w:t>
      </w:r>
      <w:r>
        <w:rPr>
          <w:color w:val="0D0D0D" w:themeColor="text1" w:themeTint="F2"/>
          <w:sz w:val="20"/>
          <w:szCs w:val="20"/>
        </w:rPr>
        <w:t xml:space="preserve">to explicitly state that these parameters must be reported when the UE is performing dual UL transmissions. </w:t>
      </w:r>
    </w:p>
    <w:p w:rsidR="00CE7CAB" w:rsidRDefault="00CE7CAB" w:rsidP="00CE7CAB">
      <w:pPr>
        <w:pStyle w:val="ListParagraph"/>
        <w:numPr>
          <w:ilvl w:val="0"/>
          <w:numId w:val="3"/>
        </w:numPr>
        <w:rPr>
          <w:color w:val="0D0D0D" w:themeColor="text1" w:themeTint="F2"/>
          <w:sz w:val="20"/>
          <w:szCs w:val="20"/>
        </w:rPr>
      </w:pPr>
      <w:r w:rsidRPr="00C11D0E">
        <w:rPr>
          <w:b/>
          <w:color w:val="0D0D0D" w:themeColor="text1" w:themeTint="F2"/>
          <w:sz w:val="20"/>
          <w:szCs w:val="20"/>
        </w:rPr>
        <w:t>Option B:</w:t>
      </w:r>
      <w:r>
        <w:rPr>
          <w:color w:val="0D0D0D" w:themeColor="text1" w:themeTint="F2"/>
          <w:sz w:val="20"/>
          <w:szCs w:val="20"/>
        </w:rPr>
        <w:t xml:space="preserve"> </w:t>
      </w:r>
      <w:r w:rsidR="005C1336">
        <w:rPr>
          <w:color w:val="0D0D0D" w:themeColor="text1" w:themeTint="F2"/>
          <w:sz w:val="20"/>
          <w:szCs w:val="20"/>
        </w:rPr>
        <w:t xml:space="preserve">Introduce new RRC Signalling Parameters in Rel-16, </w:t>
      </w:r>
      <w:r w:rsidR="005C1336">
        <w:rPr>
          <w:i/>
          <w:color w:val="0D0D0D" w:themeColor="text1" w:themeTint="F2"/>
          <w:sz w:val="20"/>
          <w:szCs w:val="20"/>
        </w:rPr>
        <w:t xml:space="preserve">tdm-Pattern2, </w:t>
      </w:r>
      <w:r w:rsidR="005C1336">
        <w:rPr>
          <w:color w:val="0D0D0D" w:themeColor="text1" w:themeTint="F2"/>
          <w:sz w:val="20"/>
          <w:szCs w:val="20"/>
        </w:rPr>
        <w:t xml:space="preserve">and </w:t>
      </w:r>
      <w:r w:rsidR="005C1336">
        <w:rPr>
          <w:i/>
          <w:color w:val="0D0D0D" w:themeColor="text1" w:themeTint="F2"/>
          <w:sz w:val="20"/>
          <w:szCs w:val="20"/>
        </w:rPr>
        <w:t xml:space="preserve">tdm-PatternConfig2, </w:t>
      </w:r>
      <w:r w:rsidR="005C1336">
        <w:rPr>
          <w:color w:val="0D0D0D" w:themeColor="text1" w:themeTint="F2"/>
          <w:sz w:val="20"/>
          <w:szCs w:val="20"/>
        </w:rPr>
        <w:t xml:space="preserve">as an analogue to the already existing </w:t>
      </w:r>
      <w:proofErr w:type="spellStart"/>
      <w:r w:rsidR="005C1336">
        <w:rPr>
          <w:i/>
          <w:color w:val="0D0D0D" w:themeColor="text1" w:themeTint="F2"/>
          <w:sz w:val="20"/>
          <w:szCs w:val="20"/>
        </w:rPr>
        <w:t>tdm</w:t>
      </w:r>
      <w:proofErr w:type="spellEnd"/>
      <w:r w:rsidR="005C1336">
        <w:rPr>
          <w:i/>
          <w:color w:val="0D0D0D" w:themeColor="text1" w:themeTint="F2"/>
          <w:sz w:val="20"/>
          <w:szCs w:val="20"/>
        </w:rPr>
        <w:t xml:space="preserve">-Pattern </w:t>
      </w:r>
      <w:r w:rsidR="005C1336">
        <w:rPr>
          <w:color w:val="0D0D0D" w:themeColor="text1" w:themeTint="F2"/>
          <w:sz w:val="20"/>
          <w:szCs w:val="20"/>
        </w:rPr>
        <w:t xml:space="preserve">and </w:t>
      </w:r>
      <w:proofErr w:type="spellStart"/>
      <w:r w:rsidR="005C1336">
        <w:rPr>
          <w:i/>
          <w:color w:val="0D0D0D" w:themeColor="text1" w:themeTint="F2"/>
          <w:sz w:val="20"/>
          <w:szCs w:val="20"/>
        </w:rPr>
        <w:t>tdm-PatternConfig</w:t>
      </w:r>
      <w:proofErr w:type="spellEnd"/>
      <w:r w:rsidR="005C1336">
        <w:rPr>
          <w:i/>
          <w:color w:val="0D0D0D" w:themeColor="text1" w:themeTint="F2"/>
          <w:sz w:val="20"/>
          <w:szCs w:val="20"/>
        </w:rPr>
        <w:t xml:space="preserve"> </w:t>
      </w:r>
      <w:r w:rsidR="005C1336">
        <w:rPr>
          <w:color w:val="0D0D0D" w:themeColor="text1" w:themeTint="F2"/>
          <w:sz w:val="20"/>
          <w:szCs w:val="20"/>
        </w:rPr>
        <w:t xml:space="preserve">to be reported only when the UE is performing dual UL transmissions. This would involve amending TS 38.213 [5] to ensure that for each entry which currently states, “For a UE configured with </w:t>
      </w:r>
      <w:proofErr w:type="spellStart"/>
      <w:r w:rsidR="005C1336">
        <w:rPr>
          <w:i/>
          <w:color w:val="0D0D0D" w:themeColor="text1" w:themeTint="F2"/>
          <w:sz w:val="20"/>
          <w:szCs w:val="20"/>
        </w:rPr>
        <w:t>tdm-PatternConfig</w:t>
      </w:r>
      <w:proofErr w:type="spellEnd"/>
      <w:r w:rsidR="005C1336">
        <w:rPr>
          <w:i/>
          <w:color w:val="0D0D0D" w:themeColor="text1" w:themeTint="F2"/>
          <w:sz w:val="20"/>
          <w:szCs w:val="20"/>
        </w:rPr>
        <w:t xml:space="preserve">”, </w:t>
      </w:r>
      <w:r w:rsidR="005C1336">
        <w:rPr>
          <w:color w:val="0D0D0D" w:themeColor="text1" w:themeTint="F2"/>
          <w:sz w:val="20"/>
          <w:szCs w:val="20"/>
        </w:rPr>
        <w:t xml:space="preserve">it instead says, “For a UE configured with </w:t>
      </w:r>
      <w:proofErr w:type="spellStart"/>
      <w:r w:rsidR="005C1336">
        <w:rPr>
          <w:i/>
          <w:color w:val="0D0D0D" w:themeColor="text1" w:themeTint="F2"/>
          <w:sz w:val="20"/>
          <w:szCs w:val="20"/>
        </w:rPr>
        <w:t>tdm-PatternConfig</w:t>
      </w:r>
      <w:proofErr w:type="spellEnd"/>
      <w:r w:rsidR="005C1336">
        <w:rPr>
          <w:i/>
          <w:color w:val="0D0D0D" w:themeColor="text1" w:themeTint="F2"/>
          <w:sz w:val="20"/>
          <w:szCs w:val="20"/>
        </w:rPr>
        <w:t xml:space="preserve"> or tdm-PatternConfig2”</w:t>
      </w:r>
      <w:r w:rsidR="005C1336">
        <w:rPr>
          <w:color w:val="0D0D0D" w:themeColor="text1" w:themeTint="F2"/>
          <w:sz w:val="20"/>
          <w:szCs w:val="20"/>
        </w:rPr>
        <w:t xml:space="preserve">. It would also require replacing “For a UE configured with </w:t>
      </w:r>
      <w:proofErr w:type="spellStart"/>
      <w:r w:rsidR="005C1336">
        <w:rPr>
          <w:i/>
          <w:color w:val="0D0D0D" w:themeColor="text1" w:themeTint="F2"/>
          <w:sz w:val="20"/>
          <w:szCs w:val="20"/>
        </w:rPr>
        <w:t>tdm</w:t>
      </w:r>
      <w:proofErr w:type="spellEnd"/>
      <w:r w:rsidR="005C1336">
        <w:rPr>
          <w:i/>
          <w:color w:val="0D0D0D" w:themeColor="text1" w:themeTint="F2"/>
          <w:sz w:val="20"/>
          <w:szCs w:val="20"/>
        </w:rPr>
        <w:t xml:space="preserve">-Pattern” </w:t>
      </w:r>
      <w:r w:rsidR="005C1336">
        <w:rPr>
          <w:color w:val="0D0D0D" w:themeColor="text1" w:themeTint="F2"/>
          <w:sz w:val="20"/>
          <w:szCs w:val="20"/>
        </w:rPr>
        <w:t xml:space="preserve">to “For a UE configured with </w:t>
      </w:r>
      <w:proofErr w:type="spellStart"/>
      <w:r w:rsidR="005C1336">
        <w:rPr>
          <w:i/>
          <w:color w:val="0D0D0D" w:themeColor="text1" w:themeTint="F2"/>
          <w:sz w:val="20"/>
          <w:szCs w:val="20"/>
        </w:rPr>
        <w:t>tdm</w:t>
      </w:r>
      <w:proofErr w:type="spellEnd"/>
      <w:r w:rsidR="005C1336">
        <w:rPr>
          <w:i/>
          <w:color w:val="0D0D0D" w:themeColor="text1" w:themeTint="F2"/>
          <w:sz w:val="20"/>
          <w:szCs w:val="20"/>
        </w:rPr>
        <w:t>-Pattern or tdm-Pattern2”</w:t>
      </w:r>
      <w:r w:rsidR="005C1336">
        <w:rPr>
          <w:color w:val="0D0D0D" w:themeColor="text1" w:themeTint="F2"/>
          <w:sz w:val="20"/>
          <w:szCs w:val="20"/>
        </w:rPr>
        <w:t xml:space="preserve">. </w:t>
      </w:r>
    </w:p>
    <w:p w:rsidR="005C1336" w:rsidRDefault="0077797A" w:rsidP="005C1336">
      <w:pPr>
        <w:rPr>
          <w:color w:val="0D0D0D" w:themeColor="text1" w:themeTint="F2"/>
          <w:sz w:val="20"/>
          <w:szCs w:val="20"/>
        </w:rPr>
      </w:pPr>
      <w:r>
        <w:rPr>
          <w:color w:val="0D0D0D" w:themeColor="text1" w:themeTint="F2"/>
          <w:sz w:val="20"/>
          <w:szCs w:val="20"/>
        </w:rPr>
        <w:t>Option B</w:t>
      </w:r>
      <w:r w:rsidR="00E944A3">
        <w:rPr>
          <w:color w:val="0D0D0D" w:themeColor="text1" w:themeTint="F2"/>
          <w:sz w:val="20"/>
          <w:szCs w:val="20"/>
        </w:rPr>
        <w:t xml:space="preserve"> avoid</w:t>
      </w:r>
      <w:r>
        <w:rPr>
          <w:color w:val="0D0D0D" w:themeColor="text1" w:themeTint="F2"/>
          <w:sz w:val="20"/>
          <w:szCs w:val="20"/>
        </w:rPr>
        <w:t>s</w:t>
      </w:r>
      <w:r w:rsidR="00E944A3">
        <w:rPr>
          <w:color w:val="0D0D0D" w:themeColor="text1" w:themeTint="F2"/>
          <w:sz w:val="20"/>
          <w:szCs w:val="20"/>
        </w:rPr>
        <w:t xml:space="preserve"> the need to bring a CR to the existing specifications, 38.306 and 36.331. </w:t>
      </w:r>
    </w:p>
    <w:p w:rsidR="00C11D0E" w:rsidRPr="00C11D0E" w:rsidRDefault="00A90744" w:rsidP="005C1336">
      <w:pPr>
        <w:rPr>
          <w:b/>
          <w:color w:val="0D0D0D" w:themeColor="text1" w:themeTint="F2"/>
          <w:sz w:val="20"/>
          <w:szCs w:val="20"/>
        </w:rPr>
      </w:pPr>
      <w:r>
        <w:rPr>
          <w:b/>
          <w:i/>
          <w:color w:val="0D0D0D" w:themeColor="text1" w:themeTint="F2"/>
          <w:sz w:val="20"/>
          <w:szCs w:val="20"/>
          <w:u w:val="single"/>
        </w:rPr>
        <w:t>Proposal 1</w:t>
      </w:r>
      <w:r w:rsidR="00C11D0E">
        <w:rPr>
          <w:b/>
          <w:i/>
          <w:color w:val="0D0D0D" w:themeColor="text1" w:themeTint="F2"/>
          <w:sz w:val="20"/>
          <w:szCs w:val="20"/>
          <w:u w:val="single"/>
        </w:rPr>
        <w:t xml:space="preserve">: </w:t>
      </w:r>
      <w:r w:rsidR="00C11D0E">
        <w:rPr>
          <w:b/>
          <w:color w:val="0D0D0D" w:themeColor="text1" w:themeTint="F2"/>
          <w:sz w:val="20"/>
          <w:szCs w:val="20"/>
        </w:rPr>
        <w:t>RAN1 should select Option B to avoid the need for bringing a CR to the existing RAN 2 specifications, 38.306 and 36.331. RAN1 should amend 38.213 to replace any reference to UE behaviours when configured with “</w:t>
      </w:r>
      <w:proofErr w:type="spellStart"/>
      <w:r w:rsidR="00C11D0E">
        <w:rPr>
          <w:b/>
          <w:i/>
          <w:color w:val="0D0D0D" w:themeColor="text1" w:themeTint="F2"/>
          <w:sz w:val="20"/>
          <w:szCs w:val="20"/>
        </w:rPr>
        <w:t>tdm</w:t>
      </w:r>
      <w:proofErr w:type="spellEnd"/>
      <w:r w:rsidR="00C11D0E">
        <w:rPr>
          <w:b/>
          <w:i/>
          <w:color w:val="0D0D0D" w:themeColor="text1" w:themeTint="F2"/>
          <w:sz w:val="20"/>
          <w:szCs w:val="20"/>
        </w:rPr>
        <w:t xml:space="preserve">-Pattern” </w:t>
      </w:r>
      <w:r w:rsidR="00C11D0E">
        <w:rPr>
          <w:b/>
          <w:color w:val="0D0D0D" w:themeColor="text1" w:themeTint="F2"/>
          <w:sz w:val="20"/>
          <w:szCs w:val="20"/>
        </w:rPr>
        <w:t>and</w:t>
      </w:r>
      <w:r w:rsidR="00C11D0E">
        <w:rPr>
          <w:b/>
          <w:i/>
          <w:color w:val="0D0D0D" w:themeColor="text1" w:themeTint="F2"/>
          <w:sz w:val="20"/>
          <w:szCs w:val="20"/>
        </w:rPr>
        <w:t xml:space="preserve"> “</w:t>
      </w:r>
      <w:proofErr w:type="spellStart"/>
      <w:r w:rsidR="00C11D0E">
        <w:rPr>
          <w:b/>
          <w:i/>
          <w:color w:val="0D0D0D" w:themeColor="text1" w:themeTint="F2"/>
          <w:sz w:val="20"/>
          <w:szCs w:val="20"/>
        </w:rPr>
        <w:t>tdm</w:t>
      </w:r>
      <w:proofErr w:type="spellEnd"/>
      <w:r w:rsidR="00C11D0E">
        <w:rPr>
          <w:b/>
          <w:i/>
          <w:color w:val="0D0D0D" w:themeColor="text1" w:themeTint="F2"/>
          <w:sz w:val="20"/>
          <w:szCs w:val="20"/>
        </w:rPr>
        <w:t xml:space="preserve">-Pattern </w:t>
      </w:r>
      <w:proofErr w:type="spellStart"/>
      <w:r w:rsidR="00C11D0E">
        <w:rPr>
          <w:b/>
          <w:i/>
          <w:color w:val="0D0D0D" w:themeColor="text1" w:themeTint="F2"/>
          <w:sz w:val="20"/>
          <w:szCs w:val="20"/>
        </w:rPr>
        <w:t>Config</w:t>
      </w:r>
      <w:proofErr w:type="spellEnd"/>
      <w:r w:rsidR="00C11D0E">
        <w:rPr>
          <w:b/>
          <w:i/>
          <w:color w:val="0D0D0D" w:themeColor="text1" w:themeTint="F2"/>
          <w:sz w:val="20"/>
          <w:szCs w:val="20"/>
        </w:rPr>
        <w:t xml:space="preserve">” </w:t>
      </w:r>
      <w:r w:rsidR="00C11D0E">
        <w:rPr>
          <w:b/>
          <w:color w:val="0D0D0D" w:themeColor="text1" w:themeTint="F2"/>
          <w:sz w:val="20"/>
          <w:szCs w:val="20"/>
        </w:rPr>
        <w:t xml:space="preserve">with </w:t>
      </w:r>
      <w:r w:rsidR="00C11D0E">
        <w:rPr>
          <w:b/>
          <w:i/>
          <w:color w:val="0D0D0D" w:themeColor="text1" w:themeTint="F2"/>
          <w:sz w:val="20"/>
          <w:szCs w:val="20"/>
        </w:rPr>
        <w:t>“</w:t>
      </w:r>
      <w:proofErr w:type="spellStart"/>
      <w:r w:rsidR="00C11D0E">
        <w:rPr>
          <w:b/>
          <w:i/>
          <w:color w:val="0D0D0D" w:themeColor="text1" w:themeTint="F2"/>
          <w:sz w:val="20"/>
          <w:szCs w:val="20"/>
        </w:rPr>
        <w:t>tdm</w:t>
      </w:r>
      <w:proofErr w:type="spellEnd"/>
      <w:r w:rsidR="00C11D0E">
        <w:rPr>
          <w:b/>
          <w:i/>
          <w:color w:val="0D0D0D" w:themeColor="text1" w:themeTint="F2"/>
          <w:sz w:val="20"/>
          <w:szCs w:val="20"/>
        </w:rPr>
        <w:t xml:space="preserve">-Pattern or tdm-Pattern2” </w:t>
      </w:r>
      <w:r w:rsidR="00C11D0E">
        <w:rPr>
          <w:b/>
          <w:color w:val="0D0D0D" w:themeColor="text1" w:themeTint="F2"/>
          <w:sz w:val="20"/>
          <w:szCs w:val="20"/>
        </w:rPr>
        <w:t xml:space="preserve">and </w:t>
      </w:r>
      <w:r w:rsidR="00C11D0E">
        <w:rPr>
          <w:b/>
          <w:i/>
          <w:color w:val="0D0D0D" w:themeColor="text1" w:themeTint="F2"/>
          <w:sz w:val="20"/>
          <w:szCs w:val="20"/>
        </w:rPr>
        <w:t>“</w:t>
      </w:r>
      <w:proofErr w:type="spellStart"/>
      <w:r w:rsidR="00C11D0E">
        <w:rPr>
          <w:b/>
          <w:i/>
          <w:color w:val="0D0D0D" w:themeColor="text1" w:themeTint="F2"/>
          <w:sz w:val="20"/>
          <w:szCs w:val="20"/>
        </w:rPr>
        <w:t>tdm-PatternConfig</w:t>
      </w:r>
      <w:proofErr w:type="spellEnd"/>
      <w:r w:rsidR="00C11D0E">
        <w:rPr>
          <w:b/>
          <w:i/>
          <w:color w:val="0D0D0D" w:themeColor="text1" w:themeTint="F2"/>
          <w:sz w:val="20"/>
          <w:szCs w:val="20"/>
        </w:rPr>
        <w:t xml:space="preserve"> or tdm-PatternConfig2” </w:t>
      </w:r>
      <w:r w:rsidR="00C11D0E">
        <w:rPr>
          <w:b/>
          <w:color w:val="0D0D0D" w:themeColor="text1" w:themeTint="F2"/>
          <w:sz w:val="20"/>
          <w:szCs w:val="20"/>
        </w:rPr>
        <w:t xml:space="preserve">respectively. </w:t>
      </w:r>
    </w:p>
    <w:p w:rsidR="00C11D0E" w:rsidRDefault="00A90744" w:rsidP="005C1336">
      <w:pPr>
        <w:rPr>
          <w:b/>
          <w:color w:val="0D0D0D" w:themeColor="text1" w:themeTint="F2"/>
          <w:sz w:val="20"/>
          <w:szCs w:val="20"/>
        </w:rPr>
      </w:pPr>
      <w:r>
        <w:rPr>
          <w:b/>
          <w:i/>
          <w:color w:val="0D0D0D" w:themeColor="text1" w:themeTint="F2"/>
          <w:sz w:val="20"/>
          <w:szCs w:val="20"/>
          <w:u w:val="single"/>
        </w:rPr>
        <w:t>Proposal 2</w:t>
      </w:r>
      <w:r w:rsidR="00C11D0E">
        <w:rPr>
          <w:b/>
          <w:i/>
          <w:color w:val="0D0D0D" w:themeColor="text1" w:themeTint="F2"/>
          <w:sz w:val="20"/>
          <w:szCs w:val="20"/>
          <w:u w:val="single"/>
        </w:rPr>
        <w:t xml:space="preserve">: </w:t>
      </w:r>
      <w:r w:rsidR="00C11D0E">
        <w:rPr>
          <w:b/>
          <w:color w:val="0D0D0D" w:themeColor="text1" w:themeTint="F2"/>
          <w:sz w:val="20"/>
          <w:szCs w:val="20"/>
        </w:rPr>
        <w:t xml:space="preserve">RAN1 should send a Liaison Statement to RAN2 to inform them of the decision and ask them to introduce the corresponding RRC signalling parameters to meet the WID Objective. </w:t>
      </w:r>
    </w:p>
    <w:p w:rsidR="000A014D" w:rsidRDefault="000A014D" w:rsidP="000A014D">
      <w:pPr>
        <w:pStyle w:val="Heading1"/>
        <w:ind w:left="0" w:firstLine="0"/>
        <w:rPr>
          <w:sz w:val="36"/>
          <w:szCs w:val="36"/>
        </w:rPr>
      </w:pPr>
      <w:r w:rsidRPr="00874684">
        <w:t>Conclusion</w:t>
      </w:r>
      <w:r w:rsidRPr="00DA62C0">
        <w:rPr>
          <w:sz w:val="36"/>
          <w:szCs w:val="36"/>
        </w:rPr>
        <w:t xml:space="preserve"> </w:t>
      </w:r>
    </w:p>
    <w:p w:rsidR="000A014D" w:rsidRDefault="000A014D" w:rsidP="000A014D">
      <w:pPr>
        <w:rPr>
          <w:sz w:val="20"/>
          <w:szCs w:val="20"/>
        </w:rPr>
      </w:pPr>
      <w:r>
        <w:rPr>
          <w:sz w:val="20"/>
          <w:szCs w:val="20"/>
        </w:rPr>
        <w:t>In summary, the key observations/proposals are listed below:</w:t>
      </w:r>
    </w:p>
    <w:p w:rsidR="000A014D" w:rsidRPr="00CE7CAB" w:rsidRDefault="000A014D" w:rsidP="000A014D">
      <w:pPr>
        <w:rPr>
          <w:rFonts w:cstheme="minorHAnsi"/>
          <w:b/>
          <w:color w:val="0D0D0D" w:themeColor="text1" w:themeTint="F2"/>
          <w:sz w:val="20"/>
          <w:szCs w:val="20"/>
        </w:rPr>
      </w:pPr>
      <w:r>
        <w:rPr>
          <w:rFonts w:cstheme="minorHAnsi"/>
          <w:b/>
          <w:i/>
          <w:color w:val="0D0D0D" w:themeColor="text1" w:themeTint="F2"/>
          <w:sz w:val="20"/>
          <w:szCs w:val="20"/>
          <w:u w:val="single"/>
        </w:rPr>
        <w:t xml:space="preserve">Observation 1: </w:t>
      </w:r>
      <w:r>
        <w:rPr>
          <w:rFonts w:cstheme="minorHAnsi"/>
          <w:b/>
          <w:color w:val="0D0D0D" w:themeColor="text1" w:themeTint="F2"/>
          <w:sz w:val="20"/>
          <w:szCs w:val="20"/>
        </w:rPr>
        <w:t xml:space="preserve">The definitions of the UE Capability Parameters </w:t>
      </w:r>
      <w:proofErr w:type="spellStart"/>
      <w:r>
        <w:rPr>
          <w:rFonts w:cstheme="minorHAnsi"/>
          <w:b/>
          <w:i/>
          <w:color w:val="0D0D0D" w:themeColor="text1" w:themeTint="F2"/>
          <w:sz w:val="20"/>
          <w:szCs w:val="20"/>
        </w:rPr>
        <w:t>tdm</w:t>
      </w:r>
      <w:proofErr w:type="spellEnd"/>
      <w:r>
        <w:rPr>
          <w:rFonts w:cstheme="minorHAnsi"/>
          <w:b/>
          <w:i/>
          <w:color w:val="0D0D0D" w:themeColor="text1" w:themeTint="F2"/>
          <w:sz w:val="20"/>
          <w:szCs w:val="20"/>
        </w:rPr>
        <w:t xml:space="preserve">-Pattern </w:t>
      </w:r>
      <w:r>
        <w:rPr>
          <w:rFonts w:cstheme="minorHAnsi"/>
          <w:b/>
          <w:color w:val="0D0D0D" w:themeColor="text1" w:themeTint="F2"/>
          <w:sz w:val="20"/>
          <w:szCs w:val="20"/>
        </w:rPr>
        <w:t xml:space="preserve">and </w:t>
      </w:r>
      <w:proofErr w:type="spellStart"/>
      <w:r>
        <w:rPr>
          <w:rFonts w:cstheme="minorHAnsi"/>
          <w:b/>
          <w:i/>
          <w:color w:val="0D0D0D" w:themeColor="text1" w:themeTint="F2"/>
          <w:sz w:val="20"/>
          <w:szCs w:val="20"/>
        </w:rPr>
        <w:t>tdm-PatternConfig</w:t>
      </w:r>
      <w:proofErr w:type="spellEnd"/>
      <w:r>
        <w:rPr>
          <w:rFonts w:cstheme="minorHAnsi"/>
          <w:b/>
          <w:color w:val="0D0D0D" w:themeColor="text1" w:themeTint="F2"/>
          <w:sz w:val="20"/>
          <w:szCs w:val="20"/>
        </w:rPr>
        <w:t xml:space="preserve"> imply that a UE would not enable </w:t>
      </w:r>
      <w:r w:rsidRPr="006F73D5">
        <w:rPr>
          <w:b/>
          <w:color w:val="000000" w:themeColor="text1"/>
          <w:sz w:val="20"/>
          <w:szCs w:val="20"/>
          <w:lang w:val="en-US"/>
        </w:rPr>
        <w:t xml:space="preserve">DL HARQ timing for FDD </w:t>
      </w:r>
      <w:proofErr w:type="spellStart"/>
      <w:r w:rsidRPr="006F73D5">
        <w:rPr>
          <w:b/>
          <w:color w:val="000000" w:themeColor="text1"/>
          <w:sz w:val="20"/>
          <w:szCs w:val="20"/>
          <w:lang w:val="en-US"/>
        </w:rPr>
        <w:t>Scell</w:t>
      </w:r>
      <w:proofErr w:type="spellEnd"/>
      <w:r w:rsidRPr="006F73D5">
        <w:rPr>
          <w:b/>
          <w:color w:val="000000" w:themeColor="text1"/>
          <w:sz w:val="20"/>
          <w:szCs w:val="20"/>
          <w:lang w:val="en-US"/>
        </w:rPr>
        <w:t xml:space="preserve"> for LTE TDD-FDD CA with TDD </w:t>
      </w:r>
      <w:proofErr w:type="spellStart"/>
      <w:r w:rsidRPr="006F73D5">
        <w:rPr>
          <w:b/>
          <w:color w:val="000000" w:themeColor="text1"/>
          <w:sz w:val="20"/>
          <w:szCs w:val="20"/>
          <w:lang w:val="en-US"/>
        </w:rPr>
        <w:t>Pcell</w:t>
      </w:r>
      <w:proofErr w:type="spellEnd"/>
      <w:r w:rsidRPr="006F73D5">
        <w:rPr>
          <w:b/>
          <w:color w:val="000000" w:themeColor="text1"/>
          <w:sz w:val="20"/>
          <w:szCs w:val="20"/>
          <w:lang w:val="en-US"/>
        </w:rPr>
        <w:t xml:space="preserve">, applied to FDD </w:t>
      </w:r>
      <w:proofErr w:type="spellStart"/>
      <w:r w:rsidRPr="006F73D5">
        <w:rPr>
          <w:b/>
          <w:color w:val="000000" w:themeColor="text1"/>
          <w:sz w:val="20"/>
          <w:szCs w:val="20"/>
          <w:lang w:val="en-US"/>
        </w:rPr>
        <w:t>Pcell</w:t>
      </w:r>
      <w:proofErr w:type="spellEnd"/>
      <w:r>
        <w:rPr>
          <w:b/>
          <w:color w:val="000000" w:themeColor="text1"/>
          <w:sz w:val="20"/>
          <w:szCs w:val="20"/>
          <w:lang w:val="en-US"/>
        </w:rPr>
        <w:t>,</w:t>
      </w:r>
      <w:r>
        <w:rPr>
          <w:rFonts w:cstheme="minorHAnsi"/>
          <w:b/>
          <w:color w:val="0D0D0D" w:themeColor="text1" w:themeTint="F2"/>
          <w:sz w:val="20"/>
          <w:szCs w:val="20"/>
        </w:rPr>
        <w:t xml:space="preserve"> when a UE is performing dual UL transmissions. </w:t>
      </w:r>
    </w:p>
    <w:p w:rsidR="000A014D" w:rsidRPr="00C11D0E" w:rsidRDefault="00A90744" w:rsidP="000A014D">
      <w:pPr>
        <w:rPr>
          <w:b/>
          <w:color w:val="0D0D0D" w:themeColor="text1" w:themeTint="F2"/>
          <w:sz w:val="20"/>
          <w:szCs w:val="20"/>
        </w:rPr>
      </w:pPr>
      <w:r>
        <w:rPr>
          <w:b/>
          <w:i/>
          <w:color w:val="0D0D0D" w:themeColor="text1" w:themeTint="F2"/>
          <w:sz w:val="20"/>
          <w:szCs w:val="20"/>
          <w:u w:val="single"/>
        </w:rPr>
        <w:t>Proposal 1</w:t>
      </w:r>
      <w:r w:rsidR="000A014D">
        <w:rPr>
          <w:b/>
          <w:i/>
          <w:color w:val="0D0D0D" w:themeColor="text1" w:themeTint="F2"/>
          <w:sz w:val="20"/>
          <w:szCs w:val="20"/>
          <w:u w:val="single"/>
        </w:rPr>
        <w:t xml:space="preserve">: </w:t>
      </w:r>
      <w:r w:rsidR="000A014D">
        <w:rPr>
          <w:b/>
          <w:color w:val="0D0D0D" w:themeColor="text1" w:themeTint="F2"/>
          <w:sz w:val="20"/>
          <w:szCs w:val="20"/>
        </w:rPr>
        <w:t>RAN1 should select Option B to avoid the need for bringing a CR to the existing RAN 2 specifications, 38.306 and 36.331. RAN1 should amend 38.213 to replace any reference to UE behaviours when configured with “</w:t>
      </w:r>
      <w:proofErr w:type="spellStart"/>
      <w:r w:rsidR="000A014D">
        <w:rPr>
          <w:b/>
          <w:i/>
          <w:color w:val="0D0D0D" w:themeColor="text1" w:themeTint="F2"/>
          <w:sz w:val="20"/>
          <w:szCs w:val="20"/>
        </w:rPr>
        <w:t>tdm</w:t>
      </w:r>
      <w:proofErr w:type="spellEnd"/>
      <w:r w:rsidR="000A014D">
        <w:rPr>
          <w:b/>
          <w:i/>
          <w:color w:val="0D0D0D" w:themeColor="text1" w:themeTint="F2"/>
          <w:sz w:val="20"/>
          <w:szCs w:val="20"/>
        </w:rPr>
        <w:t xml:space="preserve">-Pattern” </w:t>
      </w:r>
      <w:r w:rsidR="000A014D">
        <w:rPr>
          <w:b/>
          <w:color w:val="0D0D0D" w:themeColor="text1" w:themeTint="F2"/>
          <w:sz w:val="20"/>
          <w:szCs w:val="20"/>
        </w:rPr>
        <w:t>and</w:t>
      </w:r>
      <w:r w:rsidR="000A014D">
        <w:rPr>
          <w:b/>
          <w:i/>
          <w:color w:val="0D0D0D" w:themeColor="text1" w:themeTint="F2"/>
          <w:sz w:val="20"/>
          <w:szCs w:val="20"/>
        </w:rPr>
        <w:t xml:space="preserve"> “</w:t>
      </w:r>
      <w:proofErr w:type="spellStart"/>
      <w:r w:rsidR="000A014D">
        <w:rPr>
          <w:b/>
          <w:i/>
          <w:color w:val="0D0D0D" w:themeColor="text1" w:themeTint="F2"/>
          <w:sz w:val="20"/>
          <w:szCs w:val="20"/>
        </w:rPr>
        <w:t>tdm</w:t>
      </w:r>
      <w:proofErr w:type="spellEnd"/>
      <w:r w:rsidR="000A014D">
        <w:rPr>
          <w:b/>
          <w:i/>
          <w:color w:val="0D0D0D" w:themeColor="text1" w:themeTint="F2"/>
          <w:sz w:val="20"/>
          <w:szCs w:val="20"/>
        </w:rPr>
        <w:t xml:space="preserve">-Pattern </w:t>
      </w:r>
      <w:proofErr w:type="spellStart"/>
      <w:r w:rsidR="000A014D">
        <w:rPr>
          <w:b/>
          <w:i/>
          <w:color w:val="0D0D0D" w:themeColor="text1" w:themeTint="F2"/>
          <w:sz w:val="20"/>
          <w:szCs w:val="20"/>
        </w:rPr>
        <w:t>Config</w:t>
      </w:r>
      <w:proofErr w:type="spellEnd"/>
      <w:r w:rsidR="000A014D">
        <w:rPr>
          <w:b/>
          <w:i/>
          <w:color w:val="0D0D0D" w:themeColor="text1" w:themeTint="F2"/>
          <w:sz w:val="20"/>
          <w:szCs w:val="20"/>
        </w:rPr>
        <w:t xml:space="preserve">” </w:t>
      </w:r>
      <w:r w:rsidR="000A014D">
        <w:rPr>
          <w:b/>
          <w:color w:val="0D0D0D" w:themeColor="text1" w:themeTint="F2"/>
          <w:sz w:val="20"/>
          <w:szCs w:val="20"/>
        </w:rPr>
        <w:t xml:space="preserve">with </w:t>
      </w:r>
      <w:r w:rsidR="000A014D">
        <w:rPr>
          <w:b/>
          <w:i/>
          <w:color w:val="0D0D0D" w:themeColor="text1" w:themeTint="F2"/>
          <w:sz w:val="20"/>
          <w:szCs w:val="20"/>
        </w:rPr>
        <w:t>“</w:t>
      </w:r>
      <w:proofErr w:type="spellStart"/>
      <w:r w:rsidR="000A014D">
        <w:rPr>
          <w:b/>
          <w:i/>
          <w:color w:val="0D0D0D" w:themeColor="text1" w:themeTint="F2"/>
          <w:sz w:val="20"/>
          <w:szCs w:val="20"/>
        </w:rPr>
        <w:t>tdm</w:t>
      </w:r>
      <w:proofErr w:type="spellEnd"/>
      <w:r w:rsidR="000A014D">
        <w:rPr>
          <w:b/>
          <w:i/>
          <w:color w:val="0D0D0D" w:themeColor="text1" w:themeTint="F2"/>
          <w:sz w:val="20"/>
          <w:szCs w:val="20"/>
        </w:rPr>
        <w:t xml:space="preserve">-Pattern or tdm-Pattern2” </w:t>
      </w:r>
      <w:r w:rsidR="000A014D">
        <w:rPr>
          <w:b/>
          <w:color w:val="0D0D0D" w:themeColor="text1" w:themeTint="F2"/>
          <w:sz w:val="20"/>
          <w:szCs w:val="20"/>
        </w:rPr>
        <w:t xml:space="preserve">and </w:t>
      </w:r>
      <w:r w:rsidR="000A014D">
        <w:rPr>
          <w:b/>
          <w:i/>
          <w:color w:val="0D0D0D" w:themeColor="text1" w:themeTint="F2"/>
          <w:sz w:val="20"/>
          <w:szCs w:val="20"/>
        </w:rPr>
        <w:t>“</w:t>
      </w:r>
      <w:proofErr w:type="spellStart"/>
      <w:r w:rsidR="000A014D">
        <w:rPr>
          <w:b/>
          <w:i/>
          <w:color w:val="0D0D0D" w:themeColor="text1" w:themeTint="F2"/>
          <w:sz w:val="20"/>
          <w:szCs w:val="20"/>
        </w:rPr>
        <w:t>tdm-PatternConfig</w:t>
      </w:r>
      <w:proofErr w:type="spellEnd"/>
      <w:r w:rsidR="000A014D">
        <w:rPr>
          <w:b/>
          <w:i/>
          <w:color w:val="0D0D0D" w:themeColor="text1" w:themeTint="F2"/>
          <w:sz w:val="20"/>
          <w:szCs w:val="20"/>
        </w:rPr>
        <w:t xml:space="preserve"> or tdm-PatternConfig2” </w:t>
      </w:r>
      <w:r w:rsidR="000A014D">
        <w:rPr>
          <w:b/>
          <w:color w:val="0D0D0D" w:themeColor="text1" w:themeTint="F2"/>
          <w:sz w:val="20"/>
          <w:szCs w:val="20"/>
        </w:rPr>
        <w:t xml:space="preserve">respectively. </w:t>
      </w:r>
    </w:p>
    <w:p w:rsidR="000A014D" w:rsidRDefault="00A90744" w:rsidP="000A014D">
      <w:pPr>
        <w:rPr>
          <w:b/>
          <w:color w:val="0D0D0D" w:themeColor="text1" w:themeTint="F2"/>
          <w:sz w:val="20"/>
          <w:szCs w:val="20"/>
        </w:rPr>
      </w:pPr>
      <w:r>
        <w:rPr>
          <w:b/>
          <w:i/>
          <w:color w:val="0D0D0D" w:themeColor="text1" w:themeTint="F2"/>
          <w:sz w:val="20"/>
          <w:szCs w:val="20"/>
          <w:u w:val="single"/>
        </w:rPr>
        <w:t>Proposal 2</w:t>
      </w:r>
      <w:r w:rsidR="000A014D">
        <w:rPr>
          <w:b/>
          <w:i/>
          <w:color w:val="0D0D0D" w:themeColor="text1" w:themeTint="F2"/>
          <w:sz w:val="20"/>
          <w:szCs w:val="20"/>
          <w:u w:val="single"/>
        </w:rPr>
        <w:t xml:space="preserve">: </w:t>
      </w:r>
      <w:r w:rsidR="000A014D">
        <w:rPr>
          <w:b/>
          <w:color w:val="0D0D0D" w:themeColor="text1" w:themeTint="F2"/>
          <w:sz w:val="20"/>
          <w:szCs w:val="20"/>
        </w:rPr>
        <w:t xml:space="preserve">RAN1 should send a Liaison Statement to RAN2 to inform them of the decision and ask them to introduce the corresponding RRC signalling parameters to meet the WID Objective. </w:t>
      </w:r>
    </w:p>
    <w:p w:rsidR="000A014D" w:rsidRPr="0082157D" w:rsidRDefault="000A014D" w:rsidP="000A014D">
      <w:pPr>
        <w:rPr>
          <w:sz w:val="20"/>
          <w:szCs w:val="20"/>
        </w:rPr>
      </w:pPr>
    </w:p>
    <w:p w:rsidR="000A014D" w:rsidRPr="00C11D0E" w:rsidRDefault="000A014D" w:rsidP="005C1336">
      <w:pPr>
        <w:rPr>
          <w:b/>
          <w:color w:val="0D0D0D" w:themeColor="text1" w:themeTint="F2"/>
          <w:sz w:val="20"/>
          <w:szCs w:val="20"/>
        </w:rPr>
      </w:pPr>
    </w:p>
    <w:p w:rsidR="00A53C17" w:rsidRPr="00F12010" w:rsidRDefault="00A53C17" w:rsidP="00A53C17">
      <w:pPr>
        <w:pStyle w:val="Heading1"/>
        <w:ind w:left="0" w:firstLine="0"/>
        <w:rPr>
          <w:sz w:val="36"/>
          <w:szCs w:val="36"/>
        </w:rPr>
      </w:pPr>
      <w:r w:rsidRPr="00874684">
        <w:lastRenderedPageBreak/>
        <w:t>References</w:t>
      </w:r>
      <w:r w:rsidRPr="00F12010">
        <w:rPr>
          <w:sz w:val="36"/>
          <w:szCs w:val="36"/>
        </w:rPr>
        <w:t xml:space="preserve"> </w:t>
      </w:r>
    </w:p>
    <w:p w:rsidR="00A53C17" w:rsidRDefault="00A53C17" w:rsidP="00A53C17">
      <w:pPr>
        <w:rPr>
          <w:rFonts w:eastAsia="Batang" w:cstheme="minorHAnsi"/>
          <w:b/>
          <w:sz w:val="20"/>
          <w:szCs w:val="20"/>
        </w:rPr>
      </w:pPr>
      <w:r>
        <w:rPr>
          <w:rFonts w:cstheme="minorHAnsi"/>
          <w:szCs w:val="20"/>
        </w:rPr>
        <w:t>[1] RAN #84 – RP 191600, “</w:t>
      </w:r>
      <w:r w:rsidRPr="00425C1C">
        <w:rPr>
          <w:rFonts w:eastAsia="Batang" w:cstheme="minorHAnsi"/>
          <w:b/>
          <w:sz w:val="20"/>
          <w:szCs w:val="20"/>
        </w:rPr>
        <w:t xml:space="preserve">Revised WID: Multi-RAT Dual-Connectivity and Carrier Aggregation </w:t>
      </w:r>
      <w:r>
        <w:rPr>
          <w:rFonts w:eastAsia="Batang" w:cstheme="minorHAnsi"/>
          <w:b/>
          <w:sz w:val="20"/>
          <w:szCs w:val="20"/>
        </w:rPr>
        <w:t>E</w:t>
      </w:r>
      <w:r w:rsidRPr="00425C1C">
        <w:rPr>
          <w:rFonts w:eastAsia="Batang" w:cstheme="minorHAnsi"/>
          <w:b/>
          <w:sz w:val="20"/>
          <w:szCs w:val="20"/>
        </w:rPr>
        <w:t>nhancements</w:t>
      </w:r>
      <w:r>
        <w:rPr>
          <w:rFonts w:eastAsia="Batang" w:cstheme="minorHAnsi"/>
          <w:b/>
          <w:sz w:val="20"/>
          <w:szCs w:val="20"/>
        </w:rPr>
        <w:t>”</w:t>
      </w:r>
    </w:p>
    <w:p w:rsidR="00A53C17" w:rsidRDefault="00A53C17" w:rsidP="00A53C17">
      <w:pPr>
        <w:rPr>
          <w:rFonts w:eastAsia="Times New Roman" w:cstheme="minorHAnsi"/>
          <w:b/>
          <w:sz w:val="20"/>
          <w:szCs w:val="20"/>
        </w:rPr>
      </w:pPr>
      <w:r w:rsidRPr="00A53C17">
        <w:rPr>
          <w:rFonts w:cstheme="minorHAnsi"/>
          <w:sz w:val="20"/>
          <w:szCs w:val="20"/>
        </w:rPr>
        <w:t>[2] 3GPP TS 38.101-3,</w:t>
      </w:r>
      <w:r>
        <w:rPr>
          <w:rFonts w:cstheme="minorHAnsi"/>
          <w:szCs w:val="20"/>
        </w:rPr>
        <w:t xml:space="preserve"> </w:t>
      </w:r>
      <w:r w:rsidRPr="00A53C17">
        <w:rPr>
          <w:rFonts w:cstheme="minorHAnsi"/>
          <w:sz w:val="20"/>
          <w:szCs w:val="20"/>
        </w:rPr>
        <w:t>“</w:t>
      </w:r>
      <w:r w:rsidRPr="00A53C17">
        <w:rPr>
          <w:rFonts w:eastAsia="Times New Roman" w:cstheme="minorHAnsi"/>
          <w:b/>
          <w:sz w:val="20"/>
          <w:szCs w:val="20"/>
        </w:rPr>
        <w:t>User Equipment (UE) radio transmission and reception;</w:t>
      </w:r>
      <w:r>
        <w:rPr>
          <w:rFonts w:eastAsia="Times New Roman" w:cstheme="minorHAnsi"/>
          <w:b/>
          <w:sz w:val="20"/>
          <w:szCs w:val="20"/>
        </w:rPr>
        <w:t xml:space="preserve"> </w:t>
      </w:r>
      <w:r w:rsidRPr="00A53C17">
        <w:rPr>
          <w:rFonts w:eastAsia="Times New Roman" w:cstheme="minorHAnsi"/>
          <w:b/>
          <w:sz w:val="20"/>
          <w:szCs w:val="20"/>
        </w:rPr>
        <w:t>Part 3: Range 1 and Range 2 Interworking operation with other radios</w:t>
      </w:r>
      <w:r>
        <w:rPr>
          <w:rFonts w:eastAsia="Times New Roman" w:cstheme="minorHAnsi"/>
          <w:b/>
          <w:sz w:val="20"/>
          <w:szCs w:val="20"/>
        </w:rPr>
        <w:t>”</w:t>
      </w:r>
    </w:p>
    <w:p w:rsidR="00EC602F" w:rsidRDefault="00EC602F" w:rsidP="00A53C17">
      <w:pPr>
        <w:rPr>
          <w:rFonts w:eastAsia="Times New Roman" w:cstheme="minorHAnsi"/>
          <w:b/>
          <w:sz w:val="20"/>
          <w:szCs w:val="20"/>
        </w:rPr>
      </w:pPr>
      <w:r w:rsidRPr="00EC602F">
        <w:rPr>
          <w:rFonts w:eastAsia="Times New Roman" w:cstheme="minorHAnsi"/>
          <w:sz w:val="20"/>
          <w:szCs w:val="20"/>
        </w:rPr>
        <w:t>[3] 3GPP TS 38.306</w:t>
      </w:r>
      <w:r>
        <w:rPr>
          <w:rFonts w:eastAsia="Times New Roman" w:cstheme="minorHAnsi"/>
          <w:sz w:val="20"/>
          <w:szCs w:val="20"/>
        </w:rPr>
        <w:t>, “</w:t>
      </w:r>
      <w:r>
        <w:rPr>
          <w:rFonts w:eastAsia="Times New Roman" w:cstheme="minorHAnsi"/>
          <w:b/>
          <w:sz w:val="20"/>
          <w:szCs w:val="20"/>
        </w:rPr>
        <w:t>UE Radio Access Capabilities”</w:t>
      </w:r>
    </w:p>
    <w:p w:rsidR="00EC602F" w:rsidRPr="00A00CFC" w:rsidRDefault="00EC602F" w:rsidP="00A53C17">
      <w:pPr>
        <w:rPr>
          <w:rFonts w:eastAsia="Times New Roman" w:cstheme="minorHAnsi"/>
          <w:b/>
          <w:sz w:val="20"/>
          <w:szCs w:val="20"/>
        </w:rPr>
      </w:pPr>
      <w:r w:rsidRPr="00A00CFC">
        <w:rPr>
          <w:rFonts w:eastAsia="Times New Roman" w:cstheme="minorHAnsi"/>
          <w:sz w:val="20"/>
          <w:szCs w:val="20"/>
        </w:rPr>
        <w:t xml:space="preserve">[4] 3GPP TS 36.331, </w:t>
      </w:r>
      <w:r w:rsidRPr="00A00CFC">
        <w:rPr>
          <w:rFonts w:eastAsia="Times New Roman" w:cstheme="minorHAnsi"/>
          <w:b/>
          <w:sz w:val="20"/>
          <w:szCs w:val="20"/>
        </w:rPr>
        <w:t>“</w:t>
      </w:r>
      <w:r w:rsidR="001727AB" w:rsidRPr="00A00CFC">
        <w:rPr>
          <w:rFonts w:eastAsia="Times New Roman" w:cstheme="minorHAnsi"/>
          <w:b/>
          <w:sz w:val="20"/>
          <w:szCs w:val="20"/>
        </w:rPr>
        <w:t>E-UTRA RRC Protocol Specification</w:t>
      </w:r>
      <w:r w:rsidRPr="00A00CFC">
        <w:rPr>
          <w:rFonts w:eastAsia="Times New Roman" w:cstheme="minorHAnsi"/>
          <w:b/>
          <w:sz w:val="20"/>
          <w:szCs w:val="20"/>
        </w:rPr>
        <w:t>”</w:t>
      </w:r>
    </w:p>
    <w:p w:rsidR="005C1336" w:rsidRPr="005C1336" w:rsidRDefault="005C1336" w:rsidP="00A53C17">
      <w:pPr>
        <w:rPr>
          <w:rFonts w:cstheme="minorHAnsi"/>
          <w:b/>
          <w:szCs w:val="20"/>
        </w:rPr>
      </w:pPr>
      <w:r w:rsidRPr="005C1336">
        <w:rPr>
          <w:rFonts w:eastAsia="Times New Roman" w:cstheme="minorHAnsi"/>
          <w:sz w:val="20"/>
          <w:szCs w:val="20"/>
        </w:rPr>
        <w:t>[5] 3GPP TS 38.213</w:t>
      </w:r>
      <w:r w:rsidR="00B34743" w:rsidRPr="005C1336">
        <w:rPr>
          <w:rFonts w:eastAsia="Times New Roman" w:cstheme="minorHAnsi"/>
          <w:sz w:val="20"/>
          <w:szCs w:val="20"/>
        </w:rPr>
        <w:t>,”</w:t>
      </w:r>
      <w:r w:rsidRPr="005C1336">
        <w:rPr>
          <w:rFonts w:eastAsia="Times New Roman" w:cstheme="minorHAnsi"/>
          <w:b/>
          <w:sz w:val="20"/>
          <w:szCs w:val="20"/>
        </w:rPr>
        <w:t>Physical Layer Procedures for Control”</w:t>
      </w:r>
    </w:p>
    <w:p w:rsidR="007D0147" w:rsidRPr="005C1336" w:rsidRDefault="007D0147" w:rsidP="007D0147">
      <w:pPr>
        <w:jc w:val="both"/>
      </w:pPr>
    </w:p>
    <w:sectPr w:rsidR="007D0147" w:rsidRPr="005C133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ACD" w:rsidRDefault="00143ACD" w:rsidP="00305CCD">
      <w:pPr>
        <w:spacing w:after="0" w:line="240" w:lineRule="auto"/>
      </w:pPr>
      <w:r>
        <w:separator/>
      </w:r>
    </w:p>
  </w:endnote>
  <w:endnote w:type="continuationSeparator" w:id="0">
    <w:p w:rsidR="00143ACD" w:rsidRDefault="00143ACD" w:rsidP="00305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CCD" w:rsidRDefault="00305CC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68894c4ca7a974d5550ac118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305CCD" w:rsidRPr="00305CCD" w:rsidRDefault="00305CCD" w:rsidP="00305CC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05CC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68894c4ca7a974d5550ac118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" o:allowincell="f" filled="f" stroked="f" strokeweight=".5pt">
              <v:fill o:detectmouseclick="t"/>
              <v:textbox inset="20pt,0,,0">
                <w:txbxContent>
                  <w:p w:rsidR="00305CCD" w:rsidRPr="00305CCD" w:rsidRDefault="00305CCD" w:rsidP="00305CC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05CC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ACD" w:rsidRDefault="00143ACD" w:rsidP="00305CCD">
      <w:pPr>
        <w:spacing w:after="0" w:line="240" w:lineRule="auto"/>
      </w:pPr>
      <w:r>
        <w:separator/>
      </w:r>
    </w:p>
  </w:footnote>
  <w:footnote w:type="continuationSeparator" w:id="0">
    <w:p w:rsidR="00143ACD" w:rsidRDefault="00143ACD" w:rsidP="00305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D017E0"/>
    <w:multiLevelType w:val="multilevel"/>
    <w:tmpl w:val="8A764354"/>
    <w:lvl w:ilvl="0">
      <w:start w:val="1"/>
      <w:numFmt w:val="decimal"/>
      <w:pStyle w:val="Heading1"/>
      <w:lvlText w:val="%1."/>
      <w:lvlJc w:val="left"/>
      <w:pPr>
        <w:ind w:left="717" w:hanging="360"/>
      </w:pPr>
      <w:rPr>
        <w:rFonts w:ascii="Arial" w:hAnsi="Arial" w:hint="default"/>
        <w:b w:val="0"/>
        <w:i w:val="0"/>
        <w:strike w:val="0"/>
        <w:dstrike w:val="0"/>
        <w:sz w:val="32"/>
        <w:vertAlign w:val="baseline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71F1018B"/>
    <w:multiLevelType w:val="hybridMultilevel"/>
    <w:tmpl w:val="B5587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CD"/>
    <w:rsid w:val="000446F6"/>
    <w:rsid w:val="00092352"/>
    <w:rsid w:val="000A014D"/>
    <w:rsid w:val="00143ACD"/>
    <w:rsid w:val="001727AB"/>
    <w:rsid w:val="00305CCD"/>
    <w:rsid w:val="00467EF0"/>
    <w:rsid w:val="0047291A"/>
    <w:rsid w:val="00504DFF"/>
    <w:rsid w:val="005C1336"/>
    <w:rsid w:val="006375EC"/>
    <w:rsid w:val="0077797A"/>
    <w:rsid w:val="007D0147"/>
    <w:rsid w:val="0082369B"/>
    <w:rsid w:val="008F0065"/>
    <w:rsid w:val="00971AAB"/>
    <w:rsid w:val="00A00CFC"/>
    <w:rsid w:val="00A53C17"/>
    <w:rsid w:val="00A60DBD"/>
    <w:rsid w:val="00A90744"/>
    <w:rsid w:val="00B31264"/>
    <w:rsid w:val="00B34743"/>
    <w:rsid w:val="00B8598C"/>
    <w:rsid w:val="00BA5C03"/>
    <w:rsid w:val="00BC4CF9"/>
    <w:rsid w:val="00C11D0E"/>
    <w:rsid w:val="00CE7CAB"/>
    <w:rsid w:val="00D73F1A"/>
    <w:rsid w:val="00D75166"/>
    <w:rsid w:val="00E50450"/>
    <w:rsid w:val="00E944A3"/>
    <w:rsid w:val="00EB5D95"/>
    <w:rsid w:val="00EC602F"/>
    <w:rsid w:val="00F17073"/>
    <w:rsid w:val="00F417E5"/>
    <w:rsid w:val="00F8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B130A"/>
  <w15:chartTrackingRefBased/>
  <w15:docId w15:val="{932CF689-9606-4BBC-B049-5DEE765DA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CF9"/>
  </w:style>
  <w:style w:type="paragraph" w:styleId="Heading1">
    <w:name w:val="heading 1"/>
    <w:basedOn w:val="Normal"/>
    <w:next w:val="Normal"/>
    <w:link w:val="Heading1Char"/>
    <w:uiPriority w:val="9"/>
    <w:qFormat/>
    <w:rsid w:val="00D75166"/>
    <w:pPr>
      <w:keepNext/>
      <w:keepLines/>
      <w:numPr>
        <w:numId w:val="1"/>
      </w:numPr>
      <w:pBdr>
        <w:top w:val="single" w:sz="8" w:space="1" w:color="auto"/>
      </w:pBdr>
      <w:spacing w:before="240" w:after="240"/>
      <w:outlineLvl w:val="0"/>
    </w:pPr>
    <w:rPr>
      <w:rFonts w:ascii="Arial" w:eastAsiaTheme="majorEastAsia" w:hAnsi="Arial" w:cstheme="majorBidi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05C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05CCD"/>
  </w:style>
  <w:style w:type="paragraph" w:styleId="Footer">
    <w:name w:val="footer"/>
    <w:basedOn w:val="Normal"/>
    <w:link w:val="FooterChar"/>
    <w:uiPriority w:val="99"/>
    <w:unhideWhenUsed/>
    <w:rsid w:val="00305C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CCD"/>
  </w:style>
  <w:style w:type="paragraph" w:customStyle="1" w:styleId="CRCoverPage">
    <w:name w:val="CR Cover Page"/>
    <w:link w:val="CRCoverPageChar"/>
    <w:rsid w:val="00BC4CF9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BC4CF9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75166"/>
    <w:rPr>
      <w:rFonts w:ascii="Arial" w:eastAsiaTheme="majorEastAsia" w:hAnsi="Arial" w:cstheme="majorBidi"/>
      <w:sz w:val="32"/>
      <w:szCs w:val="32"/>
      <w:lang w:eastAsia="en-US"/>
    </w:rPr>
  </w:style>
  <w:style w:type="paragraph" w:customStyle="1" w:styleId="ZT">
    <w:name w:val="ZT"/>
    <w:rsid w:val="00A53C1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eastAsia="en-US"/>
    </w:rPr>
  </w:style>
  <w:style w:type="character" w:customStyle="1" w:styleId="ZGSM">
    <w:name w:val="ZGSM"/>
    <w:rsid w:val="00A53C17"/>
  </w:style>
  <w:style w:type="character" w:customStyle="1" w:styleId="TALCar">
    <w:name w:val="TAL Car"/>
    <w:basedOn w:val="DefaultParagraphFont"/>
    <w:link w:val="TAL"/>
    <w:locked/>
    <w:rsid w:val="001727AB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1727AB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lang w:eastAsia="x-none"/>
    </w:rPr>
  </w:style>
  <w:style w:type="paragraph" w:styleId="ListParagraph">
    <w:name w:val="List Paragraph"/>
    <w:basedOn w:val="Normal"/>
    <w:uiPriority w:val="34"/>
    <w:qFormat/>
    <w:rsid w:val="00CE7C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6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Chakraborty, Rishikesh, Vodafone Group</dc:creator>
  <cp:keywords/>
  <dc:description/>
  <cp:lastModifiedBy>Chakraborty, Rishikesh, Vodafone Group</cp:lastModifiedBy>
  <cp:revision>29</cp:revision>
  <dcterms:created xsi:type="dcterms:W3CDTF">2019-08-14T14:31:00Z</dcterms:created>
  <dcterms:modified xsi:type="dcterms:W3CDTF">2019-08-15T15:29:00Z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rishikesh.chakraborty@vodafone.com</vt:lpwstr>
  </property>
  <property fmtid="{D5CDD505-2E9C-101B-9397-08002B2CF9AE}" pid="5" name="MSIP_Label_0359f705-2ba0-454b-9cfc-6ce5bcaac040_SetDate">
    <vt:lpwstr>2019-08-14T14:31:43.0878602Z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