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EEB84" w14:textId="1D111207"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#9</w:t>
      </w:r>
      <w:r w:rsidR="008E6BF5">
        <w:rPr>
          <w:rFonts w:ascii="Arial" w:hAnsi="Arial" w:cs="Arial"/>
          <w:b/>
          <w:kern w:val="2"/>
          <w:lang w:eastAsia="zh-CN"/>
        </w:rPr>
        <w:t>8</w:t>
      </w:r>
      <w:r w:rsidR="00972929" w:rsidRPr="00D74B92">
        <w:rPr>
          <w:rFonts w:ascii="Arial" w:hAnsi="Arial" w:cs="Arial"/>
          <w:b/>
          <w:kern w:val="2"/>
          <w:lang w:eastAsia="zh-CN"/>
        </w:rPr>
        <w:tab/>
      </w:r>
      <w:r w:rsidR="00052F0C" w:rsidRPr="00052F0C">
        <w:rPr>
          <w:rFonts w:ascii="Arial" w:hAnsi="Arial" w:cs="Arial"/>
          <w:b/>
          <w:kern w:val="2"/>
          <w:lang w:eastAsia="zh-CN"/>
        </w:rPr>
        <w:t>R1-1908742</w:t>
      </w:r>
    </w:p>
    <w:p w14:paraId="2A9D85E6" w14:textId="662B3D5F" w:rsidR="009C0564" w:rsidRPr="007F5EC6" w:rsidRDefault="008E6BF5" w:rsidP="00DA0712">
      <w:pPr>
        <w:jc w:val="left"/>
        <w:rPr>
          <w:rFonts w:ascii="Arial" w:hAnsi="Arial" w:cs="Arial"/>
          <w:b/>
          <w:kern w:val="2"/>
          <w:lang w:eastAsia="zh-CN"/>
        </w:rPr>
      </w:pPr>
      <w:r>
        <w:rPr>
          <w:rFonts w:ascii="Arial" w:hAnsi="Arial" w:cs="Arial"/>
          <w:b/>
          <w:kern w:val="2"/>
          <w:lang w:eastAsia="zh-CN"/>
        </w:rPr>
        <w:t>Prague</w:t>
      </w:r>
      <w:r w:rsidR="00F16BF2" w:rsidRPr="00D74B92">
        <w:rPr>
          <w:rFonts w:ascii="Arial" w:hAnsi="Arial" w:cs="Arial"/>
          <w:b/>
          <w:kern w:val="2"/>
          <w:lang w:eastAsia="zh-CN"/>
        </w:rPr>
        <w:t>,</w:t>
      </w:r>
      <w:r w:rsidR="00753191" w:rsidRPr="00D74B92">
        <w:rPr>
          <w:rFonts w:ascii="Arial" w:hAnsi="Arial" w:cs="Arial"/>
          <w:b/>
          <w:kern w:val="2"/>
          <w:lang w:eastAsia="zh-CN"/>
        </w:rPr>
        <w:t xml:space="preserve"> </w:t>
      </w:r>
      <w:r>
        <w:rPr>
          <w:rFonts w:ascii="Arial" w:hAnsi="Arial" w:cs="Arial"/>
          <w:b/>
          <w:kern w:val="2"/>
          <w:lang w:eastAsia="zh-CN"/>
        </w:rPr>
        <w:t>Czech Republic</w:t>
      </w:r>
      <w:r w:rsidR="00753191" w:rsidRPr="00D74B92">
        <w:rPr>
          <w:rFonts w:ascii="Arial" w:hAnsi="Arial" w:cs="Arial"/>
          <w:b/>
          <w:kern w:val="2"/>
          <w:lang w:eastAsia="zh-CN"/>
        </w:rPr>
        <w:t xml:space="preserve">, </w:t>
      </w:r>
      <w:r>
        <w:rPr>
          <w:rFonts w:ascii="Arial" w:hAnsi="Arial" w:cs="Arial"/>
          <w:b/>
          <w:kern w:val="2"/>
          <w:lang w:eastAsia="zh-CN"/>
        </w:rPr>
        <w:t>August</w:t>
      </w:r>
      <w:r w:rsidRPr="00D74B92">
        <w:rPr>
          <w:rFonts w:ascii="Arial" w:hAnsi="Arial" w:cs="Arial"/>
          <w:b/>
          <w:kern w:val="2"/>
          <w:lang w:eastAsia="zh-CN"/>
        </w:rPr>
        <w:t xml:space="preserve"> </w:t>
      </w:r>
      <w:r>
        <w:rPr>
          <w:rFonts w:ascii="Arial" w:hAnsi="Arial" w:cs="Arial"/>
          <w:b/>
          <w:kern w:val="2"/>
          <w:lang w:eastAsia="zh-CN"/>
        </w:rPr>
        <w:t>26</w:t>
      </w:r>
      <w:r w:rsidR="00822944" w:rsidRPr="00D74B92">
        <w:rPr>
          <w:rFonts w:ascii="Arial" w:hAnsi="Arial" w:cs="Arial"/>
          <w:b/>
          <w:kern w:val="2"/>
          <w:lang w:eastAsia="zh-CN"/>
        </w:rPr>
        <w:t>-</w:t>
      </w:r>
      <w:r>
        <w:rPr>
          <w:rFonts w:ascii="Arial" w:hAnsi="Arial" w:cs="Arial"/>
          <w:b/>
          <w:kern w:val="2"/>
          <w:lang w:eastAsia="zh-CN"/>
        </w:rPr>
        <w:t>30</w:t>
      </w:r>
      <w:r w:rsidR="00E07679" w:rsidRPr="00D74B92">
        <w:rPr>
          <w:rFonts w:ascii="Arial" w:hAnsi="Arial" w:cs="Arial"/>
          <w:b/>
          <w:kern w:val="2"/>
          <w:lang w:eastAsia="zh-CN"/>
        </w:rPr>
        <w:t>, 2019</w:t>
      </w:r>
    </w:p>
    <w:p w14:paraId="7826937B" w14:textId="7F772465"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F245A3" w:rsidRPr="00D74B92">
        <w:rPr>
          <w:rFonts w:ascii="Arial" w:hAnsi="Arial" w:cs="Arial"/>
          <w:b/>
          <w:lang w:eastAsia="zh-CN"/>
        </w:rPr>
        <w:t>7.2.4.7</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105FF0E7"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8E6BF5" w:rsidRPr="008E6BF5">
        <w:rPr>
          <w:rFonts w:ascii="Arial" w:hAnsi="Arial" w:cs="Arial"/>
          <w:b/>
          <w:lang w:eastAsia="zh-CN"/>
        </w:rPr>
        <w:t>Support of NR Uu controlling LTE sidelink</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1482F5D4" w14:textId="2DEEE6AF" w:rsidR="00A06E12" w:rsidRPr="007F5EC6" w:rsidRDefault="00A06E12" w:rsidP="00C02F76">
      <w:pPr>
        <w:rPr>
          <w:lang w:eastAsia="zh-CN"/>
        </w:rPr>
      </w:pPr>
      <w:r w:rsidRPr="007F5EC6">
        <w:rPr>
          <w:lang w:eastAsia="zh-CN"/>
        </w:rPr>
        <w:t xml:space="preserve">NR Uu control </w:t>
      </w:r>
      <w:r w:rsidR="003354A9">
        <w:rPr>
          <w:lang w:eastAsia="zh-CN"/>
        </w:rPr>
        <w:t>of</w:t>
      </w:r>
      <w:r w:rsidRPr="007F5EC6">
        <w:rPr>
          <w:lang w:eastAsia="zh-CN"/>
        </w:rPr>
        <w:t xml:space="preserve"> LTE sidelink </w:t>
      </w:r>
      <w:r w:rsidR="003354A9">
        <w:rPr>
          <w:lang w:eastAsia="zh-CN"/>
        </w:rPr>
        <w:t>is an important objective of the NR V2X WI. At RAN1#97, significant progress was achieved, leading RAN to modify the WID as follows [1]:</w:t>
      </w:r>
    </w:p>
    <w:p w14:paraId="244BFEA2" w14:textId="77777777" w:rsidR="003354A9" w:rsidRPr="003354A9" w:rsidRDefault="003354A9" w:rsidP="003354A9">
      <w:pPr>
        <w:rPr>
          <w:i/>
          <w:lang w:eastAsia="ko-KR"/>
        </w:rPr>
      </w:pPr>
      <w:r>
        <w:rPr>
          <w:rFonts w:hint="eastAsia"/>
          <w:lang w:eastAsia="ko-KR"/>
        </w:rPr>
        <w:t>2.</w:t>
      </w:r>
      <w:r>
        <w:rPr>
          <w:lang w:eastAsia="ko-KR"/>
        </w:rPr>
        <w:t xml:space="preserve"> </w:t>
      </w:r>
      <w:r w:rsidRPr="003354A9">
        <w:rPr>
          <w:i/>
          <w:lang w:eastAsia="ko-KR"/>
        </w:rPr>
        <w:t xml:space="preserve">Specify support for NR Uu to provide control for LTE sidelink </w:t>
      </w:r>
    </w:p>
    <w:p w14:paraId="127460B3" w14:textId="77777777" w:rsidR="003354A9" w:rsidRPr="003354A9" w:rsidRDefault="003354A9" w:rsidP="00537348">
      <w:pPr>
        <w:numPr>
          <w:ilvl w:val="0"/>
          <w:numId w:val="4"/>
        </w:numPr>
        <w:overflowPunct w:val="0"/>
        <w:snapToGrid/>
        <w:spacing w:after="180"/>
        <w:textAlignment w:val="baseline"/>
        <w:rPr>
          <w:i/>
          <w:lang w:eastAsia="ko-KR"/>
        </w:rPr>
      </w:pPr>
      <w:r w:rsidRPr="003354A9">
        <w:rPr>
          <w:i/>
          <w:lang w:eastAsia="ko-KR"/>
        </w:rPr>
        <w:t>Sidelink mode 4 as per the study outcome [RAN2, RAN1]; and</w:t>
      </w:r>
    </w:p>
    <w:p w14:paraId="6017C398" w14:textId="10EA4215" w:rsidR="003354A9" w:rsidRPr="003354A9" w:rsidRDefault="003354A9" w:rsidP="00537348">
      <w:pPr>
        <w:numPr>
          <w:ilvl w:val="0"/>
          <w:numId w:val="4"/>
        </w:numPr>
        <w:overflowPunct w:val="0"/>
        <w:snapToGrid/>
        <w:spacing w:after="180"/>
        <w:ind w:left="709" w:hanging="309"/>
        <w:textAlignment w:val="baseline"/>
        <w:rPr>
          <w:i/>
          <w:lang w:eastAsia="ko-KR"/>
        </w:rPr>
      </w:pPr>
      <w:r w:rsidRPr="003354A9">
        <w:rPr>
          <w:i/>
          <w:lang w:eastAsia="ko-KR"/>
        </w:rPr>
        <w:t>Sidelink mode 3-like RRC-configured SPS scheduling with DCI-based activation/deactivation as per the agreement in RAN1#97 [RAN1, RAN2].</w:t>
      </w:r>
    </w:p>
    <w:p w14:paraId="7F1D73DE" w14:textId="503F11CA" w:rsidR="00A06E12" w:rsidRPr="007F5EC6" w:rsidRDefault="003354A9" w:rsidP="00C02F76">
      <w:r>
        <w:t>In this contribution, we discuss the</w:t>
      </w:r>
      <w:r w:rsidR="00982A85">
        <w:t xml:space="preserve"> finalization of these</w:t>
      </w:r>
      <w:r>
        <w:t xml:space="preserve"> two aspects of this objective. </w:t>
      </w:r>
    </w:p>
    <w:p w14:paraId="7EA95162" w14:textId="77777777" w:rsidR="00B87EC9" w:rsidRPr="007F5EC6" w:rsidRDefault="00B87EC9" w:rsidP="007F5EC6"/>
    <w:p w14:paraId="35954F20" w14:textId="7ACCD178" w:rsidR="00816E9B" w:rsidRPr="00D74B92" w:rsidRDefault="00662D25" w:rsidP="00493C77">
      <w:pPr>
        <w:pStyle w:val="Heading1"/>
      </w:pPr>
      <w:r>
        <w:t xml:space="preserve">NR control for LTE </w:t>
      </w:r>
      <w:r w:rsidR="003354A9">
        <w:t xml:space="preserve">mode 4 </w:t>
      </w:r>
    </w:p>
    <w:p w14:paraId="4A646F90" w14:textId="4280CA66" w:rsidR="00662D25" w:rsidRDefault="00662D25" w:rsidP="001C75AF">
      <w:r>
        <w:t>For LTE mode-4 sidelink communication, the UE is (pre-)configured with resource pools where it can autonomously select resources following the sensing procedure defined in TS36.213. When the system is configured using LTE, common RRC signaling is used. At RAN1#94, it was agreed to use a similar procedure:</w:t>
      </w:r>
    </w:p>
    <w:p w14:paraId="6FC01AE1" w14:textId="77777777" w:rsidR="008C71E4" w:rsidRPr="008C71E4" w:rsidRDefault="008C71E4" w:rsidP="008C71E4">
      <w:pPr>
        <w:pStyle w:val="bullet1"/>
        <w:rPr>
          <w:i/>
          <w:szCs w:val="20"/>
        </w:rPr>
      </w:pPr>
      <w:r w:rsidRPr="008C71E4">
        <w:rPr>
          <w:i/>
          <w:szCs w:val="20"/>
        </w:rPr>
        <w:t>It is supported that NR Uu provides necessary semi-static configuration for mode-4 LTE SL communications</w:t>
      </w:r>
    </w:p>
    <w:p w14:paraId="37D419E8" w14:textId="77777777" w:rsidR="008C71E4" w:rsidRPr="008C71E4" w:rsidRDefault="008C71E4" w:rsidP="008C71E4">
      <w:pPr>
        <w:pStyle w:val="bullet2"/>
        <w:rPr>
          <w:i/>
          <w:szCs w:val="20"/>
        </w:rPr>
      </w:pPr>
      <w:r w:rsidRPr="008C71E4">
        <w:rPr>
          <w:i/>
          <w:szCs w:val="20"/>
        </w:rPr>
        <w:t>From RAN1 perspective, signalling should be similar to LTE in terms of UE-specific or cell-specific</w:t>
      </w:r>
    </w:p>
    <w:p w14:paraId="5EF2AFF9" w14:textId="77777777" w:rsidR="008C71E4" w:rsidRPr="008C71E4" w:rsidRDefault="008C71E4" w:rsidP="008C71E4">
      <w:pPr>
        <w:pStyle w:val="bullet2"/>
        <w:rPr>
          <w:i/>
          <w:szCs w:val="20"/>
        </w:rPr>
      </w:pPr>
      <w:r w:rsidRPr="008C71E4">
        <w:rPr>
          <w:i/>
          <w:szCs w:val="20"/>
        </w:rPr>
        <w:t>Signalling details up to RAN2</w:t>
      </w:r>
    </w:p>
    <w:p w14:paraId="61E18FAE" w14:textId="77777777" w:rsidR="00662D25" w:rsidRDefault="00662D25" w:rsidP="001C75AF"/>
    <w:p w14:paraId="725ACAFA" w14:textId="07F55853" w:rsidR="00662D25" w:rsidRDefault="008C71E4" w:rsidP="008C71E4">
      <w:r w:rsidRPr="002366A2">
        <w:t>In addition, at RAN2#105b, it was agreed to use separate system information designed as a container to support LTE resource pool configuration and dedicated signaling to configure mode 4 resource pool.</w:t>
      </w:r>
      <w:r>
        <w:t xml:space="preserve"> </w:t>
      </w:r>
    </w:p>
    <w:p w14:paraId="0ED06D6D" w14:textId="77777777" w:rsidR="002366A2" w:rsidRPr="002366A2" w:rsidRDefault="002366A2" w:rsidP="000C2CDF">
      <w:pPr>
        <w:pBdr>
          <w:top w:val="single" w:sz="4" w:space="1" w:color="auto"/>
          <w:left w:val="single" w:sz="4" w:space="4" w:color="auto"/>
          <w:bottom w:val="single" w:sz="4" w:space="1" w:color="auto"/>
          <w:right w:val="single" w:sz="4" w:space="4" w:color="auto"/>
        </w:pBdr>
        <w:tabs>
          <w:tab w:val="left" w:pos="1622"/>
        </w:tabs>
        <w:ind w:left="363" w:hanging="363"/>
        <w:rPr>
          <w:i/>
          <w:sz w:val="20"/>
          <w:szCs w:val="20"/>
        </w:rPr>
      </w:pPr>
      <w:r w:rsidRPr="002366A2">
        <w:rPr>
          <w:i/>
        </w:rPr>
        <w:t xml:space="preserve">Agreements on inter-RAT resource allocation: </w:t>
      </w:r>
    </w:p>
    <w:p w14:paraId="6D02A6B7" w14:textId="77777777" w:rsidR="002366A2" w:rsidRPr="002366A2" w:rsidRDefault="002366A2" w:rsidP="000C2CDF">
      <w:pPr>
        <w:pBdr>
          <w:top w:val="single" w:sz="4" w:space="1" w:color="auto"/>
          <w:left w:val="single" w:sz="4" w:space="4" w:color="auto"/>
          <w:bottom w:val="single" w:sz="4" w:space="1" w:color="auto"/>
          <w:right w:val="single" w:sz="4" w:space="4" w:color="auto"/>
        </w:pBdr>
        <w:tabs>
          <w:tab w:val="left" w:pos="1622"/>
        </w:tabs>
        <w:ind w:left="363" w:hanging="363"/>
        <w:rPr>
          <w:i/>
          <w:noProof/>
        </w:rPr>
      </w:pPr>
      <w:r w:rsidRPr="002366A2">
        <w:rPr>
          <w:i/>
        </w:rPr>
        <w:t xml:space="preserve">1: </w:t>
      </w:r>
      <w:r w:rsidRPr="002366A2">
        <w:rPr>
          <w:i/>
        </w:rPr>
        <w:tab/>
      </w:r>
      <w:r w:rsidRPr="002366A2">
        <w:rPr>
          <w:i/>
          <w:noProof/>
        </w:rPr>
        <w:t>New system information block type should be designed to support NR sidelink Tx and Rx resource pool configuration via LTE Uu. New system information will be defined as container (OCTET STRING) and actual information will follow what is defined in NR RRC.</w:t>
      </w:r>
    </w:p>
    <w:p w14:paraId="19C2BC8F" w14:textId="77777777" w:rsidR="002366A2" w:rsidRPr="002366A2" w:rsidRDefault="002366A2" w:rsidP="000C2CDF">
      <w:pPr>
        <w:pBdr>
          <w:top w:val="single" w:sz="4" w:space="1" w:color="auto"/>
          <w:left w:val="single" w:sz="4" w:space="4" w:color="auto"/>
          <w:bottom w:val="single" w:sz="4" w:space="1" w:color="auto"/>
          <w:right w:val="single" w:sz="4" w:space="4" w:color="auto"/>
        </w:pBdr>
        <w:tabs>
          <w:tab w:val="left" w:pos="1622"/>
        </w:tabs>
        <w:ind w:left="363" w:hanging="363"/>
        <w:rPr>
          <w:i/>
          <w:noProof/>
        </w:rPr>
      </w:pPr>
      <w:r w:rsidRPr="002366A2">
        <w:rPr>
          <w:i/>
          <w:noProof/>
        </w:rPr>
        <w:t>2:</w:t>
      </w:r>
      <w:r w:rsidRPr="002366A2">
        <w:rPr>
          <w:i/>
          <w:noProof/>
        </w:rPr>
        <w:tab/>
        <w:t>eNB should be able to configure the NR V2X mode 2 sidelink resource pool or type 1 configured grant for NR V2X sidelink communication via dedicated signalling.</w:t>
      </w:r>
    </w:p>
    <w:p w14:paraId="5EC87A03" w14:textId="77777777" w:rsidR="002366A2" w:rsidRPr="002366A2" w:rsidRDefault="002366A2" w:rsidP="000C2CDF">
      <w:pPr>
        <w:pBdr>
          <w:top w:val="single" w:sz="4" w:space="1" w:color="auto"/>
          <w:left w:val="single" w:sz="4" w:space="4" w:color="auto"/>
          <w:bottom w:val="single" w:sz="4" w:space="1" w:color="auto"/>
          <w:right w:val="single" w:sz="4" w:space="4" w:color="auto"/>
        </w:pBdr>
        <w:tabs>
          <w:tab w:val="left" w:pos="1622"/>
        </w:tabs>
        <w:ind w:left="363" w:hanging="363"/>
        <w:rPr>
          <w:i/>
          <w:noProof/>
        </w:rPr>
      </w:pPr>
      <w:r w:rsidRPr="002366A2">
        <w:rPr>
          <w:i/>
          <w:noProof/>
        </w:rPr>
        <w:t>3:</w:t>
      </w:r>
      <w:r w:rsidRPr="002366A2">
        <w:rPr>
          <w:i/>
          <w:noProof/>
        </w:rPr>
        <w:tab/>
        <w:t>NR Sidelink UE information and/or NR UE Assistance information will be transmitted as container (OCTET STRING) and actual information will be defined in NR RRC.</w:t>
      </w:r>
    </w:p>
    <w:p w14:paraId="4BFDAA8B" w14:textId="77777777" w:rsidR="002366A2" w:rsidRPr="002366A2" w:rsidRDefault="002366A2" w:rsidP="000C2CDF">
      <w:pPr>
        <w:pBdr>
          <w:top w:val="single" w:sz="4" w:space="1" w:color="auto"/>
          <w:left w:val="single" w:sz="4" w:space="4" w:color="auto"/>
          <w:bottom w:val="single" w:sz="4" w:space="1" w:color="auto"/>
          <w:right w:val="single" w:sz="4" w:space="4" w:color="auto"/>
        </w:pBdr>
        <w:tabs>
          <w:tab w:val="left" w:pos="1622"/>
        </w:tabs>
        <w:ind w:left="363" w:hanging="363"/>
        <w:rPr>
          <w:i/>
          <w:noProof/>
        </w:rPr>
      </w:pPr>
      <w:r w:rsidRPr="002366A2">
        <w:rPr>
          <w:i/>
          <w:noProof/>
        </w:rPr>
        <w:t>4:</w:t>
      </w:r>
      <w:r w:rsidRPr="002366A2">
        <w:rPr>
          <w:i/>
          <w:noProof/>
        </w:rPr>
        <w:tab/>
        <w:t>Separate system information block should be designed to support LTE resource pool configuration via NR Uu. It will be defined as a container (OCTET STRING) and actual information follows what defined in LTE RRC.</w:t>
      </w:r>
    </w:p>
    <w:p w14:paraId="5D846E16" w14:textId="77777777" w:rsidR="002366A2" w:rsidRPr="002366A2" w:rsidRDefault="002366A2" w:rsidP="000C2CDF">
      <w:pPr>
        <w:pBdr>
          <w:top w:val="single" w:sz="4" w:space="1" w:color="auto"/>
          <w:left w:val="single" w:sz="4" w:space="4" w:color="auto"/>
          <w:bottom w:val="single" w:sz="4" w:space="1" w:color="auto"/>
          <w:right w:val="single" w:sz="4" w:space="4" w:color="auto"/>
        </w:pBdr>
        <w:tabs>
          <w:tab w:val="left" w:pos="1622"/>
        </w:tabs>
        <w:ind w:left="363" w:hanging="363"/>
        <w:rPr>
          <w:i/>
          <w:noProof/>
        </w:rPr>
      </w:pPr>
      <w:r w:rsidRPr="002366A2">
        <w:rPr>
          <w:i/>
          <w:noProof/>
        </w:rPr>
        <w:t xml:space="preserve">5: </w:t>
      </w:r>
      <w:r w:rsidRPr="002366A2">
        <w:rPr>
          <w:i/>
          <w:noProof/>
        </w:rPr>
        <w:tab/>
        <w:t>gNB should be able to configure the LTE V2X mode 4 sidelink resource pool via dedicated signalling. In addition, gNB should be able to configure mode3 SL resources via dedicated signaling. It will be defined as a container (OCTET STRING) and actual information follows what defined in LTE RRC.</w:t>
      </w:r>
    </w:p>
    <w:p w14:paraId="7D2A72F2" w14:textId="32ED618C" w:rsidR="00662D25" w:rsidRDefault="000C2CDF" w:rsidP="001C75AF">
      <w:r>
        <w:lastRenderedPageBreak/>
        <w:t xml:space="preserve">Based on the RAN1#94b and RAN2#105b agreements, it appears that there is no more work needed in RAN1 to support mode-4 configuration and that at this stage, RAN1 does not need to work on </w:t>
      </w:r>
      <w:r w:rsidR="00982A85">
        <w:t>this aspect of the objective</w:t>
      </w:r>
      <w:r>
        <w:t xml:space="preserve"> any more. We suggest to inform RAN2 of RAN1 understanding in order for them to complete the work without expecting any additional input from RAN1.</w:t>
      </w:r>
    </w:p>
    <w:p w14:paraId="77FA03DD" w14:textId="22E13E46" w:rsidR="000C2CDF" w:rsidRPr="000C2CDF" w:rsidRDefault="000C2CDF" w:rsidP="003755E9">
      <w:pPr>
        <w:rPr>
          <w:b/>
          <w:i/>
        </w:rPr>
      </w:pPr>
      <w:r w:rsidRPr="000C2CDF">
        <w:rPr>
          <w:b/>
          <w:i/>
        </w:rPr>
        <w:t>Proposal 1:</w:t>
      </w:r>
    </w:p>
    <w:p w14:paraId="5865A489" w14:textId="35F0B936" w:rsidR="000C2CDF" w:rsidRPr="000C2CDF" w:rsidRDefault="000C2CDF" w:rsidP="003755E9">
      <w:pPr>
        <w:pStyle w:val="ListParagraph"/>
        <w:numPr>
          <w:ilvl w:val="0"/>
          <w:numId w:val="8"/>
        </w:numPr>
        <w:jc w:val="both"/>
        <w:rPr>
          <w:rFonts w:ascii="Times New Roman" w:hAnsi="Times New Roman"/>
          <w:b/>
          <w:i/>
        </w:rPr>
      </w:pPr>
      <w:r w:rsidRPr="000C2CDF">
        <w:rPr>
          <w:rFonts w:ascii="Times New Roman" w:hAnsi="Times New Roman"/>
          <w:b/>
          <w:i/>
        </w:rPr>
        <w:t xml:space="preserve">RAN1 concludes that no additional RAN1 work is needed to support NR configuration of LTE mode-4 sidelink </w:t>
      </w:r>
    </w:p>
    <w:p w14:paraId="361ED7A6" w14:textId="4CD1ACDD" w:rsidR="000C2CDF" w:rsidRPr="000C2CDF" w:rsidRDefault="000C2CDF" w:rsidP="003755E9">
      <w:pPr>
        <w:pStyle w:val="ListParagraph"/>
        <w:numPr>
          <w:ilvl w:val="0"/>
          <w:numId w:val="8"/>
        </w:numPr>
        <w:jc w:val="both"/>
        <w:rPr>
          <w:rFonts w:ascii="Times New Roman" w:hAnsi="Times New Roman"/>
          <w:b/>
          <w:i/>
        </w:rPr>
      </w:pPr>
      <w:r w:rsidRPr="000C2CDF">
        <w:rPr>
          <w:rFonts w:ascii="Times New Roman" w:hAnsi="Times New Roman"/>
          <w:b/>
          <w:i/>
        </w:rPr>
        <w:t xml:space="preserve">Inform RAN2 of this conclusion </w:t>
      </w:r>
    </w:p>
    <w:p w14:paraId="751F76FE" w14:textId="760A5B12" w:rsidR="00662D25" w:rsidRDefault="00C12A90" w:rsidP="00C12A90">
      <w:pPr>
        <w:pStyle w:val="Heading1"/>
      </w:pPr>
      <w:r>
        <w:t>NR control for LTE mode 3</w:t>
      </w:r>
    </w:p>
    <w:p w14:paraId="0654BEC0" w14:textId="5A951C81" w:rsidR="00C12A90" w:rsidRDefault="00C12A90" w:rsidP="00C12A90">
      <w:r>
        <w:t>At RAN1#97, major progress was achieved on this topic, with the agreement that activation of mode 3 transmission is achieved by physical layer signaling:</w:t>
      </w:r>
    </w:p>
    <w:p w14:paraId="4EE2A0FA" w14:textId="77777777" w:rsidR="00705D67" w:rsidRPr="00705D67" w:rsidRDefault="00705D67" w:rsidP="00705D67">
      <w:pPr>
        <w:pStyle w:val="ListParagraph"/>
        <w:numPr>
          <w:ilvl w:val="0"/>
          <w:numId w:val="9"/>
        </w:numPr>
        <w:rPr>
          <w:rFonts w:ascii="Times New Roman" w:hAnsi="Times New Roman"/>
          <w:i/>
          <w:szCs w:val="20"/>
        </w:rPr>
      </w:pPr>
      <w:r w:rsidRPr="00705D67">
        <w:rPr>
          <w:rFonts w:ascii="Times New Roman" w:hAnsi="Times New Roman"/>
          <w:i/>
          <w:szCs w:val="20"/>
        </w:rPr>
        <w:t xml:space="preserve">DCI-based activation/deactivation is supported </w:t>
      </w:r>
    </w:p>
    <w:p w14:paraId="67468842" w14:textId="77777777" w:rsidR="00705D67" w:rsidRPr="00705D67" w:rsidRDefault="00705D67" w:rsidP="00705D67">
      <w:pPr>
        <w:pStyle w:val="ListParagraph"/>
        <w:numPr>
          <w:ilvl w:val="1"/>
          <w:numId w:val="9"/>
        </w:numPr>
        <w:rPr>
          <w:rFonts w:ascii="Times New Roman" w:hAnsi="Times New Roman"/>
          <w:i/>
          <w:szCs w:val="20"/>
        </w:rPr>
      </w:pPr>
      <w:r w:rsidRPr="00705D67">
        <w:rPr>
          <w:rFonts w:ascii="Times New Roman" w:hAnsi="Times New Roman"/>
          <w:i/>
          <w:szCs w:val="20"/>
        </w:rPr>
        <w:t>Support of LTE PC5 scheduling by NR Uu (mode 3-like )</w:t>
      </w:r>
      <w:r w:rsidRPr="00705D67">
        <w:rPr>
          <w:rFonts w:ascii="Times New Roman" w:eastAsia="Malgun Gothic" w:hAnsi="Times New Roman"/>
          <w:i/>
          <w:szCs w:val="20"/>
          <w:lang w:eastAsia="ko-KR"/>
        </w:rPr>
        <w:t xml:space="preserve"> </w:t>
      </w:r>
      <w:r w:rsidRPr="00705D67">
        <w:rPr>
          <w:rFonts w:ascii="Times New Roman" w:hAnsi="Times New Roman"/>
          <w:i/>
          <w:szCs w:val="20"/>
        </w:rPr>
        <w:t>is based on UE capability</w:t>
      </w:r>
    </w:p>
    <w:p w14:paraId="17E64C55" w14:textId="77777777" w:rsidR="00705D67" w:rsidRPr="00705D67" w:rsidRDefault="00705D67" w:rsidP="00705D67">
      <w:pPr>
        <w:pStyle w:val="ListParagraph"/>
        <w:numPr>
          <w:ilvl w:val="1"/>
          <w:numId w:val="9"/>
        </w:numPr>
        <w:rPr>
          <w:rFonts w:ascii="Times New Roman" w:hAnsi="Times New Roman"/>
          <w:i/>
          <w:szCs w:val="20"/>
        </w:rPr>
      </w:pPr>
      <w:r w:rsidRPr="00705D67">
        <w:rPr>
          <w:rFonts w:ascii="Times New Roman" w:hAnsi="Times New Roman"/>
          <w:i/>
          <w:szCs w:val="20"/>
        </w:rPr>
        <w:t>NR DCI provides the fields of DCI 5A in LTE-V that are related to SPS scheduling</w:t>
      </w:r>
    </w:p>
    <w:p w14:paraId="790B121F" w14:textId="77777777" w:rsidR="00705D67" w:rsidRPr="00705D67" w:rsidRDefault="00705D67" w:rsidP="00705D67">
      <w:pPr>
        <w:pStyle w:val="ListParagraph"/>
        <w:numPr>
          <w:ilvl w:val="1"/>
          <w:numId w:val="9"/>
        </w:numPr>
        <w:rPr>
          <w:rFonts w:ascii="Times New Roman" w:hAnsi="Times New Roman"/>
          <w:i/>
          <w:szCs w:val="20"/>
        </w:rPr>
      </w:pPr>
      <w:r w:rsidRPr="00705D67">
        <w:rPr>
          <w:rFonts w:ascii="Times New Roman" w:hAnsi="Times New Roman"/>
          <w:i/>
          <w:szCs w:val="20"/>
        </w:rPr>
        <w:t>The size of DCI for activation/deactivation is one of the DCI size(s) that will be defined for NR Uu scheduling NR V2V</w:t>
      </w:r>
    </w:p>
    <w:p w14:paraId="38C326C6" w14:textId="77777777" w:rsidR="00705D67" w:rsidRPr="00705D67" w:rsidRDefault="00705D67" w:rsidP="00705D67">
      <w:pPr>
        <w:pStyle w:val="ListParagraph"/>
        <w:numPr>
          <w:ilvl w:val="2"/>
          <w:numId w:val="9"/>
        </w:numPr>
        <w:rPr>
          <w:rFonts w:ascii="Times New Roman" w:hAnsi="Times New Roman"/>
          <w:i/>
          <w:szCs w:val="20"/>
        </w:rPr>
      </w:pPr>
      <w:r w:rsidRPr="00705D67">
        <w:rPr>
          <w:rFonts w:ascii="Times New Roman" w:hAnsi="Times New Roman"/>
          <w:i/>
          <w:szCs w:val="20"/>
        </w:rPr>
        <w:t>FFS whether the DCI format is the same as one of the DCI formats that will be defined for NR Uu scheduling NR V2V</w:t>
      </w:r>
    </w:p>
    <w:p w14:paraId="31B348FB" w14:textId="77777777" w:rsidR="00705D67" w:rsidRPr="00705D67" w:rsidRDefault="00705D67" w:rsidP="00705D67">
      <w:pPr>
        <w:pStyle w:val="ListParagraph"/>
        <w:numPr>
          <w:ilvl w:val="1"/>
          <w:numId w:val="9"/>
        </w:numPr>
        <w:rPr>
          <w:rFonts w:ascii="Times New Roman" w:hAnsi="Times New Roman"/>
          <w:i/>
          <w:szCs w:val="20"/>
        </w:rPr>
      </w:pPr>
      <w:r w:rsidRPr="00705D67">
        <w:rPr>
          <w:rFonts w:ascii="Times New Roman" w:hAnsi="Times New Roman"/>
          <w:i/>
          <w:szCs w:val="20"/>
        </w:rPr>
        <w:t>Activation/deactivation applies to the first LTE subframe after Z+X ms after receiving the DCI</w:t>
      </w:r>
    </w:p>
    <w:p w14:paraId="460390DC" w14:textId="77777777" w:rsidR="00705D67" w:rsidRPr="00705D67" w:rsidRDefault="00705D67" w:rsidP="00705D67">
      <w:pPr>
        <w:pStyle w:val="ListParagraph"/>
        <w:numPr>
          <w:ilvl w:val="2"/>
          <w:numId w:val="9"/>
        </w:numPr>
        <w:rPr>
          <w:rFonts w:ascii="Times New Roman" w:hAnsi="Times New Roman"/>
          <w:i/>
          <w:szCs w:val="20"/>
        </w:rPr>
      </w:pPr>
      <w:r w:rsidRPr="00705D67">
        <w:rPr>
          <w:rFonts w:ascii="Times New Roman" w:hAnsi="Times New Roman"/>
          <w:i/>
          <w:szCs w:val="20"/>
        </w:rPr>
        <w:t>Z is the same timing offset in current LTE V2X specs</w:t>
      </w:r>
    </w:p>
    <w:p w14:paraId="11D9334C" w14:textId="77777777" w:rsidR="00705D67" w:rsidRPr="00705D67" w:rsidRDefault="00705D67" w:rsidP="00705D67">
      <w:pPr>
        <w:pStyle w:val="ListParagraph"/>
        <w:numPr>
          <w:ilvl w:val="2"/>
          <w:numId w:val="9"/>
        </w:numPr>
        <w:rPr>
          <w:rFonts w:ascii="Times New Roman" w:hAnsi="Times New Roman"/>
          <w:i/>
          <w:szCs w:val="20"/>
        </w:rPr>
      </w:pPr>
      <w:r w:rsidRPr="00705D67">
        <w:rPr>
          <w:rFonts w:ascii="Times New Roman" w:hAnsi="Times New Roman"/>
          <w:i/>
          <w:szCs w:val="20"/>
        </w:rPr>
        <w:t>X&gt;0. FFS value(s) of X, and if one or multiple values of X are possible</w:t>
      </w:r>
    </w:p>
    <w:p w14:paraId="25737228" w14:textId="5FD3D9B5" w:rsidR="00C12A90" w:rsidRDefault="00705D67" w:rsidP="00C12A90">
      <w:r>
        <w:t>From this agreement, RAN1 needs to conclude on at least two items: DCI design, and activation timing (</w:t>
      </w:r>
      <w:r w:rsidR="00982A85">
        <w:t xml:space="preserve">i.e., </w:t>
      </w:r>
      <w:r>
        <w:t xml:space="preserve">which value(s) of </w:t>
      </w:r>
      <w:r>
        <w:rPr>
          <w:i/>
        </w:rPr>
        <w:t>X</w:t>
      </w:r>
      <w:r>
        <w:t xml:space="preserve"> are possible).</w:t>
      </w:r>
    </w:p>
    <w:p w14:paraId="2BA54C33" w14:textId="07E3CDF2" w:rsidR="00705D67" w:rsidRPr="00705D67" w:rsidRDefault="00786076" w:rsidP="00786076">
      <w:pPr>
        <w:pStyle w:val="Heading2"/>
      </w:pPr>
      <w:r>
        <w:t>DCI design</w:t>
      </w:r>
    </w:p>
    <w:p w14:paraId="46A551F0" w14:textId="093DE9A6" w:rsidR="00834DE6" w:rsidRDefault="004015B7" w:rsidP="00C67719">
      <w:r>
        <w:t xml:space="preserve">LTE mode 3 uses </w:t>
      </w:r>
      <w:r w:rsidR="00786076">
        <w:t xml:space="preserve">LTE DCI format 5A </w:t>
      </w:r>
      <w:r>
        <w:t xml:space="preserve">with </w:t>
      </w:r>
      <w:r w:rsidR="00786076">
        <w:t>the fields listed in Table 1:</w:t>
      </w:r>
    </w:p>
    <w:p w14:paraId="4C3C24FD" w14:textId="12D98CD2" w:rsidR="00C65262" w:rsidRDefault="00C65262" w:rsidP="00C65262">
      <w:pPr>
        <w:pStyle w:val="Caption"/>
        <w:keepNext/>
      </w:pPr>
      <w:r>
        <w:t xml:space="preserve">Table </w:t>
      </w:r>
      <w:r w:rsidR="00CB5DAF">
        <w:fldChar w:fldCharType="begin"/>
      </w:r>
      <w:r w:rsidR="00CB5DAF">
        <w:instrText xml:space="preserve"> SEQ Table \* ARABIC </w:instrText>
      </w:r>
      <w:r w:rsidR="00CB5DAF">
        <w:fldChar w:fldCharType="separate"/>
      </w:r>
      <w:r>
        <w:rPr>
          <w:noProof/>
        </w:rPr>
        <w:t>1</w:t>
      </w:r>
      <w:r w:rsidR="00CB5DAF">
        <w:rPr>
          <w:noProof/>
        </w:rPr>
        <w:fldChar w:fldCharType="end"/>
      </w:r>
      <w:r>
        <w:t>. DCI 5A fields</w:t>
      </w:r>
    </w:p>
    <w:tbl>
      <w:tblPr>
        <w:tblStyle w:val="TableGrid"/>
        <w:tblW w:w="0" w:type="auto"/>
        <w:tblLook w:val="04A0" w:firstRow="1" w:lastRow="0" w:firstColumn="1" w:lastColumn="0" w:noHBand="0" w:noVBand="1"/>
      </w:tblPr>
      <w:tblGrid>
        <w:gridCol w:w="4653"/>
        <w:gridCol w:w="4654"/>
      </w:tblGrid>
      <w:tr w:rsidR="00296F96" w14:paraId="671BA802" w14:textId="77777777" w:rsidTr="00296F96">
        <w:tc>
          <w:tcPr>
            <w:tcW w:w="4653" w:type="dxa"/>
          </w:tcPr>
          <w:p w14:paraId="25762FAB" w14:textId="3EDC836F" w:rsidR="00296F96" w:rsidRPr="003D01A5" w:rsidRDefault="00296F96" w:rsidP="003D01A5">
            <w:pPr>
              <w:jc w:val="center"/>
              <w:rPr>
                <w:b/>
              </w:rPr>
            </w:pPr>
            <w:r w:rsidRPr="003D01A5">
              <w:rPr>
                <w:b/>
              </w:rPr>
              <w:t>Name</w:t>
            </w:r>
          </w:p>
        </w:tc>
        <w:tc>
          <w:tcPr>
            <w:tcW w:w="4654" w:type="dxa"/>
          </w:tcPr>
          <w:p w14:paraId="420F7C2D" w14:textId="0BB7EBAE" w:rsidR="00296F96" w:rsidRPr="003D01A5" w:rsidRDefault="00296F96" w:rsidP="003D01A5">
            <w:pPr>
              <w:jc w:val="center"/>
              <w:rPr>
                <w:b/>
              </w:rPr>
            </w:pPr>
            <w:r w:rsidRPr="003D01A5">
              <w:rPr>
                <w:b/>
              </w:rPr>
              <w:t>Length</w:t>
            </w:r>
          </w:p>
        </w:tc>
      </w:tr>
      <w:tr w:rsidR="00296F96" w14:paraId="2DC0EAE1" w14:textId="77777777" w:rsidTr="00296F96">
        <w:tc>
          <w:tcPr>
            <w:tcW w:w="4653" w:type="dxa"/>
          </w:tcPr>
          <w:p w14:paraId="2B093084" w14:textId="5B0266B1" w:rsidR="00296F96" w:rsidRPr="00C65262" w:rsidRDefault="00296F96" w:rsidP="00C67719">
            <w:pPr>
              <w:rPr>
                <w:sz w:val="20"/>
                <w:szCs w:val="20"/>
              </w:rPr>
            </w:pPr>
            <w:r w:rsidRPr="00C65262">
              <w:rPr>
                <w:sz w:val="20"/>
                <w:szCs w:val="20"/>
              </w:rPr>
              <w:t>Carrier indicator</w:t>
            </w:r>
          </w:p>
        </w:tc>
        <w:tc>
          <w:tcPr>
            <w:tcW w:w="4654" w:type="dxa"/>
          </w:tcPr>
          <w:p w14:paraId="1A96FEFD" w14:textId="5839BE3C" w:rsidR="00296F96" w:rsidRPr="00C65262" w:rsidRDefault="00296F96" w:rsidP="00C67719">
            <w:pPr>
              <w:rPr>
                <w:sz w:val="20"/>
                <w:szCs w:val="20"/>
              </w:rPr>
            </w:pPr>
            <w:r w:rsidRPr="00C65262">
              <w:rPr>
                <w:sz w:val="20"/>
                <w:szCs w:val="20"/>
              </w:rPr>
              <w:t>3 bits</w:t>
            </w:r>
          </w:p>
        </w:tc>
      </w:tr>
      <w:tr w:rsidR="00296F96" w14:paraId="44FF58CF" w14:textId="77777777" w:rsidTr="00296F96">
        <w:tc>
          <w:tcPr>
            <w:tcW w:w="4653" w:type="dxa"/>
          </w:tcPr>
          <w:p w14:paraId="5CFF91B4" w14:textId="6B9CB7B2" w:rsidR="00296F96" w:rsidRPr="00C65262" w:rsidRDefault="00296F96" w:rsidP="00C67719">
            <w:pPr>
              <w:rPr>
                <w:sz w:val="20"/>
                <w:szCs w:val="20"/>
              </w:rPr>
            </w:pPr>
            <w:r w:rsidRPr="00C65262">
              <w:rPr>
                <w:sz w:val="20"/>
                <w:szCs w:val="20"/>
              </w:rPr>
              <w:t>Lowest index of the subchannel allocation to the initial transmission</w:t>
            </w:r>
          </w:p>
        </w:tc>
        <w:tc>
          <w:tcPr>
            <w:tcW w:w="4654" w:type="dxa"/>
          </w:tcPr>
          <w:p w14:paraId="538589AB" w14:textId="7E6B4403" w:rsidR="00296F96" w:rsidRPr="00C65262" w:rsidRDefault="00296F96" w:rsidP="00C67719">
            <w:pPr>
              <w:rPr>
                <w:sz w:val="20"/>
                <w:szCs w:val="20"/>
              </w:rPr>
            </w:pPr>
            <w:r w:rsidRPr="00C65262">
              <w:rPr>
                <w:noProof/>
                <w:position w:val="-10"/>
                <w:sz w:val="20"/>
                <w:szCs w:val="20"/>
              </w:rPr>
              <w:drawing>
                <wp:inline distT="0" distB="0" distL="0" distR="0" wp14:anchorId="741D2A83" wp14:editId="1DF4D482">
                  <wp:extent cx="9969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96950" cy="247650"/>
                          </a:xfrm>
                          <a:prstGeom prst="rect">
                            <a:avLst/>
                          </a:prstGeom>
                          <a:noFill/>
                          <a:ln>
                            <a:noFill/>
                          </a:ln>
                        </pic:spPr>
                      </pic:pic>
                    </a:graphicData>
                  </a:graphic>
                </wp:inline>
              </w:drawing>
            </w:r>
            <w:r w:rsidRPr="00C65262">
              <w:rPr>
                <w:sz w:val="20"/>
                <w:szCs w:val="20"/>
              </w:rPr>
              <w:t xml:space="preserve"> bits</w:t>
            </w:r>
          </w:p>
        </w:tc>
      </w:tr>
      <w:tr w:rsidR="00296F96" w14:paraId="76F3BC5B" w14:textId="77777777" w:rsidTr="00296F96">
        <w:tc>
          <w:tcPr>
            <w:tcW w:w="4653" w:type="dxa"/>
          </w:tcPr>
          <w:p w14:paraId="12FEE86D" w14:textId="4FB3C717" w:rsidR="00296F96" w:rsidRPr="00C65262" w:rsidRDefault="00296F96" w:rsidP="00C67719">
            <w:pPr>
              <w:rPr>
                <w:sz w:val="20"/>
                <w:szCs w:val="20"/>
              </w:rPr>
            </w:pPr>
            <w:r w:rsidRPr="00C65262">
              <w:rPr>
                <w:sz w:val="20"/>
                <w:szCs w:val="20"/>
              </w:rPr>
              <w:t>Frequency resource location</w:t>
            </w:r>
            <w:r w:rsidRPr="00C65262">
              <w:rPr>
                <w:noProof/>
                <w:sz w:val="20"/>
                <w:szCs w:val="20"/>
              </w:rPr>
              <w:t xml:space="preserve"> of initial transmission and retransmission</w:t>
            </w:r>
          </w:p>
        </w:tc>
        <w:tc>
          <w:tcPr>
            <w:tcW w:w="4654" w:type="dxa"/>
          </w:tcPr>
          <w:p w14:paraId="58274E4D" w14:textId="0F13D488" w:rsidR="00296F96" w:rsidRPr="00C65262" w:rsidRDefault="00AC250E" w:rsidP="00C67719">
            <w:pPr>
              <w:rPr>
                <w:sz w:val="20"/>
                <w:szCs w:val="20"/>
              </w:rPr>
            </w:pPr>
            <w:r w:rsidRPr="00C65262">
              <w:rPr>
                <w:noProof/>
                <w:position w:val="-10"/>
                <w:sz w:val="20"/>
                <w:szCs w:val="20"/>
              </w:rPr>
              <w:drawing>
                <wp:inline distT="0" distB="0" distL="0" distR="0" wp14:anchorId="0952717B" wp14:editId="365251AB">
                  <wp:extent cx="1879600" cy="2476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79600" cy="247650"/>
                          </a:xfrm>
                          <a:prstGeom prst="rect">
                            <a:avLst/>
                          </a:prstGeom>
                          <a:noFill/>
                          <a:ln>
                            <a:noFill/>
                          </a:ln>
                        </pic:spPr>
                      </pic:pic>
                    </a:graphicData>
                  </a:graphic>
                </wp:inline>
              </w:drawing>
            </w:r>
            <w:r w:rsidRPr="00C65262">
              <w:rPr>
                <w:sz w:val="20"/>
                <w:szCs w:val="20"/>
              </w:rPr>
              <w:t xml:space="preserve"> bits</w:t>
            </w:r>
          </w:p>
        </w:tc>
      </w:tr>
      <w:tr w:rsidR="00296F96" w14:paraId="68AD03A1" w14:textId="77777777" w:rsidTr="00296F96">
        <w:tc>
          <w:tcPr>
            <w:tcW w:w="4653" w:type="dxa"/>
          </w:tcPr>
          <w:p w14:paraId="7F8DEDD5" w14:textId="62265A77" w:rsidR="00296F96" w:rsidRPr="00C65262" w:rsidRDefault="00296F96" w:rsidP="00C67719">
            <w:pPr>
              <w:rPr>
                <w:sz w:val="20"/>
                <w:szCs w:val="20"/>
              </w:rPr>
            </w:pPr>
            <w:r w:rsidRPr="00C65262">
              <w:rPr>
                <w:sz w:val="20"/>
                <w:szCs w:val="20"/>
              </w:rPr>
              <w:t>Time gap between initial transmission and retransmission</w:t>
            </w:r>
          </w:p>
        </w:tc>
        <w:tc>
          <w:tcPr>
            <w:tcW w:w="4654" w:type="dxa"/>
          </w:tcPr>
          <w:p w14:paraId="02EA1179" w14:textId="1049D047" w:rsidR="00296F96" w:rsidRPr="00C65262" w:rsidRDefault="00AC250E" w:rsidP="00C67719">
            <w:pPr>
              <w:rPr>
                <w:sz w:val="20"/>
                <w:szCs w:val="20"/>
              </w:rPr>
            </w:pPr>
            <w:r w:rsidRPr="00C65262">
              <w:rPr>
                <w:sz w:val="20"/>
                <w:szCs w:val="20"/>
              </w:rPr>
              <w:t>4 bits</w:t>
            </w:r>
          </w:p>
        </w:tc>
      </w:tr>
      <w:tr w:rsidR="00296F96" w14:paraId="79297B4E" w14:textId="77777777" w:rsidTr="00296F96">
        <w:tc>
          <w:tcPr>
            <w:tcW w:w="4653" w:type="dxa"/>
          </w:tcPr>
          <w:p w14:paraId="50712BEE" w14:textId="598F7A81" w:rsidR="00296F96" w:rsidRPr="00C65262" w:rsidRDefault="00296F96" w:rsidP="00C67719">
            <w:pPr>
              <w:rPr>
                <w:sz w:val="20"/>
                <w:szCs w:val="20"/>
              </w:rPr>
            </w:pPr>
            <w:r w:rsidRPr="00C65262">
              <w:rPr>
                <w:sz w:val="20"/>
                <w:szCs w:val="20"/>
              </w:rPr>
              <w:t>SL index</w:t>
            </w:r>
          </w:p>
        </w:tc>
        <w:tc>
          <w:tcPr>
            <w:tcW w:w="4654" w:type="dxa"/>
          </w:tcPr>
          <w:p w14:paraId="20AF1E48" w14:textId="445A306C" w:rsidR="00296F96" w:rsidRPr="00C65262" w:rsidRDefault="00296F96" w:rsidP="00C67719">
            <w:pPr>
              <w:rPr>
                <w:sz w:val="20"/>
                <w:szCs w:val="20"/>
              </w:rPr>
            </w:pPr>
            <w:r w:rsidRPr="00C65262">
              <w:rPr>
                <w:sz w:val="20"/>
                <w:szCs w:val="20"/>
              </w:rPr>
              <w:t>2 bits</w:t>
            </w:r>
          </w:p>
        </w:tc>
      </w:tr>
      <w:tr w:rsidR="00296F96" w14:paraId="52917D94" w14:textId="77777777" w:rsidTr="00296F96">
        <w:tc>
          <w:tcPr>
            <w:tcW w:w="4653" w:type="dxa"/>
          </w:tcPr>
          <w:p w14:paraId="476C66A8" w14:textId="41A250CF" w:rsidR="00296F96" w:rsidRPr="00C65262" w:rsidRDefault="00296F96" w:rsidP="00C67719">
            <w:pPr>
              <w:rPr>
                <w:sz w:val="20"/>
                <w:szCs w:val="20"/>
              </w:rPr>
            </w:pPr>
            <w:r w:rsidRPr="00C65262">
              <w:rPr>
                <w:sz w:val="20"/>
                <w:szCs w:val="20"/>
              </w:rPr>
              <w:t>SL SPS configuration index (present when scrambled with SL-SPS-RNTI)</w:t>
            </w:r>
          </w:p>
        </w:tc>
        <w:tc>
          <w:tcPr>
            <w:tcW w:w="4654" w:type="dxa"/>
          </w:tcPr>
          <w:p w14:paraId="24AB16AC" w14:textId="76F3497C" w:rsidR="00296F96" w:rsidRPr="00C65262" w:rsidRDefault="00296F96" w:rsidP="00C67719">
            <w:pPr>
              <w:rPr>
                <w:sz w:val="20"/>
                <w:szCs w:val="20"/>
              </w:rPr>
            </w:pPr>
            <w:r w:rsidRPr="00C65262">
              <w:rPr>
                <w:sz w:val="20"/>
                <w:szCs w:val="20"/>
              </w:rPr>
              <w:t>3 bits</w:t>
            </w:r>
          </w:p>
        </w:tc>
      </w:tr>
      <w:tr w:rsidR="00296F96" w14:paraId="77DA429C" w14:textId="77777777" w:rsidTr="00296F96">
        <w:tc>
          <w:tcPr>
            <w:tcW w:w="4653" w:type="dxa"/>
          </w:tcPr>
          <w:p w14:paraId="328B8057" w14:textId="35AA3D3F" w:rsidR="00296F96" w:rsidRPr="00C65262" w:rsidRDefault="00296F96" w:rsidP="00C67719">
            <w:pPr>
              <w:rPr>
                <w:sz w:val="20"/>
                <w:szCs w:val="20"/>
              </w:rPr>
            </w:pPr>
            <w:r w:rsidRPr="00C65262">
              <w:rPr>
                <w:sz w:val="20"/>
                <w:szCs w:val="20"/>
              </w:rPr>
              <w:t>Activation/release indication (present when scrambled with SL-SPS-RNTI)</w:t>
            </w:r>
          </w:p>
        </w:tc>
        <w:tc>
          <w:tcPr>
            <w:tcW w:w="4654" w:type="dxa"/>
          </w:tcPr>
          <w:p w14:paraId="2CC760D3" w14:textId="699D524A" w:rsidR="00296F96" w:rsidRPr="00C65262" w:rsidRDefault="00296F96" w:rsidP="00C67719">
            <w:pPr>
              <w:rPr>
                <w:sz w:val="20"/>
                <w:szCs w:val="20"/>
              </w:rPr>
            </w:pPr>
            <w:r w:rsidRPr="00C65262">
              <w:rPr>
                <w:sz w:val="20"/>
                <w:szCs w:val="20"/>
              </w:rPr>
              <w:t>1 bit</w:t>
            </w:r>
          </w:p>
        </w:tc>
      </w:tr>
    </w:tbl>
    <w:p w14:paraId="3D1910A6" w14:textId="05A079BD" w:rsidR="00296F96" w:rsidRDefault="00296F96" w:rsidP="00C67719"/>
    <w:p w14:paraId="61EFA9DA" w14:textId="5930119C" w:rsidR="004015B7" w:rsidRPr="00786076" w:rsidRDefault="004015B7" w:rsidP="004015B7">
      <w:r>
        <w:t xml:space="preserve">The SL SPS configuration index field </w:t>
      </w:r>
      <w:r>
        <w:t xml:space="preserve">is defined with the </w:t>
      </w:r>
      <w:r>
        <w:rPr>
          <w:i/>
        </w:rPr>
        <w:t>SPS-ConfigSL</w:t>
      </w:r>
      <w:r>
        <w:t xml:space="preserve"> information element. Eight periodicity values can be used, from 20ms to 1s:</w:t>
      </w:r>
    </w:p>
    <w:p w14:paraId="4253F2F3" w14:textId="77777777" w:rsidR="004015B7" w:rsidRPr="007F5EC6" w:rsidRDefault="004015B7" w:rsidP="004015B7">
      <w:pPr>
        <w:pStyle w:val="PL"/>
        <w:shd w:val="clear" w:color="auto" w:fill="E6E6E6"/>
        <w:rPr>
          <w:rFonts w:cs="Courier New"/>
          <w:noProof w:val="0"/>
          <w:lang w:val="en-US"/>
        </w:rPr>
      </w:pPr>
      <w:r w:rsidRPr="007F5EC6">
        <w:rPr>
          <w:rFonts w:cs="Courier New"/>
          <w:noProof w:val="0"/>
          <w:lang w:val="en-US"/>
        </w:rPr>
        <w:t>SPS-ConfigSL-r14 ::=</w:t>
      </w:r>
      <w:r w:rsidRPr="007F5EC6">
        <w:rPr>
          <w:rFonts w:cs="Courier New"/>
          <w:noProof w:val="0"/>
          <w:lang w:val="en-US"/>
        </w:rPr>
        <w:tab/>
        <w:t>SEQUENCE {</w:t>
      </w:r>
    </w:p>
    <w:p w14:paraId="299C3D8E" w14:textId="77777777" w:rsidR="004015B7" w:rsidRPr="007F5EC6" w:rsidRDefault="004015B7" w:rsidP="004015B7">
      <w:pPr>
        <w:pStyle w:val="PL"/>
        <w:shd w:val="clear" w:color="auto" w:fill="E6E6E6"/>
        <w:rPr>
          <w:rFonts w:cs="Courier New"/>
          <w:noProof w:val="0"/>
          <w:lang w:val="en-US"/>
        </w:rPr>
      </w:pPr>
      <w:r w:rsidRPr="007F5EC6">
        <w:rPr>
          <w:rFonts w:cs="Courier New"/>
          <w:noProof w:val="0"/>
          <w:lang w:val="en-US"/>
        </w:rPr>
        <w:lastRenderedPageBreak/>
        <w:tab/>
        <w:t>sps-ConfigIndex-r14</w:t>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t>SPS-ConfigIndex-r14,</w:t>
      </w:r>
    </w:p>
    <w:p w14:paraId="69F22BED" w14:textId="77777777" w:rsidR="004015B7" w:rsidRPr="007F5EC6" w:rsidRDefault="004015B7" w:rsidP="004015B7">
      <w:pPr>
        <w:pStyle w:val="PL"/>
        <w:shd w:val="clear" w:color="auto" w:fill="E6E6E6"/>
        <w:rPr>
          <w:rFonts w:cs="Courier New"/>
          <w:noProof w:val="0"/>
          <w:lang w:val="en-US"/>
        </w:rPr>
      </w:pPr>
      <w:r w:rsidRPr="007F5EC6">
        <w:rPr>
          <w:rFonts w:cs="Courier New"/>
          <w:noProof w:val="0"/>
          <w:lang w:val="en-US"/>
        </w:rPr>
        <w:tab/>
        <w:t>semiPersistSchedIntervalSL-r14</w:t>
      </w:r>
      <w:r w:rsidRPr="007F5EC6">
        <w:rPr>
          <w:rFonts w:cs="Courier New"/>
          <w:noProof w:val="0"/>
          <w:lang w:val="en-US"/>
        </w:rPr>
        <w:tab/>
        <w:t>ENUMERATED {</w:t>
      </w:r>
    </w:p>
    <w:p w14:paraId="0A8C1DE9" w14:textId="77777777" w:rsidR="004015B7" w:rsidRPr="007F5EC6" w:rsidRDefault="004015B7" w:rsidP="004015B7">
      <w:pPr>
        <w:pStyle w:val="PL"/>
        <w:shd w:val="clear" w:color="auto" w:fill="E6E6E6"/>
        <w:rPr>
          <w:rFonts w:cs="Courier New"/>
          <w:noProof w:val="0"/>
          <w:lang w:val="en-US"/>
        </w:rPr>
      </w:pP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t>sf20, sf50, sf100, sf200, sf300, sf400,</w:t>
      </w:r>
    </w:p>
    <w:p w14:paraId="3C641BF5" w14:textId="77777777" w:rsidR="004015B7" w:rsidRPr="007F5EC6" w:rsidRDefault="004015B7" w:rsidP="004015B7">
      <w:pPr>
        <w:pStyle w:val="PL"/>
        <w:shd w:val="clear" w:color="auto" w:fill="E6E6E6"/>
        <w:rPr>
          <w:rFonts w:cs="Courier New"/>
          <w:noProof w:val="0"/>
          <w:lang w:val="en-US"/>
        </w:rPr>
      </w:pP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t>sf500, sf600, sf700, sf800, sf900, sf1000,</w:t>
      </w:r>
    </w:p>
    <w:p w14:paraId="67915533" w14:textId="77777777" w:rsidR="004015B7" w:rsidRPr="007F5EC6" w:rsidRDefault="004015B7" w:rsidP="004015B7">
      <w:pPr>
        <w:pStyle w:val="PL"/>
        <w:shd w:val="clear" w:color="auto" w:fill="E6E6E6"/>
        <w:rPr>
          <w:rFonts w:cs="Courier New"/>
          <w:noProof w:val="0"/>
          <w:lang w:val="en-US"/>
        </w:rPr>
      </w:pP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r>
      <w:r w:rsidRPr="007F5EC6">
        <w:rPr>
          <w:rFonts w:cs="Courier New"/>
          <w:noProof w:val="0"/>
          <w:lang w:val="en-US"/>
        </w:rPr>
        <w:tab/>
        <w:t>spare4, spare3, spare2, spare1}</w:t>
      </w:r>
    </w:p>
    <w:p w14:paraId="4D7E8581" w14:textId="77777777" w:rsidR="004015B7" w:rsidRPr="007F5EC6" w:rsidRDefault="004015B7" w:rsidP="004015B7">
      <w:pPr>
        <w:pStyle w:val="PL"/>
        <w:shd w:val="clear" w:color="auto" w:fill="E6E6E6"/>
        <w:tabs>
          <w:tab w:val="clear" w:pos="3072"/>
          <w:tab w:val="clear" w:pos="8448"/>
          <w:tab w:val="left" w:pos="2995"/>
          <w:tab w:val="left" w:pos="8365"/>
        </w:tabs>
        <w:rPr>
          <w:rFonts w:cs="Courier New"/>
          <w:noProof w:val="0"/>
          <w:lang w:val="en-US"/>
        </w:rPr>
      </w:pPr>
      <w:r w:rsidRPr="007F5EC6">
        <w:rPr>
          <w:rFonts w:cs="Courier New"/>
          <w:noProof w:val="0"/>
          <w:lang w:val="en-US"/>
        </w:rPr>
        <w:t>}</w:t>
      </w:r>
    </w:p>
    <w:p w14:paraId="39985E07" w14:textId="77777777" w:rsidR="004015B7" w:rsidRDefault="004015B7" w:rsidP="00C67719"/>
    <w:p w14:paraId="786AFB6F" w14:textId="4A7E2F5C" w:rsidR="00296F96" w:rsidRDefault="00C65262" w:rsidP="00C67719">
      <w:r>
        <w:t xml:space="preserve">As can be seen from Table 1, DCI 5A is a relatively small format. While DCIs for mode-1 NR sidelink are not </w:t>
      </w:r>
      <w:r w:rsidR="004015B7">
        <w:t xml:space="preserve">yet </w:t>
      </w:r>
      <w:r>
        <w:t xml:space="preserve">defined, it is likely that they will be larger. Thus, we propose to have the DCI </w:t>
      </w:r>
      <w:r w:rsidR="00644E37">
        <w:t>for mode 3 LTE</w:t>
      </w:r>
      <w:r>
        <w:t xml:space="preserve">contain all the fields of DCI 5A </w:t>
      </w:r>
      <w:r w:rsidR="00644E37">
        <w:t xml:space="preserve">(including those listed as present when scrambled with SL-SPS-RNTI) </w:t>
      </w:r>
      <w:r>
        <w:t xml:space="preserve">and to be padded with ‘0’ to </w:t>
      </w:r>
      <w:r w:rsidR="00644E37">
        <w:t>match the size of the DCI for mode 1 NR</w:t>
      </w:r>
      <w:r>
        <w:t xml:space="preserve">. If a UE is both configured for mode 1 NR and mode 3 LTE communications, the differentiation can be done by using a different scrambling for the CRC. </w:t>
      </w:r>
      <w:r w:rsidR="008A2064">
        <w:t xml:space="preserve">This implies the use of a different RNTI for LTE and NR. For mode 3 LTE communication, the LTE SL-SPS-RNTI is used. </w:t>
      </w:r>
      <w:r>
        <w:t>In order to have the signaling fully functional, RAN2 also needs to define an IE similar to SPS-ConfigSL.</w:t>
      </w:r>
    </w:p>
    <w:p w14:paraId="68859D2C" w14:textId="5104CAD1" w:rsidR="00C65262" w:rsidRPr="00A12AEA" w:rsidRDefault="00C65262" w:rsidP="003755E9">
      <w:pPr>
        <w:rPr>
          <w:b/>
          <w:i/>
        </w:rPr>
      </w:pPr>
      <w:r w:rsidRPr="00A12AEA">
        <w:rPr>
          <w:b/>
          <w:i/>
        </w:rPr>
        <w:t>Proposal 2:</w:t>
      </w:r>
    </w:p>
    <w:p w14:paraId="4BC544A3" w14:textId="36913D7F" w:rsidR="00A12AEA" w:rsidRPr="00A12AEA" w:rsidRDefault="00C65262" w:rsidP="003755E9">
      <w:pPr>
        <w:pStyle w:val="ListParagraph"/>
        <w:numPr>
          <w:ilvl w:val="0"/>
          <w:numId w:val="9"/>
        </w:numPr>
        <w:jc w:val="both"/>
        <w:rPr>
          <w:rFonts w:ascii="Times New Roman" w:hAnsi="Times New Roman"/>
          <w:b/>
          <w:i/>
        </w:rPr>
      </w:pPr>
      <w:r w:rsidRPr="00A12AEA">
        <w:rPr>
          <w:rFonts w:ascii="Times New Roman" w:hAnsi="Times New Roman"/>
          <w:b/>
          <w:i/>
        </w:rPr>
        <w:t xml:space="preserve">The </w:t>
      </w:r>
      <w:r w:rsidR="00A12AEA" w:rsidRPr="00A12AEA">
        <w:rPr>
          <w:rFonts w:ascii="Times New Roman" w:hAnsi="Times New Roman"/>
          <w:b/>
          <w:i/>
        </w:rPr>
        <w:t>DCI 5A fields are sent in a DCI with the same size as the DCI used for scheduling NR mode-1 UEs. Unused bits are padded with ‘0’.</w:t>
      </w:r>
    </w:p>
    <w:p w14:paraId="7CF0F971" w14:textId="7666965C" w:rsidR="00A12AEA" w:rsidRPr="00A12AEA" w:rsidRDefault="00A12AEA" w:rsidP="003755E9">
      <w:pPr>
        <w:pStyle w:val="ListParagraph"/>
        <w:numPr>
          <w:ilvl w:val="0"/>
          <w:numId w:val="9"/>
        </w:numPr>
        <w:jc w:val="both"/>
        <w:rPr>
          <w:rFonts w:ascii="Times New Roman" w:hAnsi="Times New Roman"/>
          <w:b/>
          <w:i/>
        </w:rPr>
      </w:pPr>
      <w:r w:rsidRPr="00A12AEA">
        <w:rPr>
          <w:rFonts w:ascii="Times New Roman" w:hAnsi="Times New Roman"/>
          <w:b/>
          <w:i/>
        </w:rPr>
        <w:t>Differentiation between DCI for LTE mode-3 and NR mode-2 is based on the CRC scrambling</w:t>
      </w:r>
    </w:p>
    <w:p w14:paraId="776D7CD0" w14:textId="54D3A665" w:rsidR="00493895" w:rsidRPr="00C4728C" w:rsidRDefault="00A12AEA" w:rsidP="003755E9">
      <w:pPr>
        <w:pStyle w:val="ListParagraph"/>
        <w:numPr>
          <w:ilvl w:val="0"/>
          <w:numId w:val="9"/>
        </w:numPr>
        <w:jc w:val="both"/>
        <w:rPr>
          <w:rFonts w:ascii="Times New Roman" w:hAnsi="Times New Roman"/>
          <w:b/>
          <w:i/>
        </w:rPr>
      </w:pPr>
      <w:r w:rsidRPr="00A12AEA">
        <w:rPr>
          <w:rFonts w:ascii="Times New Roman" w:hAnsi="Times New Roman"/>
          <w:b/>
          <w:i/>
        </w:rPr>
        <w:t>Inform RAN2 that RAN1 assumes that an information element with the content of the semiPersistSchedIntervalSL LTE is available.</w:t>
      </w:r>
    </w:p>
    <w:p w14:paraId="6451BB45" w14:textId="1CCD1A59" w:rsidR="009C7249" w:rsidRPr="007F5EC6" w:rsidRDefault="009C7249" w:rsidP="00FB338E"/>
    <w:p w14:paraId="385F1D3E" w14:textId="4333A536" w:rsidR="00E70F07" w:rsidRPr="00D74B92" w:rsidRDefault="00816E9B" w:rsidP="00E70F07">
      <w:pPr>
        <w:pStyle w:val="Heading2"/>
        <w:rPr>
          <w:rFonts w:cs="Arial"/>
        </w:rPr>
      </w:pPr>
      <w:r w:rsidRPr="00D74B92">
        <w:rPr>
          <w:rFonts w:cs="Arial"/>
        </w:rPr>
        <w:t>Timing of the activation/deactivation</w:t>
      </w:r>
    </w:p>
    <w:p w14:paraId="765D7CD6" w14:textId="7ADD93F2" w:rsidR="00517742" w:rsidRDefault="00F6563B" w:rsidP="00517742">
      <w:r>
        <w:t xml:space="preserve">A small remaining on the timing issue is the possible sets of </w:t>
      </w:r>
      <w:r>
        <w:rPr>
          <w:i/>
        </w:rPr>
        <w:t>X</w:t>
      </w:r>
      <w:r>
        <w:t xml:space="preserve"> values</w:t>
      </w:r>
      <w:r w:rsidR="007747AF">
        <w:t xml:space="preserve"> for the allocation activation/deactivation:</w:t>
      </w:r>
    </w:p>
    <w:p w14:paraId="6D45BC1F" w14:textId="77777777" w:rsidR="007747AF" w:rsidRPr="00705D67" w:rsidRDefault="007747AF" w:rsidP="007747AF">
      <w:pPr>
        <w:pStyle w:val="ListParagraph"/>
        <w:numPr>
          <w:ilvl w:val="1"/>
          <w:numId w:val="9"/>
        </w:numPr>
        <w:rPr>
          <w:rFonts w:ascii="Times New Roman" w:hAnsi="Times New Roman"/>
          <w:i/>
          <w:szCs w:val="20"/>
        </w:rPr>
      </w:pPr>
      <w:r w:rsidRPr="00705D67">
        <w:rPr>
          <w:rFonts w:ascii="Times New Roman" w:hAnsi="Times New Roman"/>
          <w:i/>
          <w:szCs w:val="20"/>
        </w:rPr>
        <w:t>Activation/deactivation applies to the first LTE subframe after Z+X ms after receiving the DCI</w:t>
      </w:r>
    </w:p>
    <w:p w14:paraId="274EF044" w14:textId="77777777" w:rsidR="007747AF" w:rsidRPr="00705D67" w:rsidRDefault="007747AF" w:rsidP="007747AF">
      <w:pPr>
        <w:pStyle w:val="ListParagraph"/>
        <w:numPr>
          <w:ilvl w:val="2"/>
          <w:numId w:val="9"/>
        </w:numPr>
        <w:rPr>
          <w:rFonts w:ascii="Times New Roman" w:hAnsi="Times New Roman"/>
          <w:i/>
          <w:szCs w:val="20"/>
        </w:rPr>
      </w:pPr>
      <w:r w:rsidRPr="00705D67">
        <w:rPr>
          <w:rFonts w:ascii="Times New Roman" w:hAnsi="Times New Roman"/>
          <w:i/>
          <w:szCs w:val="20"/>
        </w:rPr>
        <w:t>Z is the same timing offset in current LTE V2X specs</w:t>
      </w:r>
    </w:p>
    <w:p w14:paraId="1A64360D" w14:textId="77777777" w:rsidR="007747AF" w:rsidRPr="00705D67" w:rsidRDefault="007747AF" w:rsidP="007747AF">
      <w:pPr>
        <w:pStyle w:val="ListParagraph"/>
        <w:numPr>
          <w:ilvl w:val="2"/>
          <w:numId w:val="9"/>
        </w:numPr>
        <w:rPr>
          <w:rFonts w:ascii="Times New Roman" w:hAnsi="Times New Roman"/>
          <w:i/>
          <w:szCs w:val="20"/>
        </w:rPr>
      </w:pPr>
      <w:r w:rsidRPr="00705D67">
        <w:rPr>
          <w:rFonts w:ascii="Times New Roman" w:hAnsi="Times New Roman"/>
          <w:i/>
          <w:szCs w:val="20"/>
        </w:rPr>
        <w:t>X&gt;0. FFS value(s) of X, and if one or multiple values of X are possible</w:t>
      </w:r>
    </w:p>
    <w:p w14:paraId="2181B10A" w14:textId="77777777" w:rsidR="007747AF" w:rsidRPr="00F6563B" w:rsidRDefault="007747AF" w:rsidP="00517742">
      <w:pPr>
        <w:rPr>
          <w:b/>
        </w:rPr>
      </w:pPr>
    </w:p>
    <w:p w14:paraId="5F40802B" w14:textId="54AC5699" w:rsidR="00E4765D" w:rsidRPr="008A2064" w:rsidRDefault="007747AF" w:rsidP="007747AF">
      <w:r>
        <w:t xml:space="preserve">The </w:t>
      </w:r>
      <w:r>
        <w:rPr>
          <w:i/>
        </w:rPr>
        <w:t xml:space="preserve">X </w:t>
      </w:r>
      <w:r>
        <w:t xml:space="preserve">parameter was introduced because the LTE subframe duration is 1ms, whereas for NR, the slot duration </w:t>
      </w:r>
      <w:r w:rsidR="006E5BF6">
        <w:t>may be less than</w:t>
      </w:r>
      <w:r>
        <w:t xml:space="preserve"> 1ms. Thus, </w:t>
      </w:r>
      <w:r>
        <w:rPr>
          <w:i/>
        </w:rPr>
        <w:t xml:space="preserve">X </w:t>
      </w:r>
      <w:r>
        <w:t xml:space="preserve">is chosen such that </w:t>
      </w:r>
      <w:r w:rsidRPr="007747AF">
        <w:rPr>
          <w:i/>
        </w:rPr>
        <w:t>Z+X</w:t>
      </w:r>
      <w:r>
        <w:t xml:space="preserve"> ensures that the activation/deactivation time coincides with an LTE subframe boundary. </w:t>
      </w:r>
      <w:r w:rsidR="008A2064">
        <w:t xml:space="preserve">In addition, </w:t>
      </w:r>
      <w:r w:rsidR="008A2064">
        <w:rPr>
          <w:i/>
        </w:rPr>
        <w:t>X</w:t>
      </w:r>
      <w:r w:rsidR="008A2064">
        <w:t xml:space="preserve"> is linked to the time it takes to exchange information between the LTE and NR modules, thus needs to take into account the hardware limitations. </w:t>
      </w:r>
    </w:p>
    <w:p w14:paraId="0010BFCD" w14:textId="77777777" w:rsidR="00DB6ED8" w:rsidRPr="00D74B92" w:rsidRDefault="00DB6ED8" w:rsidP="007F5EC6">
      <w:bookmarkStart w:id="2" w:name="_Ref129681832"/>
    </w:p>
    <w:p w14:paraId="18B94AA5" w14:textId="4F262795" w:rsidR="00157FC3" w:rsidRPr="00493C77" w:rsidRDefault="00747F48" w:rsidP="00493C77">
      <w:pPr>
        <w:pStyle w:val="Heading1"/>
      </w:pPr>
      <w:r w:rsidRPr="00493C77">
        <w:t>Conclusion</w:t>
      </w:r>
      <w:r w:rsidR="006B1FD5" w:rsidRPr="00493C77">
        <w:t>s</w:t>
      </w:r>
    </w:p>
    <w:p w14:paraId="443C99C1" w14:textId="3953393C" w:rsidR="002A0348" w:rsidRDefault="003755E9" w:rsidP="002A0348">
      <w:r>
        <w:t>In this contribution, we discussed NR scheduling of LTE sidelink. We have the following proposals:</w:t>
      </w:r>
    </w:p>
    <w:p w14:paraId="433EFB10" w14:textId="77777777" w:rsidR="003755E9" w:rsidRPr="000C2CDF" w:rsidRDefault="003755E9" w:rsidP="003755E9">
      <w:pPr>
        <w:rPr>
          <w:b/>
          <w:i/>
        </w:rPr>
      </w:pPr>
      <w:r w:rsidRPr="000C2CDF">
        <w:rPr>
          <w:b/>
          <w:i/>
        </w:rPr>
        <w:t>Proposal 1:</w:t>
      </w:r>
    </w:p>
    <w:p w14:paraId="6232752B" w14:textId="77777777" w:rsidR="003755E9" w:rsidRPr="000C2CDF" w:rsidRDefault="003755E9" w:rsidP="003755E9">
      <w:pPr>
        <w:pStyle w:val="ListParagraph"/>
        <w:numPr>
          <w:ilvl w:val="0"/>
          <w:numId w:val="8"/>
        </w:numPr>
        <w:jc w:val="both"/>
        <w:rPr>
          <w:rFonts w:ascii="Times New Roman" w:hAnsi="Times New Roman"/>
          <w:b/>
          <w:i/>
        </w:rPr>
      </w:pPr>
      <w:r w:rsidRPr="000C2CDF">
        <w:rPr>
          <w:rFonts w:ascii="Times New Roman" w:hAnsi="Times New Roman"/>
          <w:b/>
          <w:i/>
        </w:rPr>
        <w:t xml:space="preserve">RAN1 concludes that no additional RAN1 work is needed to support NR configuration of LTE mode-4 sidelink </w:t>
      </w:r>
    </w:p>
    <w:p w14:paraId="44C5E317" w14:textId="77777777" w:rsidR="003755E9" w:rsidRPr="000C2CDF" w:rsidRDefault="003755E9" w:rsidP="003755E9">
      <w:pPr>
        <w:pStyle w:val="ListParagraph"/>
        <w:numPr>
          <w:ilvl w:val="0"/>
          <w:numId w:val="8"/>
        </w:numPr>
        <w:rPr>
          <w:rFonts w:ascii="Times New Roman" w:hAnsi="Times New Roman"/>
          <w:b/>
          <w:i/>
        </w:rPr>
      </w:pPr>
      <w:r w:rsidRPr="000C2CDF">
        <w:rPr>
          <w:rFonts w:ascii="Times New Roman" w:hAnsi="Times New Roman"/>
          <w:b/>
          <w:i/>
        </w:rPr>
        <w:t xml:space="preserve">Inform RAN2 of this conclusion </w:t>
      </w:r>
    </w:p>
    <w:p w14:paraId="76A5B57B" w14:textId="77777777" w:rsidR="003755E9" w:rsidRPr="00A12AEA" w:rsidRDefault="003755E9" w:rsidP="003755E9">
      <w:pPr>
        <w:rPr>
          <w:b/>
          <w:i/>
        </w:rPr>
      </w:pPr>
      <w:r w:rsidRPr="00A12AEA">
        <w:rPr>
          <w:b/>
          <w:i/>
        </w:rPr>
        <w:t>Proposal 2:</w:t>
      </w:r>
    </w:p>
    <w:p w14:paraId="4E301E81" w14:textId="77777777" w:rsidR="003755E9" w:rsidRPr="00A12AEA" w:rsidRDefault="003755E9" w:rsidP="003755E9">
      <w:pPr>
        <w:pStyle w:val="ListParagraph"/>
        <w:numPr>
          <w:ilvl w:val="0"/>
          <w:numId w:val="9"/>
        </w:numPr>
        <w:jc w:val="both"/>
        <w:rPr>
          <w:rFonts w:ascii="Times New Roman" w:hAnsi="Times New Roman"/>
          <w:b/>
          <w:i/>
        </w:rPr>
      </w:pPr>
      <w:r w:rsidRPr="00A12AEA">
        <w:rPr>
          <w:rFonts w:ascii="Times New Roman" w:hAnsi="Times New Roman"/>
          <w:b/>
          <w:i/>
        </w:rPr>
        <w:t>The DCI 5A fields are sent in a DCI with the same size as the DCI used for scheduling NR mode-1 UEs. Unused bits are padded with ‘0’.</w:t>
      </w:r>
    </w:p>
    <w:p w14:paraId="270F0738" w14:textId="77777777" w:rsidR="003755E9" w:rsidRPr="00A12AEA" w:rsidRDefault="003755E9" w:rsidP="003755E9">
      <w:pPr>
        <w:pStyle w:val="ListParagraph"/>
        <w:numPr>
          <w:ilvl w:val="0"/>
          <w:numId w:val="9"/>
        </w:numPr>
        <w:jc w:val="both"/>
        <w:rPr>
          <w:rFonts w:ascii="Times New Roman" w:hAnsi="Times New Roman"/>
          <w:b/>
          <w:i/>
        </w:rPr>
      </w:pPr>
      <w:r w:rsidRPr="00A12AEA">
        <w:rPr>
          <w:rFonts w:ascii="Times New Roman" w:hAnsi="Times New Roman"/>
          <w:b/>
          <w:i/>
        </w:rPr>
        <w:t>Differentiation between DCI for LTE mode-3 and NR mode-2 is based on the CRC scrambling</w:t>
      </w:r>
    </w:p>
    <w:p w14:paraId="48C77509" w14:textId="0E102CB6" w:rsidR="003755E9" w:rsidRPr="00052F0C" w:rsidRDefault="003755E9" w:rsidP="002A0348">
      <w:pPr>
        <w:pStyle w:val="ListParagraph"/>
        <w:numPr>
          <w:ilvl w:val="0"/>
          <w:numId w:val="9"/>
        </w:numPr>
        <w:jc w:val="both"/>
        <w:rPr>
          <w:rFonts w:ascii="Times New Roman" w:hAnsi="Times New Roman"/>
          <w:b/>
          <w:i/>
        </w:rPr>
      </w:pPr>
      <w:r w:rsidRPr="00A12AEA">
        <w:rPr>
          <w:rFonts w:ascii="Times New Roman" w:hAnsi="Times New Roman"/>
          <w:b/>
          <w:i/>
        </w:rPr>
        <w:lastRenderedPageBreak/>
        <w:t>Inform RAN2 that RAN1 assumes that an information element with the content of the semiPersistSchedIntervalSL LTE is available.</w:t>
      </w:r>
      <w:bookmarkStart w:id="3" w:name="_GoBack"/>
      <w:bookmarkEnd w:id="3"/>
    </w:p>
    <w:p w14:paraId="317C4076" w14:textId="4E482C34" w:rsidR="0021120F" w:rsidRPr="007F5EC6" w:rsidRDefault="0021120F" w:rsidP="00C32217">
      <w:pPr>
        <w:rPr>
          <w:lang w:eastAsia="zh-CN"/>
        </w:rPr>
      </w:pPr>
    </w:p>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p w14:paraId="367CF0F0" w14:textId="66DE71B0" w:rsidR="00F62478" w:rsidRPr="007F5EC6" w:rsidRDefault="003F6C65">
      <w:pPr>
        <w:pStyle w:val="References"/>
      </w:pPr>
      <w:bookmarkStart w:id="7" w:name="_Ref167612875"/>
      <w:bookmarkStart w:id="8" w:name="_Ref167612671"/>
      <w:bookmarkStart w:id="9" w:name="_Ref6596326"/>
      <w:bookmarkEnd w:id="4"/>
      <w:bookmarkEnd w:id="5"/>
      <w:bookmarkEnd w:id="6"/>
      <w:r>
        <w:t>RP-190984, “</w:t>
      </w:r>
      <w:r w:rsidRPr="003F6C65">
        <w:t>Revised WID: 5G V2X with NR sidelink</w:t>
      </w:r>
      <w:r>
        <w:t>,” LGE, RAN 84, June 03-06, 0219.</w:t>
      </w:r>
      <w:r w:rsidR="00FF2319" w:rsidRPr="007F5EC6">
        <w:t xml:space="preserve"> </w:t>
      </w:r>
      <w:bookmarkEnd w:id="2"/>
      <w:bookmarkEnd w:id="7"/>
      <w:bookmarkEnd w:id="8"/>
      <w:bookmarkEnd w:id="9"/>
    </w:p>
    <w:sectPr w:rsidR="00F62478" w:rsidRPr="007F5EC6" w:rsidSect="00DA1C31">
      <w:headerReference w:type="even" r:id="rId10"/>
      <w:headerReference w:type="default" r:id="rId11"/>
      <w:footerReference w:type="even" r:id="rId12"/>
      <w:footerReference w:type="default" r:id="rId13"/>
      <w:headerReference w:type="first" r:id="rId14"/>
      <w:footerReference w:type="first" r:id="rId15"/>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CE25BC" w16cid:durableId="20D89166"/>
  <w16cid:commentId w16cid:paraId="35C15F7B" w16cid:durableId="20D89126"/>
  <w16cid:commentId w16cid:paraId="5E7DF698" w16cid:durableId="20D89287"/>
  <w16cid:commentId w16cid:paraId="1C1CCC1E" w16cid:durableId="20D8942E"/>
  <w16cid:commentId w16cid:paraId="393DF2C2" w16cid:durableId="20D8957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335E1" w14:textId="77777777" w:rsidR="00CB5DAF" w:rsidRDefault="00CB5DAF">
      <w:r>
        <w:separator/>
      </w:r>
    </w:p>
  </w:endnote>
  <w:endnote w:type="continuationSeparator" w:id="0">
    <w:p w14:paraId="45AB2466" w14:textId="77777777" w:rsidR="00CB5DAF" w:rsidRDefault="00CB5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A9C6E" w14:textId="77777777" w:rsidR="003354A9" w:rsidRDefault="00335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51C4" w14:textId="77777777" w:rsidR="003354A9" w:rsidRDefault="003354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95EC6" w14:textId="77777777" w:rsidR="003354A9" w:rsidRDefault="00335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677FB" w14:textId="77777777" w:rsidR="00CB5DAF" w:rsidRDefault="00CB5DAF">
      <w:r>
        <w:separator/>
      </w:r>
    </w:p>
  </w:footnote>
  <w:footnote w:type="continuationSeparator" w:id="0">
    <w:p w14:paraId="65B81627" w14:textId="77777777" w:rsidR="00CB5DAF" w:rsidRDefault="00CB5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781A1" w14:textId="77777777" w:rsidR="003354A9" w:rsidRDefault="00335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51135" w14:textId="77777777" w:rsidR="003354A9" w:rsidRDefault="00335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BA79C" w14:textId="77777777" w:rsidR="003354A9" w:rsidRDefault="00335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433E45"/>
    <w:multiLevelType w:val="hybridMultilevel"/>
    <w:tmpl w:val="4C50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76032A93"/>
    <w:multiLevelType w:val="hybridMultilevel"/>
    <w:tmpl w:val="C6F09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0"/>
  </w:num>
  <w:num w:numId="3">
    <w:abstractNumId w:val="8"/>
  </w:num>
  <w:num w:numId="4">
    <w:abstractNumId w:val="10"/>
  </w:num>
  <w:num w:numId="5">
    <w:abstractNumId w:val="1"/>
  </w:num>
  <w:num w:numId="6">
    <w:abstractNumId w:val="7"/>
  </w:num>
  <w:num w:numId="7">
    <w:abstractNumId w:val="3"/>
  </w:num>
  <w:num w:numId="8">
    <w:abstractNumId w:val="6"/>
  </w:num>
  <w:num w:numId="9">
    <w:abstractNumId w:val="9"/>
  </w:num>
  <w:num w:numId="10">
    <w:abstractNumId w:val="4"/>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0C"/>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046"/>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48"/>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3DA4"/>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064"/>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141"/>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250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262"/>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5DAF"/>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F0EDB1-6DA7-4CA2-91EE-ED390EFE5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1156</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2019-08-15T18:26:00Z</dcterms:created>
  <dcterms:modified xsi:type="dcterms:W3CDTF">2019-08-15T18:26:00Z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