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139F9E6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C15E82" w:rsidRPr="00C15E82">
        <w:rPr>
          <w:rFonts w:ascii="Arial" w:hAnsi="Arial" w:cs="Arial"/>
          <w:b/>
          <w:kern w:val="2"/>
          <w:lang w:eastAsia="zh-CN"/>
        </w:rPr>
        <w:t>R1-1908740</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1DA1C9E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F7E7C">
        <w:rPr>
          <w:rFonts w:ascii="Arial" w:hAnsi="Arial" w:cs="Arial"/>
          <w:b/>
          <w:lang w:eastAsia="zh-CN"/>
        </w:rPr>
        <w:t>7.2.4.3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0A8D66C7" w14:textId="07C64FA2"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F7E7C" w:rsidRPr="003F7E7C">
        <w:rPr>
          <w:rFonts w:ascii="Arial" w:hAnsi="Arial" w:cs="Arial"/>
          <w:b/>
          <w:lang w:eastAsia="zh-CN"/>
        </w:rPr>
        <w:t>PSBCH content</w:t>
      </w:r>
    </w:p>
    <w:p w14:paraId="62BCD72B" w14:textId="5D5E6D21"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D174896" w14:textId="64B4F147" w:rsidR="003F7E7C" w:rsidRDefault="003F7E7C" w:rsidP="00EE4568">
      <w:pPr>
        <w:rPr>
          <w:lang w:eastAsia="zh-CN"/>
        </w:rPr>
      </w:pPr>
      <w:r>
        <w:rPr>
          <w:lang w:eastAsia="zh-CN"/>
        </w:rPr>
        <w:t>At RAN1#97, V2X synchronization was discussed. The discussion mostly focused on SLSS design. Another important aspect of synchronization is the PSBCH content. The PSBCH needs to contain the minimum required information by a sidelink UE to operate. In this contribution we review the contents of the LTE PSBCH for V2X and of the NR PBCH. We then recommend which information to include in the NR PSBCH</w:t>
      </w:r>
    </w:p>
    <w:p w14:paraId="676F8917" w14:textId="77777777" w:rsidR="00CE6FD9" w:rsidRPr="007F5EC6" w:rsidRDefault="00CE6FD9" w:rsidP="007F5EC6"/>
    <w:p w14:paraId="35954F20" w14:textId="7B56A34F" w:rsidR="00816E9B" w:rsidRDefault="00EE4568" w:rsidP="00493C77">
      <w:pPr>
        <w:pStyle w:val="Heading1"/>
      </w:pPr>
      <w:r>
        <w:t>Discussion</w:t>
      </w:r>
    </w:p>
    <w:p w14:paraId="45C405F6" w14:textId="06D08ABA" w:rsidR="00366E37" w:rsidRPr="00366E37" w:rsidRDefault="00366E37" w:rsidP="00366E37">
      <w:r>
        <w:t>We first start by reviewing the LTE V2X PSBCH content.</w:t>
      </w:r>
    </w:p>
    <w:p w14:paraId="2D0554BA" w14:textId="1FF55BC5" w:rsidR="00A762CB" w:rsidRDefault="00366E37" w:rsidP="00A762CB">
      <w:pPr>
        <w:pStyle w:val="Heading2"/>
      </w:pPr>
      <w:r>
        <w:t>LTE PSBCH content</w:t>
      </w:r>
    </w:p>
    <w:p w14:paraId="4E14652A" w14:textId="6901BA50" w:rsidR="00366E37" w:rsidRDefault="00366E37" w:rsidP="00366E37">
      <w:r>
        <w:t xml:space="preserve">The LTE V2X PBSCH content is given in </w:t>
      </w:r>
      <w:r w:rsidRPr="00366E37">
        <w:rPr>
          <w:i/>
        </w:rPr>
        <w:t>MasterInformationBlock-SL-V2X</w:t>
      </w:r>
      <w:r>
        <w:t xml:space="preserve"> in </w:t>
      </w:r>
      <w:r w:rsidR="001F4229">
        <w:t>[1]:</w:t>
      </w:r>
    </w:p>
    <w:p w14:paraId="00A72842" w14:textId="77777777" w:rsidR="00366E37" w:rsidRPr="00867590" w:rsidRDefault="00366E37" w:rsidP="00366E37">
      <w:pPr>
        <w:pStyle w:val="TH"/>
        <w:rPr>
          <w:bCs/>
          <w:i/>
          <w:iCs/>
          <w:lang w:val="en-GB" w:eastAsia="zh-CN"/>
        </w:rPr>
      </w:pPr>
      <w:r w:rsidRPr="00867590">
        <w:rPr>
          <w:bCs/>
          <w:i/>
          <w:iCs/>
          <w:lang w:val="en-GB"/>
        </w:rPr>
        <w:t>MasterInformationBlock-SL</w:t>
      </w:r>
      <w:r w:rsidRPr="00867590">
        <w:rPr>
          <w:bCs/>
          <w:i/>
          <w:iCs/>
          <w:lang w:val="en-GB" w:eastAsia="zh-CN"/>
        </w:rPr>
        <w:t>-V2X</w:t>
      </w:r>
    </w:p>
    <w:p w14:paraId="27C01DBB" w14:textId="77777777" w:rsidR="00366E37" w:rsidRPr="00867590" w:rsidRDefault="00366E37" w:rsidP="00366E37">
      <w:pPr>
        <w:pStyle w:val="PL"/>
        <w:shd w:val="clear" w:color="auto" w:fill="E6E6E6"/>
      </w:pPr>
      <w:r w:rsidRPr="00867590">
        <w:t>-- ASN1START</w:t>
      </w:r>
    </w:p>
    <w:p w14:paraId="104159CB" w14:textId="77777777" w:rsidR="00366E37" w:rsidRPr="00867590" w:rsidRDefault="00366E37" w:rsidP="00366E37">
      <w:pPr>
        <w:pStyle w:val="PL"/>
        <w:shd w:val="clear" w:color="auto" w:fill="E6E6E6"/>
      </w:pPr>
    </w:p>
    <w:p w14:paraId="361E6AF8" w14:textId="77777777" w:rsidR="00366E37" w:rsidRPr="00867590" w:rsidRDefault="00366E37" w:rsidP="00366E37">
      <w:pPr>
        <w:pStyle w:val="PL"/>
        <w:shd w:val="clear" w:color="auto" w:fill="E6E6E6"/>
      </w:pPr>
      <w:r w:rsidRPr="00867590">
        <w:t>MasterInformationBlock-SL-V2X-r14 ::=</w:t>
      </w:r>
      <w:r w:rsidRPr="00867590">
        <w:tab/>
      </w:r>
      <w:r w:rsidRPr="00867590">
        <w:tab/>
        <w:t>SEQUENCE {</w:t>
      </w:r>
    </w:p>
    <w:p w14:paraId="47FA805A" w14:textId="77777777" w:rsidR="00366E37" w:rsidRPr="00867590" w:rsidRDefault="00366E37" w:rsidP="00366E37">
      <w:pPr>
        <w:pStyle w:val="PL"/>
        <w:shd w:val="clear" w:color="auto" w:fill="E6E6E6"/>
      </w:pPr>
      <w:r w:rsidRPr="00867590">
        <w:tab/>
        <w:t>sl-Bandwidth-r14</w:t>
      </w:r>
      <w:r w:rsidRPr="00867590">
        <w:tab/>
      </w:r>
      <w:r w:rsidRPr="00867590">
        <w:tab/>
      </w:r>
      <w:r w:rsidRPr="00867590">
        <w:tab/>
      </w:r>
      <w:r w:rsidRPr="00867590">
        <w:tab/>
      </w:r>
      <w:r w:rsidRPr="00867590">
        <w:tab/>
        <w:t>ENUMERATED {</w:t>
      </w:r>
    </w:p>
    <w:p w14:paraId="701ACD2A" w14:textId="77777777" w:rsidR="00366E37" w:rsidRPr="00867590" w:rsidRDefault="00366E37" w:rsidP="00366E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n6, n15, n25, n50, n75, n100},</w:t>
      </w:r>
    </w:p>
    <w:p w14:paraId="4F3DC79B" w14:textId="77777777" w:rsidR="00366E37" w:rsidRPr="00867590" w:rsidRDefault="00366E37" w:rsidP="00366E37">
      <w:pPr>
        <w:pStyle w:val="PL"/>
        <w:shd w:val="clear" w:color="auto" w:fill="E6E6E6"/>
      </w:pPr>
      <w:r w:rsidRPr="00867590">
        <w:tab/>
        <w:t>tdd-ConfigSL-r14</w:t>
      </w:r>
      <w:r w:rsidRPr="00867590">
        <w:tab/>
      </w:r>
      <w:r w:rsidRPr="00867590">
        <w:tab/>
      </w:r>
      <w:r w:rsidRPr="00867590">
        <w:tab/>
      </w:r>
      <w:r w:rsidRPr="00867590">
        <w:tab/>
      </w:r>
      <w:r w:rsidRPr="00867590">
        <w:tab/>
        <w:t>TDD-ConfigSL-r12,</w:t>
      </w:r>
    </w:p>
    <w:p w14:paraId="101F6F2F" w14:textId="77777777" w:rsidR="00366E37" w:rsidRPr="00867590" w:rsidRDefault="00366E37" w:rsidP="00366E37">
      <w:pPr>
        <w:pStyle w:val="PL"/>
        <w:shd w:val="clear" w:color="auto" w:fill="E6E6E6"/>
      </w:pPr>
      <w:r w:rsidRPr="00867590">
        <w:tab/>
        <w:t>directFrameNumber-r14</w:t>
      </w:r>
      <w:r w:rsidRPr="00867590">
        <w:tab/>
      </w:r>
      <w:r w:rsidRPr="00867590">
        <w:tab/>
      </w:r>
      <w:r w:rsidRPr="00867590">
        <w:tab/>
      </w:r>
      <w:r w:rsidRPr="00867590">
        <w:tab/>
        <w:t>BIT STRING (SIZE (10)),</w:t>
      </w:r>
    </w:p>
    <w:p w14:paraId="20F92ACE" w14:textId="77777777" w:rsidR="00366E37" w:rsidRPr="00867590" w:rsidRDefault="00366E37" w:rsidP="00366E37">
      <w:pPr>
        <w:pStyle w:val="PL"/>
        <w:shd w:val="clear" w:color="auto" w:fill="E6E6E6"/>
      </w:pPr>
      <w:r w:rsidRPr="00867590">
        <w:tab/>
        <w:t>directSubframeNumber-r14</w:t>
      </w:r>
      <w:r w:rsidRPr="00867590">
        <w:tab/>
      </w:r>
      <w:r w:rsidRPr="00867590">
        <w:tab/>
      </w:r>
      <w:r w:rsidRPr="00867590">
        <w:tab/>
        <w:t>INTEGER (0..9),</w:t>
      </w:r>
    </w:p>
    <w:p w14:paraId="11EBD451" w14:textId="77777777" w:rsidR="00366E37" w:rsidRPr="00867590" w:rsidRDefault="00366E37" w:rsidP="00366E37">
      <w:pPr>
        <w:pStyle w:val="PL"/>
        <w:shd w:val="clear" w:color="auto" w:fill="E6E6E6"/>
      </w:pPr>
      <w:r w:rsidRPr="00867590">
        <w:tab/>
        <w:t>inCoverage-r14</w:t>
      </w:r>
      <w:r w:rsidRPr="00867590">
        <w:tab/>
      </w:r>
      <w:r w:rsidRPr="00867590">
        <w:tab/>
      </w:r>
      <w:r w:rsidRPr="00867590">
        <w:tab/>
      </w:r>
      <w:r w:rsidRPr="00867590">
        <w:tab/>
      </w:r>
      <w:r w:rsidRPr="00867590">
        <w:tab/>
      </w:r>
      <w:r w:rsidRPr="00867590">
        <w:tab/>
        <w:t>BOOLEAN,</w:t>
      </w:r>
    </w:p>
    <w:p w14:paraId="1F3CD2BD" w14:textId="77777777" w:rsidR="00366E37" w:rsidRPr="00867590" w:rsidRDefault="00366E37" w:rsidP="00366E37">
      <w:pPr>
        <w:pStyle w:val="PL"/>
        <w:shd w:val="clear" w:color="auto" w:fill="E6E6E6"/>
      </w:pPr>
      <w:r w:rsidRPr="00867590">
        <w:tab/>
        <w:t>reserved-r14</w:t>
      </w:r>
      <w:r w:rsidRPr="00867590">
        <w:tab/>
      </w:r>
      <w:r w:rsidRPr="00867590">
        <w:tab/>
      </w:r>
      <w:r w:rsidRPr="00867590">
        <w:tab/>
      </w:r>
      <w:r w:rsidRPr="00867590">
        <w:tab/>
      </w:r>
      <w:r w:rsidRPr="00867590">
        <w:tab/>
      </w:r>
      <w:r w:rsidRPr="00867590">
        <w:tab/>
        <w:t>BIT STRING (SIZE (27))</w:t>
      </w:r>
    </w:p>
    <w:p w14:paraId="7B6D4FAF" w14:textId="77777777" w:rsidR="00366E37" w:rsidRPr="00867590" w:rsidRDefault="00366E37" w:rsidP="00366E37">
      <w:pPr>
        <w:pStyle w:val="PL"/>
        <w:shd w:val="clear" w:color="auto" w:fill="E6E6E6"/>
      </w:pPr>
      <w:r w:rsidRPr="00867590">
        <w:t>}</w:t>
      </w:r>
    </w:p>
    <w:p w14:paraId="2B96E12A" w14:textId="77777777" w:rsidR="00366E37" w:rsidRPr="00867590" w:rsidRDefault="00366E37" w:rsidP="00366E37">
      <w:pPr>
        <w:pStyle w:val="PL"/>
        <w:shd w:val="clear" w:color="auto" w:fill="E6E6E6"/>
      </w:pPr>
    </w:p>
    <w:p w14:paraId="5648D402" w14:textId="77777777" w:rsidR="00366E37" w:rsidRPr="00867590" w:rsidRDefault="00366E37" w:rsidP="00366E37">
      <w:pPr>
        <w:pStyle w:val="PL"/>
        <w:shd w:val="clear" w:color="auto" w:fill="E6E6E6"/>
      </w:pPr>
    </w:p>
    <w:p w14:paraId="42FA4311" w14:textId="77777777" w:rsidR="00366E37" w:rsidRPr="00867590" w:rsidRDefault="00366E37" w:rsidP="00366E37">
      <w:pPr>
        <w:pStyle w:val="PL"/>
        <w:shd w:val="clear" w:color="auto" w:fill="E6E6E6"/>
      </w:pPr>
      <w:r w:rsidRPr="00867590">
        <w:t>-- ASN1STOP</w:t>
      </w:r>
    </w:p>
    <w:p w14:paraId="0B9F7DBB" w14:textId="675C349E" w:rsidR="00366E37" w:rsidRDefault="00366E37" w:rsidP="00366E37">
      <w:r>
        <w:t>We now look at each of these individual fields:</w:t>
      </w:r>
    </w:p>
    <w:p w14:paraId="2D8FDF8F" w14:textId="6D8C5963" w:rsidR="00366E37" w:rsidRPr="00771580" w:rsidRDefault="00366E37" w:rsidP="00771580">
      <w:pPr>
        <w:pStyle w:val="ListParagraph"/>
        <w:numPr>
          <w:ilvl w:val="0"/>
          <w:numId w:val="31"/>
        </w:numPr>
        <w:jc w:val="both"/>
        <w:rPr>
          <w:rFonts w:ascii="Times New Roman" w:hAnsi="Times New Roman"/>
        </w:rPr>
      </w:pPr>
      <w:r w:rsidRPr="00771580">
        <w:rPr>
          <w:rFonts w:ascii="Times New Roman" w:hAnsi="Times New Roman"/>
          <w:b/>
          <w:i/>
        </w:rPr>
        <w:t>sl_Bandwidth</w:t>
      </w:r>
      <w:r w:rsidR="00B23CB3" w:rsidRPr="00771580">
        <w:rPr>
          <w:rFonts w:ascii="Times New Roman" w:hAnsi="Times New Roman"/>
        </w:rPr>
        <w:t>: this field is needed since the sidelink bandwidth could be configured by the network and different to what is used for out-of</w:t>
      </w:r>
      <w:r w:rsidR="00513659">
        <w:rPr>
          <w:rFonts w:ascii="Times New Roman" w:hAnsi="Times New Roman"/>
        </w:rPr>
        <w:t>-</w:t>
      </w:r>
      <w:r w:rsidR="00B23CB3" w:rsidRPr="00771580">
        <w:rPr>
          <w:rFonts w:ascii="Times New Roman" w:hAnsi="Times New Roman"/>
        </w:rPr>
        <w:t xml:space="preserve">coverage UEs. </w:t>
      </w:r>
    </w:p>
    <w:p w14:paraId="5036992D" w14:textId="4CCF2F26" w:rsidR="00366E37" w:rsidRDefault="00366E37" w:rsidP="00771580">
      <w:pPr>
        <w:pStyle w:val="ListParagraph"/>
        <w:numPr>
          <w:ilvl w:val="0"/>
          <w:numId w:val="31"/>
        </w:numPr>
        <w:jc w:val="both"/>
        <w:rPr>
          <w:rFonts w:ascii="Times New Roman" w:hAnsi="Times New Roman"/>
        </w:rPr>
      </w:pPr>
      <w:r w:rsidRPr="00771580">
        <w:rPr>
          <w:rFonts w:ascii="Times New Roman" w:hAnsi="Times New Roman"/>
          <w:b/>
          <w:i/>
        </w:rPr>
        <w:t>tdd_ConfigSL</w:t>
      </w:r>
      <w:r w:rsidR="00771580" w:rsidRPr="00771580">
        <w:rPr>
          <w:rFonts w:ascii="Times New Roman" w:hAnsi="Times New Roman"/>
        </w:rPr>
        <w:t>: indicates the TDD configuration so that the sidelink UE does not interfere with the DL UEs. Such a field is needed.</w:t>
      </w:r>
      <w:r w:rsidR="00423B90">
        <w:rPr>
          <w:rFonts w:ascii="Times New Roman" w:hAnsi="Times New Roman"/>
        </w:rPr>
        <w:t xml:space="preserve"> Note that this field cannot be directly copied from LTE since the TDD NR configuration is different from LTE.</w:t>
      </w:r>
      <w:r w:rsidR="0027059C">
        <w:rPr>
          <w:rFonts w:ascii="Times New Roman" w:hAnsi="Times New Roman"/>
        </w:rPr>
        <w:t xml:space="preserve"> Several possibilities can be used:</w:t>
      </w:r>
    </w:p>
    <w:p w14:paraId="4350A889" w14:textId="7A8ABA50" w:rsidR="0027059C" w:rsidRDefault="0027059C" w:rsidP="00F150A4">
      <w:pPr>
        <w:pStyle w:val="ListParagraph"/>
        <w:numPr>
          <w:ilvl w:val="1"/>
          <w:numId w:val="31"/>
        </w:numPr>
        <w:jc w:val="both"/>
        <w:rPr>
          <w:rFonts w:ascii="Times New Roman" w:hAnsi="Times New Roman"/>
        </w:rPr>
      </w:pPr>
      <w:r>
        <w:rPr>
          <w:rFonts w:ascii="Times New Roman" w:hAnsi="Times New Roman"/>
          <w:b/>
          <w:i/>
        </w:rPr>
        <w:t>An indication of which slots are barred for sidelink operation:</w:t>
      </w:r>
      <w:r>
        <w:rPr>
          <w:rFonts w:ascii="Times New Roman" w:hAnsi="Times New Roman"/>
        </w:rPr>
        <w:t xml:space="preserve"> in such a case, a similar signalling as for LTE can be used. Instead of indicating the TDD configuration, the field now indicates an SL configuration that can be a bitmap, an index (similar to the LTE TDD configuration, etc.)</w:t>
      </w:r>
    </w:p>
    <w:p w14:paraId="371A7F4E" w14:textId="0FA9E0CC" w:rsidR="0027059C" w:rsidRPr="00771580" w:rsidRDefault="0073166F" w:rsidP="00F150A4">
      <w:pPr>
        <w:pStyle w:val="ListParagraph"/>
        <w:numPr>
          <w:ilvl w:val="1"/>
          <w:numId w:val="31"/>
        </w:numPr>
        <w:jc w:val="both"/>
        <w:rPr>
          <w:rFonts w:ascii="Times New Roman" w:hAnsi="Times New Roman"/>
        </w:rPr>
      </w:pPr>
      <w:r>
        <w:rPr>
          <w:rFonts w:ascii="Times New Roman" w:hAnsi="Times New Roman"/>
          <w:b/>
          <w:i/>
        </w:rPr>
        <w:t>The TDD information transmitted in SIB1 for eMBB</w:t>
      </w:r>
      <w:r w:rsidRPr="00F150A4">
        <w:rPr>
          <w:rFonts w:ascii="Times New Roman" w:hAnsi="Times New Roman"/>
        </w:rPr>
        <w:t>.</w:t>
      </w:r>
      <w:r>
        <w:rPr>
          <w:rFonts w:ascii="Times New Roman" w:hAnsi="Times New Roman"/>
        </w:rPr>
        <w:t xml:space="preserve"> The NR SIB1 includes information about a semi-static TDD configuration. This information can be put in the PSBCH. Note that the overall amount of information is quite large. This may require a significantly larger bit size than the TDD configuration of LTE, or even the use of a pointer to other resources, as explained later.</w:t>
      </w:r>
    </w:p>
    <w:p w14:paraId="3F2DE060" w14:textId="1AF843D8" w:rsidR="00366E37" w:rsidRPr="00771580" w:rsidRDefault="00366E37" w:rsidP="00771580">
      <w:pPr>
        <w:pStyle w:val="ListParagraph"/>
        <w:numPr>
          <w:ilvl w:val="0"/>
          <w:numId w:val="31"/>
        </w:numPr>
        <w:jc w:val="both"/>
        <w:rPr>
          <w:rFonts w:ascii="Times New Roman" w:hAnsi="Times New Roman"/>
        </w:rPr>
      </w:pPr>
      <w:r w:rsidRPr="00771580">
        <w:rPr>
          <w:rFonts w:ascii="Times New Roman" w:hAnsi="Times New Roman"/>
          <w:b/>
          <w:i/>
        </w:rPr>
        <w:t>directFrameNumber</w:t>
      </w:r>
      <w:r w:rsidR="00B23CB3" w:rsidRPr="00771580">
        <w:rPr>
          <w:rFonts w:ascii="Times New Roman" w:hAnsi="Times New Roman"/>
          <w:b/>
          <w:i/>
        </w:rPr>
        <w:t>:</w:t>
      </w:r>
      <w:r w:rsidR="00B23CB3" w:rsidRPr="00771580">
        <w:rPr>
          <w:rFonts w:ascii="Times New Roman" w:hAnsi="Times New Roman"/>
        </w:rPr>
        <w:t xml:space="preserve"> this field is needed to obtain frame syn</w:t>
      </w:r>
      <w:r w:rsidR="0068574D" w:rsidRPr="00771580">
        <w:rPr>
          <w:rFonts w:ascii="Times New Roman" w:hAnsi="Times New Roman"/>
        </w:rPr>
        <w:t>chronization. This information is likely to be needed for NR as well since frame synchronization is needed</w:t>
      </w:r>
      <w:r w:rsidR="00B016A1">
        <w:rPr>
          <w:rFonts w:ascii="Times New Roman" w:hAnsi="Times New Roman"/>
        </w:rPr>
        <w:t>.</w:t>
      </w:r>
    </w:p>
    <w:p w14:paraId="2BC8CF00" w14:textId="1646CB2E" w:rsidR="00366E37" w:rsidRPr="00771580" w:rsidRDefault="00366E37" w:rsidP="00771580">
      <w:pPr>
        <w:pStyle w:val="ListParagraph"/>
        <w:numPr>
          <w:ilvl w:val="0"/>
          <w:numId w:val="31"/>
        </w:numPr>
        <w:jc w:val="both"/>
        <w:rPr>
          <w:rFonts w:ascii="Times New Roman" w:hAnsi="Times New Roman"/>
        </w:rPr>
      </w:pPr>
      <w:r w:rsidRPr="00771580">
        <w:rPr>
          <w:rFonts w:ascii="Times New Roman" w:hAnsi="Times New Roman"/>
          <w:b/>
          <w:i/>
        </w:rPr>
        <w:lastRenderedPageBreak/>
        <w:t>directSubframeNumber</w:t>
      </w:r>
      <w:r w:rsidR="0068574D" w:rsidRPr="00771580">
        <w:rPr>
          <w:rFonts w:ascii="Times New Roman" w:hAnsi="Times New Roman"/>
        </w:rPr>
        <w:t xml:space="preserve">: a similar field is needed for NR. Note however that NR is described using slots instead of subframes. Thus, a similar parameter, </w:t>
      </w:r>
      <w:r w:rsidR="0068574D" w:rsidRPr="00771580">
        <w:rPr>
          <w:rFonts w:ascii="Times New Roman" w:hAnsi="Times New Roman"/>
          <w:b/>
          <w:i/>
        </w:rPr>
        <w:t>directSlotNumber</w:t>
      </w:r>
      <w:r w:rsidR="0068574D" w:rsidRPr="00771580">
        <w:rPr>
          <w:rFonts w:ascii="Times New Roman" w:hAnsi="Times New Roman"/>
        </w:rPr>
        <w:t>, is needed</w:t>
      </w:r>
      <w:r w:rsidR="00B016A1">
        <w:rPr>
          <w:rFonts w:ascii="Times New Roman" w:hAnsi="Times New Roman"/>
        </w:rPr>
        <w:t>.</w:t>
      </w:r>
    </w:p>
    <w:p w14:paraId="10FE0A36" w14:textId="2A9F2F85" w:rsidR="00366E37" w:rsidRDefault="00366E37" w:rsidP="00771580">
      <w:pPr>
        <w:pStyle w:val="ListParagraph"/>
        <w:numPr>
          <w:ilvl w:val="0"/>
          <w:numId w:val="31"/>
        </w:numPr>
        <w:jc w:val="both"/>
        <w:rPr>
          <w:rFonts w:ascii="Times New Roman" w:hAnsi="Times New Roman"/>
        </w:rPr>
      </w:pPr>
      <w:r w:rsidRPr="00771580">
        <w:rPr>
          <w:rFonts w:ascii="Times New Roman" w:hAnsi="Times New Roman"/>
          <w:b/>
          <w:i/>
        </w:rPr>
        <w:t>inCoverage</w:t>
      </w:r>
      <w:r w:rsidR="0068574D" w:rsidRPr="00771580">
        <w:rPr>
          <w:rFonts w:ascii="Times New Roman" w:hAnsi="Times New Roman"/>
        </w:rPr>
        <w:t>: this field indicates if the UE is synchronized with an in-network source or not. Such an indication indicates whether a UE is in E-UTRAN coverage, thus has access to a good network synchronization source. A similar field is needed for the NR PSBCH</w:t>
      </w:r>
      <w:r w:rsidR="009B75DB">
        <w:rPr>
          <w:rFonts w:ascii="Times New Roman" w:hAnsi="Times New Roman"/>
        </w:rPr>
        <w:t xml:space="preserve">. </w:t>
      </w:r>
    </w:p>
    <w:p w14:paraId="612A433C" w14:textId="24BB867E" w:rsidR="009B75DB" w:rsidRPr="00771580" w:rsidRDefault="009B75DB" w:rsidP="00771580">
      <w:pPr>
        <w:pStyle w:val="ListParagraph"/>
        <w:numPr>
          <w:ilvl w:val="0"/>
          <w:numId w:val="31"/>
        </w:numPr>
        <w:jc w:val="both"/>
        <w:rPr>
          <w:rFonts w:ascii="Times New Roman" w:hAnsi="Times New Roman"/>
        </w:rPr>
      </w:pPr>
      <w:r>
        <w:rPr>
          <w:rFonts w:ascii="Times New Roman" w:hAnsi="Times New Roman"/>
          <w:b/>
          <w:i/>
        </w:rPr>
        <w:t>reserved</w:t>
      </w:r>
      <w:r>
        <w:rPr>
          <w:rFonts w:ascii="Times New Roman" w:hAnsi="Times New Roman"/>
        </w:rPr>
        <w:t>: these fields were considered in LTE for forward compatibility. It seems prudent to use the same approach for NR, and to keep a few bits as ‘reserved’ for future releases, if needed.</w:t>
      </w:r>
    </w:p>
    <w:p w14:paraId="127AB7E4" w14:textId="56AF9071" w:rsidR="00771580" w:rsidRPr="00931B64" w:rsidRDefault="00931B64" w:rsidP="00771580">
      <w:pPr>
        <w:rPr>
          <w:b/>
          <w:i/>
        </w:rPr>
      </w:pPr>
      <w:r w:rsidRPr="00931B64">
        <w:rPr>
          <w:b/>
          <w:i/>
        </w:rPr>
        <w:t>Proposal 1: The NR PSBCH contains the following fields (analogous to the LTE PSBCH):</w:t>
      </w:r>
    </w:p>
    <w:p w14:paraId="2845264E" w14:textId="16AABD38"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sl_Bandwidth</w:t>
      </w:r>
    </w:p>
    <w:p w14:paraId="2F29C611" w14:textId="717B89FF"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tdd_ConfigSL</w:t>
      </w:r>
    </w:p>
    <w:p w14:paraId="2B6A0009" w14:textId="0BE846FF"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directFrameNumber</w:t>
      </w:r>
    </w:p>
    <w:p w14:paraId="68F85F01" w14:textId="642C0291"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directSlotNumber</w:t>
      </w:r>
    </w:p>
    <w:p w14:paraId="076B53C3" w14:textId="1F2D7BD9" w:rsid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inCoverage</w:t>
      </w:r>
    </w:p>
    <w:p w14:paraId="2EF501C2" w14:textId="77777777" w:rsidR="00124AA7" w:rsidRPr="00124AA7" w:rsidRDefault="00124AA7" w:rsidP="00124AA7">
      <w:pPr>
        <w:rPr>
          <w:b/>
          <w:i/>
        </w:rPr>
      </w:pPr>
    </w:p>
    <w:p w14:paraId="2BD08F40" w14:textId="1C955D9E" w:rsidR="00931B64" w:rsidRDefault="00DB2AE7" w:rsidP="00DB2AE7">
      <w:pPr>
        <w:pStyle w:val="Heading2"/>
      </w:pPr>
      <w:r>
        <w:t>NR PBCH content</w:t>
      </w:r>
    </w:p>
    <w:p w14:paraId="293539C3" w14:textId="2CCEA645" w:rsidR="00DB2AE7" w:rsidRDefault="003D038D" w:rsidP="00DB2AE7">
      <w:r>
        <w:t xml:space="preserve">Since the PSBCH is conceptually equivalent to the PBCH, but for the sidelink, it is also useful to look at the NR PBCH fields. </w:t>
      </w:r>
      <w:r w:rsidR="006F2894">
        <w:t xml:space="preserve">The NR PBCH content is listed below from </w:t>
      </w:r>
      <w:r w:rsidR="001F4229">
        <w:t>[2]</w:t>
      </w:r>
      <w:r w:rsidR="006F2894">
        <w:t>:</w:t>
      </w:r>
    </w:p>
    <w:p w14:paraId="346AC7F0" w14:textId="15FAD230" w:rsidR="006F2894" w:rsidRPr="006F2894" w:rsidRDefault="006F2894" w:rsidP="006F2894">
      <w:pPr>
        <w:pStyle w:val="TH"/>
        <w:rPr>
          <w:bCs/>
          <w:i/>
          <w:iCs/>
          <w:lang w:val="en-GB"/>
        </w:rPr>
      </w:pPr>
      <w:r w:rsidRPr="00A047D1">
        <w:rPr>
          <w:bCs/>
          <w:i/>
          <w:iCs/>
          <w:lang w:val="en-GB"/>
        </w:rPr>
        <w:t>MIB</w:t>
      </w:r>
    </w:p>
    <w:p w14:paraId="65C28C80" w14:textId="77777777" w:rsidR="006F2894" w:rsidRDefault="006F2894" w:rsidP="006F2894">
      <w:pPr>
        <w:pStyle w:val="PL"/>
        <w:shd w:val="clear" w:color="auto" w:fill="E6E6E6"/>
      </w:pPr>
      <w:r>
        <w:t>-- ASN1START</w:t>
      </w:r>
    </w:p>
    <w:p w14:paraId="7394E6CF" w14:textId="77777777" w:rsidR="006F2894" w:rsidRDefault="006F2894" w:rsidP="006F2894">
      <w:pPr>
        <w:pStyle w:val="PL"/>
        <w:shd w:val="clear" w:color="auto" w:fill="E6E6E6"/>
      </w:pPr>
      <w:r>
        <w:t>-- TAG-MIB-START</w:t>
      </w:r>
    </w:p>
    <w:p w14:paraId="32678B03" w14:textId="77777777" w:rsidR="006F2894" w:rsidRDefault="006F2894" w:rsidP="006F2894">
      <w:pPr>
        <w:pStyle w:val="PL"/>
        <w:shd w:val="clear" w:color="auto" w:fill="E6E6E6"/>
      </w:pPr>
    </w:p>
    <w:p w14:paraId="494CB6A6" w14:textId="77777777" w:rsidR="006F2894" w:rsidRDefault="006F2894" w:rsidP="006F2894">
      <w:pPr>
        <w:pStyle w:val="PL"/>
        <w:shd w:val="clear" w:color="auto" w:fill="E6E6E6"/>
      </w:pPr>
      <w:r>
        <w:t>MIB ::=                             SEQUENCE {</w:t>
      </w:r>
    </w:p>
    <w:p w14:paraId="1F07DFDD" w14:textId="77777777" w:rsidR="006F2894" w:rsidRDefault="006F2894" w:rsidP="006F2894">
      <w:pPr>
        <w:pStyle w:val="PL"/>
        <w:shd w:val="clear" w:color="auto" w:fill="E6E6E6"/>
      </w:pPr>
      <w:r>
        <w:t xml:space="preserve">    systemFrameNumber                   BIT STRING (SIZE (6)),</w:t>
      </w:r>
    </w:p>
    <w:p w14:paraId="0C23E7CC" w14:textId="77777777" w:rsidR="006F2894" w:rsidRDefault="006F2894" w:rsidP="006F2894">
      <w:pPr>
        <w:pStyle w:val="PL"/>
        <w:shd w:val="clear" w:color="auto" w:fill="E6E6E6"/>
      </w:pPr>
      <w:r>
        <w:t xml:space="preserve">    subCarrierSpacingCommon             ENUMERATED {scs15or60, scs30or120},</w:t>
      </w:r>
    </w:p>
    <w:p w14:paraId="58802DA9" w14:textId="77777777" w:rsidR="006F2894" w:rsidRDefault="006F2894" w:rsidP="006F2894">
      <w:pPr>
        <w:pStyle w:val="PL"/>
        <w:shd w:val="clear" w:color="auto" w:fill="E6E6E6"/>
      </w:pPr>
      <w:r>
        <w:t xml:space="preserve">    ssb-SubcarrierOffset                INTEGER (0..15),</w:t>
      </w:r>
    </w:p>
    <w:p w14:paraId="4864A135" w14:textId="77777777" w:rsidR="006F2894" w:rsidRDefault="006F2894" w:rsidP="006F2894">
      <w:pPr>
        <w:pStyle w:val="PL"/>
        <w:shd w:val="clear" w:color="auto" w:fill="E6E6E6"/>
      </w:pPr>
      <w:r>
        <w:t xml:space="preserve">    dmrs-TypeA-Position                 ENUMERATED {pos2, pos3},</w:t>
      </w:r>
    </w:p>
    <w:p w14:paraId="57894EE9" w14:textId="77777777" w:rsidR="006F2894" w:rsidRDefault="006F2894" w:rsidP="006F2894">
      <w:pPr>
        <w:pStyle w:val="PL"/>
        <w:shd w:val="clear" w:color="auto" w:fill="E6E6E6"/>
      </w:pPr>
      <w:r>
        <w:t xml:space="preserve">    pdcch-ConfigSIB1                    PDCCH-ConfigSIB1,</w:t>
      </w:r>
    </w:p>
    <w:p w14:paraId="49A5269F" w14:textId="77777777" w:rsidR="006F2894" w:rsidRDefault="006F2894" w:rsidP="006F2894">
      <w:pPr>
        <w:pStyle w:val="PL"/>
        <w:shd w:val="clear" w:color="auto" w:fill="E6E6E6"/>
      </w:pPr>
      <w:r>
        <w:t xml:space="preserve">    cellBarred                          ENUMERATED {barred, notBarred},</w:t>
      </w:r>
    </w:p>
    <w:p w14:paraId="5FC783C4" w14:textId="77777777" w:rsidR="006F2894" w:rsidRDefault="006F2894" w:rsidP="006F2894">
      <w:pPr>
        <w:pStyle w:val="PL"/>
        <w:shd w:val="clear" w:color="auto" w:fill="E6E6E6"/>
      </w:pPr>
      <w:r>
        <w:t xml:space="preserve">    intraFreqReselection                ENUMERATED {allowed, notAllowed},</w:t>
      </w:r>
    </w:p>
    <w:p w14:paraId="0416E686" w14:textId="77777777" w:rsidR="006F2894" w:rsidRDefault="006F2894" w:rsidP="006F2894">
      <w:pPr>
        <w:pStyle w:val="PL"/>
        <w:shd w:val="clear" w:color="auto" w:fill="E6E6E6"/>
      </w:pPr>
      <w:r>
        <w:t xml:space="preserve">    spare                               BIT STRING (SIZE (1))</w:t>
      </w:r>
    </w:p>
    <w:p w14:paraId="7D9660DE" w14:textId="77777777" w:rsidR="006F2894" w:rsidRDefault="006F2894" w:rsidP="006F2894">
      <w:pPr>
        <w:pStyle w:val="PL"/>
        <w:shd w:val="clear" w:color="auto" w:fill="E6E6E6"/>
      </w:pPr>
      <w:r>
        <w:t>}</w:t>
      </w:r>
    </w:p>
    <w:p w14:paraId="0D0F1BB7" w14:textId="77777777" w:rsidR="006F2894" w:rsidRDefault="006F2894" w:rsidP="006F2894">
      <w:pPr>
        <w:pStyle w:val="PL"/>
        <w:shd w:val="clear" w:color="auto" w:fill="E6E6E6"/>
      </w:pPr>
    </w:p>
    <w:p w14:paraId="17A6E0B9" w14:textId="77777777" w:rsidR="006F2894" w:rsidRDefault="006F2894" w:rsidP="006F2894">
      <w:pPr>
        <w:pStyle w:val="PL"/>
        <w:shd w:val="clear" w:color="auto" w:fill="E6E6E6"/>
      </w:pPr>
      <w:r>
        <w:t>-- TAG-MIB-STOP</w:t>
      </w:r>
    </w:p>
    <w:p w14:paraId="30553F3A" w14:textId="7807D73F" w:rsidR="006F2894" w:rsidRDefault="006F2894" w:rsidP="006F2894">
      <w:pPr>
        <w:pStyle w:val="PL"/>
        <w:shd w:val="clear" w:color="auto" w:fill="E6E6E6"/>
      </w:pPr>
      <w:r>
        <w:t>-- ASN1STOP</w:t>
      </w:r>
    </w:p>
    <w:p w14:paraId="2755A0A5" w14:textId="77777777" w:rsidR="006F2894" w:rsidRPr="00DB2AE7" w:rsidRDefault="006F2894" w:rsidP="00DB2AE7"/>
    <w:p w14:paraId="7995C80B" w14:textId="5224F576" w:rsidR="0068574D" w:rsidRDefault="00D833C5" w:rsidP="0068574D">
      <w:r>
        <w:t>We now look at each of these fields and see if it is needed:</w:t>
      </w:r>
    </w:p>
    <w:p w14:paraId="6EE9A44E" w14:textId="37EED4B6" w:rsidR="00D833C5" w:rsidRPr="00B51F62" w:rsidRDefault="00D833C5" w:rsidP="00B51F62">
      <w:pPr>
        <w:pStyle w:val="ListParagraph"/>
        <w:numPr>
          <w:ilvl w:val="0"/>
          <w:numId w:val="33"/>
        </w:numPr>
        <w:jc w:val="both"/>
        <w:rPr>
          <w:rFonts w:ascii="Times New Roman" w:hAnsi="Times New Roman"/>
        </w:rPr>
      </w:pPr>
      <w:r w:rsidRPr="00B51F62">
        <w:rPr>
          <w:rFonts w:ascii="Times New Roman" w:hAnsi="Times New Roman"/>
          <w:b/>
          <w:i/>
        </w:rPr>
        <w:t>systemFrameNumber</w:t>
      </w:r>
      <w:r w:rsidRPr="00B51F62">
        <w:rPr>
          <w:rFonts w:ascii="Times New Roman" w:hAnsi="Times New Roman"/>
        </w:rPr>
        <w:t xml:space="preserve">: this field is not needed since frame synchronization for sidelink is already achieved using the fields </w:t>
      </w:r>
      <w:r w:rsidRPr="00B51F62">
        <w:rPr>
          <w:rFonts w:ascii="Times New Roman" w:hAnsi="Times New Roman"/>
          <w:b/>
          <w:i/>
        </w:rPr>
        <w:t>directFrameNumber</w:t>
      </w:r>
      <w:r w:rsidRPr="00B51F62">
        <w:rPr>
          <w:rFonts w:ascii="Times New Roman" w:hAnsi="Times New Roman"/>
        </w:rPr>
        <w:t xml:space="preserve"> and </w:t>
      </w:r>
      <w:r w:rsidRPr="00B51F62">
        <w:rPr>
          <w:rFonts w:ascii="Times New Roman" w:hAnsi="Times New Roman"/>
          <w:b/>
          <w:i/>
        </w:rPr>
        <w:t>directSlot</w:t>
      </w:r>
      <w:r w:rsidRPr="00513659">
        <w:rPr>
          <w:rFonts w:ascii="Times New Roman" w:hAnsi="Times New Roman"/>
          <w:b/>
          <w:i/>
        </w:rPr>
        <w:t>Number</w:t>
      </w:r>
      <w:r w:rsidRPr="00B51F62">
        <w:rPr>
          <w:rFonts w:ascii="Times New Roman" w:hAnsi="Times New Roman"/>
        </w:rPr>
        <w:t xml:space="preserve"> of proposal 1.</w:t>
      </w:r>
    </w:p>
    <w:p w14:paraId="23C23126" w14:textId="6379F89E" w:rsidR="00D833C5" w:rsidRPr="00B51F62" w:rsidRDefault="001005C2" w:rsidP="00B51F62">
      <w:pPr>
        <w:pStyle w:val="ListParagraph"/>
        <w:numPr>
          <w:ilvl w:val="0"/>
          <w:numId w:val="33"/>
        </w:numPr>
        <w:jc w:val="both"/>
        <w:rPr>
          <w:rFonts w:ascii="Times New Roman" w:hAnsi="Times New Roman"/>
        </w:rPr>
      </w:pPr>
      <w:r w:rsidRPr="00B51F62">
        <w:rPr>
          <w:rFonts w:ascii="Times New Roman" w:hAnsi="Times New Roman"/>
          <w:b/>
          <w:i/>
        </w:rPr>
        <w:t>subCarrierSpacingCommon</w:t>
      </w:r>
      <w:r w:rsidRPr="00B51F62">
        <w:rPr>
          <w:rFonts w:ascii="Times New Roman" w:hAnsi="Times New Roman"/>
        </w:rPr>
        <w:t xml:space="preserve">: </w:t>
      </w:r>
      <w:r w:rsidR="00C87048">
        <w:rPr>
          <w:rFonts w:ascii="Times New Roman" w:hAnsi="Times New Roman"/>
        </w:rPr>
        <w:t xml:space="preserve">after detecting the SLSS, the UE has information about the SCS and the CP length. It seems to be all that is needed: </w:t>
      </w:r>
      <w:r w:rsidR="00D9383B">
        <w:rPr>
          <w:rFonts w:ascii="Times New Roman" w:hAnsi="Times New Roman"/>
        </w:rPr>
        <w:t>unlike</w:t>
      </w:r>
      <w:r w:rsidR="00C87048">
        <w:rPr>
          <w:rFonts w:ascii="Times New Roman" w:hAnsi="Times New Roman"/>
        </w:rPr>
        <w:t xml:space="preserve"> MBB, the sidelink operation is simpler, and a single numerology is used on the carrier. Thus, this parameter is not needed.</w:t>
      </w:r>
    </w:p>
    <w:p w14:paraId="12252375" w14:textId="32FBADF7" w:rsidR="001005C2" w:rsidRPr="00B51F62" w:rsidRDefault="001005C2" w:rsidP="00B51F62">
      <w:pPr>
        <w:pStyle w:val="ListParagraph"/>
        <w:numPr>
          <w:ilvl w:val="0"/>
          <w:numId w:val="33"/>
        </w:numPr>
        <w:jc w:val="both"/>
        <w:rPr>
          <w:rFonts w:ascii="Times New Roman" w:hAnsi="Times New Roman"/>
        </w:rPr>
      </w:pPr>
      <w:r w:rsidRPr="00B51F62">
        <w:rPr>
          <w:rFonts w:ascii="Times New Roman" w:hAnsi="Times New Roman"/>
          <w:b/>
          <w:i/>
        </w:rPr>
        <w:t>ssb-SubcarrierOffset</w:t>
      </w:r>
      <w:r w:rsidRPr="00B51F62">
        <w:rPr>
          <w:rFonts w:ascii="Times New Roman" w:hAnsi="Times New Roman"/>
        </w:rPr>
        <w:t>: if a fixed location is selected for the synchronization signals on the sidelink, this parameter is not used.</w:t>
      </w:r>
    </w:p>
    <w:p w14:paraId="7C4DA615" w14:textId="282FE40B" w:rsidR="001005C2" w:rsidRPr="00B51F62" w:rsidRDefault="001005C2" w:rsidP="00B51F62">
      <w:pPr>
        <w:pStyle w:val="ListParagraph"/>
        <w:numPr>
          <w:ilvl w:val="0"/>
          <w:numId w:val="33"/>
        </w:numPr>
        <w:jc w:val="both"/>
        <w:rPr>
          <w:rFonts w:ascii="Times New Roman" w:hAnsi="Times New Roman"/>
        </w:rPr>
      </w:pPr>
      <w:r w:rsidRPr="00B51F62">
        <w:rPr>
          <w:rFonts w:ascii="Times New Roman" w:hAnsi="Times New Roman"/>
          <w:b/>
          <w:i/>
        </w:rPr>
        <w:t>Dmrs</w:t>
      </w:r>
      <w:r w:rsidRPr="00B51F62">
        <w:rPr>
          <w:rFonts w:ascii="Times New Roman" w:hAnsi="Times New Roman"/>
        </w:rPr>
        <w:t>-</w:t>
      </w:r>
      <w:r w:rsidRPr="00B51F62">
        <w:rPr>
          <w:rFonts w:ascii="Times New Roman" w:hAnsi="Times New Roman"/>
          <w:b/>
          <w:i/>
        </w:rPr>
        <w:t>TypeA-Position</w:t>
      </w:r>
      <w:r w:rsidR="00CE73E7" w:rsidRPr="00B51F62">
        <w:rPr>
          <w:rFonts w:ascii="Times New Roman" w:hAnsi="Times New Roman"/>
        </w:rPr>
        <w:t>: this parameter indicates where to locate the first DMRS in the slot. While the subframe design has not been formalized yet, the sidelink design is simpler than the Uu design. It should therefore be fea</w:t>
      </w:r>
      <w:r w:rsidR="00DB4420" w:rsidRPr="00B51F62">
        <w:rPr>
          <w:rFonts w:ascii="Times New Roman" w:hAnsi="Times New Roman"/>
        </w:rPr>
        <w:t>sible to have a sidelink design without needing to convey information about the DMRS in the PSBCH. Depending on the overall sidelink design, RAN1 can revisit the need for DMRS information in the PSBCH</w:t>
      </w:r>
    </w:p>
    <w:p w14:paraId="504C2F45" w14:textId="6BF59FAF" w:rsidR="00DB4420" w:rsidRPr="00B51F62" w:rsidRDefault="00DB4420" w:rsidP="00B51F62">
      <w:pPr>
        <w:pStyle w:val="ListParagraph"/>
        <w:numPr>
          <w:ilvl w:val="0"/>
          <w:numId w:val="33"/>
        </w:numPr>
        <w:jc w:val="both"/>
        <w:rPr>
          <w:rFonts w:ascii="Times New Roman" w:hAnsi="Times New Roman"/>
        </w:rPr>
      </w:pPr>
      <w:r w:rsidRPr="00B51F62">
        <w:rPr>
          <w:rFonts w:ascii="Times New Roman" w:hAnsi="Times New Roman"/>
          <w:b/>
          <w:i/>
        </w:rPr>
        <w:t>Pdcch-ConfigSIB1</w:t>
      </w:r>
      <w:r w:rsidRPr="00B51F62">
        <w:rPr>
          <w:rFonts w:ascii="Times New Roman" w:hAnsi="Times New Roman"/>
        </w:rPr>
        <w:t xml:space="preserve">: this parameter indicates where to find the PDCCH for SIB1 so that the UE can obtain information in the SIB1 in a second stage. There could be some advantages of having sidelink control information transmitted in a SIB equivalent: for instance, it can be beneficial for </w:t>
      </w:r>
      <w:r w:rsidRPr="00B51F62">
        <w:rPr>
          <w:rFonts w:ascii="Times New Roman" w:hAnsi="Times New Roman"/>
        </w:rPr>
        <w:lastRenderedPageBreak/>
        <w:t xml:space="preserve">a UE to obtain the resource pool information. This information is probably too large to be transmitted in the PSBCH. However, the PSBCH could contain a pointer towards more control information. </w:t>
      </w:r>
      <w:r w:rsidR="00022110">
        <w:rPr>
          <w:rFonts w:ascii="Times New Roman" w:hAnsi="Times New Roman"/>
        </w:rPr>
        <w:t>Note that another solution</w:t>
      </w:r>
      <w:r w:rsidR="00C36082">
        <w:rPr>
          <w:rFonts w:ascii="Times New Roman" w:hAnsi="Times New Roman"/>
        </w:rPr>
        <w:t xml:space="preserve"> would be to simply use reserved bits, as explained in Section 2.1. However, there might be cases where the amount of needed information would not fit within the reserved bits without significant redesign of the PSBCH: for instance, indicating resource pool configurations can require a significant amount of signalling that may not fit within the reserved bits. While it is too early for RAN1 to make a definitive decision on whether such a field is needed, it is an option that should be kept for consideration at this stage, with future decision depending on the total overhead needed for accessing the sidelink.</w:t>
      </w:r>
    </w:p>
    <w:p w14:paraId="093CD635" w14:textId="5943BF28" w:rsidR="00DB4420" w:rsidRPr="00B51F62" w:rsidRDefault="00FC5F1C" w:rsidP="00B51F62">
      <w:pPr>
        <w:pStyle w:val="ListParagraph"/>
        <w:numPr>
          <w:ilvl w:val="0"/>
          <w:numId w:val="33"/>
        </w:numPr>
        <w:jc w:val="both"/>
        <w:rPr>
          <w:rFonts w:ascii="Times New Roman" w:hAnsi="Times New Roman"/>
        </w:rPr>
      </w:pPr>
      <w:r w:rsidRPr="00B51F62">
        <w:rPr>
          <w:rFonts w:ascii="Times New Roman" w:hAnsi="Times New Roman"/>
          <w:b/>
          <w:i/>
        </w:rPr>
        <w:t>cellBarred</w:t>
      </w:r>
      <w:r w:rsidRPr="00B51F62">
        <w:rPr>
          <w:rFonts w:ascii="Times New Roman" w:hAnsi="Times New Roman"/>
        </w:rPr>
        <w:t xml:space="preserve">. A somewhat similar parameter to prevent/allow V2X operation would be beneficial to protect the cellular system of interference from V2X. </w:t>
      </w:r>
      <w:r w:rsidR="00B51F62" w:rsidRPr="00B51F62">
        <w:rPr>
          <w:rFonts w:ascii="Times New Roman" w:hAnsi="Times New Roman"/>
        </w:rPr>
        <w:t xml:space="preserve">In particular, when the out-of-coverage/in-coverage UEs use different synchronization sources, the interference problem can be significant. </w:t>
      </w:r>
      <w:r w:rsidR="00D35444">
        <w:rPr>
          <w:rFonts w:ascii="Times New Roman" w:hAnsi="Times New Roman"/>
        </w:rPr>
        <w:t>In essence, when two different synchronization sources as used (e.g., gNB timing in-coverage, and GNSS out-of-coverage), there is a potential for high interference. T</w:t>
      </w:r>
      <w:r w:rsidR="00B51F62" w:rsidRPr="00B51F62">
        <w:rPr>
          <w:rFonts w:ascii="Times New Roman" w:hAnsi="Times New Roman"/>
        </w:rPr>
        <w:t>he interference problem is twofold, as shown in Figure 1:</w:t>
      </w:r>
    </w:p>
    <w:p w14:paraId="34E68EB5" w14:textId="77777777" w:rsidR="00B51F62" w:rsidRPr="00B51F62" w:rsidRDefault="00B51F62" w:rsidP="00B51F62">
      <w:pPr>
        <w:numPr>
          <w:ilvl w:val="1"/>
          <w:numId w:val="33"/>
        </w:numPr>
      </w:pPr>
      <w:r w:rsidRPr="00B51F62">
        <w:t xml:space="preserve">V2V interference on the UL: Because of half duplex limitation, the vehicle cannot transmit UL data and receive V2V data at the same time in the same carrier frequency. </w:t>
      </w:r>
    </w:p>
    <w:p w14:paraId="0BFD74D9" w14:textId="3025D1F3" w:rsidR="00B51F62" w:rsidRPr="00B51F62" w:rsidRDefault="00B51F62" w:rsidP="00B51F62">
      <w:pPr>
        <w:numPr>
          <w:ilvl w:val="1"/>
          <w:numId w:val="33"/>
        </w:numPr>
      </w:pPr>
      <w:r w:rsidRPr="00B51F62">
        <w:t>V2V interference on the DL (TDD case): The V2V service will interfere with DL data if they are transmitted in the same carrier, especially when the V2V transmitter from out-of-coverage is closer to the receiver than the gNB, as illustrated in Figure 1.</w:t>
      </w:r>
    </w:p>
    <w:p w14:paraId="35F4182B" w14:textId="77777777" w:rsidR="00B51F62" w:rsidRDefault="00B51F62" w:rsidP="00B51F62"/>
    <w:p w14:paraId="4E1EEDC7" w14:textId="7C07F289" w:rsidR="00B51F62" w:rsidRDefault="00C15E82" w:rsidP="00B51F62">
      <w:pPr>
        <w:keepNext/>
        <w:jc w:val="center"/>
      </w:pPr>
      <w:r>
        <w:rPr>
          <w:rFonts w:eastAsiaTheme="minorEastAsia"/>
          <w:noProof/>
        </w:rPr>
        <w:drawing>
          <wp:inline distT="0" distB="0" distL="0" distR="0" wp14:anchorId="2C7B6EE5" wp14:editId="3B635B2E">
            <wp:extent cx="5913755" cy="1975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755" cy="1975485"/>
                    </a:xfrm>
                    <a:prstGeom prst="rect">
                      <a:avLst/>
                    </a:prstGeom>
                    <a:noFill/>
                  </pic:spPr>
                </pic:pic>
              </a:graphicData>
            </a:graphic>
          </wp:inline>
        </w:drawing>
      </w:r>
    </w:p>
    <w:p w14:paraId="11EDC51C" w14:textId="40147AD3" w:rsidR="00B51F62" w:rsidRDefault="00B51F62" w:rsidP="00B51F62">
      <w:pPr>
        <w:pStyle w:val="Caption"/>
      </w:pPr>
      <w:r>
        <w:t xml:space="preserve">Figure </w:t>
      </w:r>
      <w:fldSimple w:instr=" SEQ Figure \* ARABIC ">
        <w:r>
          <w:rPr>
            <w:noProof/>
          </w:rPr>
          <w:t>1</w:t>
        </w:r>
      </w:fldSimple>
      <w:r>
        <w:t>. Interference problem at the edge of a cell.</w:t>
      </w:r>
    </w:p>
    <w:p w14:paraId="76F44074" w14:textId="436E52AE" w:rsidR="00B51F62" w:rsidRPr="00B51F62" w:rsidRDefault="00D35444" w:rsidP="00B51F62">
      <w:r>
        <w:t>Note also that barring sidelink operation can be useful for other sidelink use cases, for instance if public safety is considered on the sidelink.</w:t>
      </w:r>
    </w:p>
    <w:p w14:paraId="77979784" w14:textId="4D89C5E9" w:rsidR="00B51F62" w:rsidRPr="00931B64" w:rsidRDefault="00B51F62" w:rsidP="00B51F62">
      <w:pPr>
        <w:rPr>
          <w:b/>
          <w:i/>
        </w:rPr>
      </w:pPr>
      <w:r w:rsidRPr="00931B64">
        <w:rPr>
          <w:b/>
          <w:i/>
        </w:rPr>
        <w:t xml:space="preserve">Proposal </w:t>
      </w:r>
      <w:r>
        <w:rPr>
          <w:b/>
          <w:i/>
        </w:rPr>
        <w:t>2</w:t>
      </w:r>
      <w:r w:rsidRPr="00931B64">
        <w:rPr>
          <w:b/>
          <w:i/>
        </w:rPr>
        <w:t xml:space="preserve">: The NR PSBCH </w:t>
      </w:r>
      <w:r w:rsidR="008712D1">
        <w:rPr>
          <w:b/>
          <w:i/>
        </w:rPr>
        <w:t xml:space="preserve">additionally </w:t>
      </w:r>
      <w:r w:rsidRPr="00931B64">
        <w:rPr>
          <w:b/>
          <w:i/>
        </w:rPr>
        <w:t xml:space="preserve">contains the following fields (analogous to the </w:t>
      </w:r>
      <w:r>
        <w:rPr>
          <w:b/>
          <w:i/>
        </w:rPr>
        <w:t>NR PBSCH</w:t>
      </w:r>
      <w:r w:rsidRPr="00931B64">
        <w:rPr>
          <w:b/>
          <w:i/>
        </w:rPr>
        <w:t>):</w:t>
      </w:r>
    </w:p>
    <w:p w14:paraId="0D9C942C" w14:textId="08F22D4D" w:rsidR="00B51F62" w:rsidRPr="00931B64" w:rsidRDefault="00B51F62" w:rsidP="00B51F62">
      <w:pPr>
        <w:pStyle w:val="ListParagraph"/>
        <w:numPr>
          <w:ilvl w:val="0"/>
          <w:numId w:val="32"/>
        </w:numPr>
        <w:rPr>
          <w:rFonts w:ascii="Times New Roman" w:hAnsi="Times New Roman"/>
          <w:b/>
          <w:i/>
        </w:rPr>
      </w:pPr>
    </w:p>
    <w:p w14:paraId="4AED2125" w14:textId="4DC09EFD" w:rsidR="00B51F62" w:rsidRPr="00931B64" w:rsidRDefault="00B647EC" w:rsidP="00B51F62">
      <w:pPr>
        <w:pStyle w:val="ListParagraph"/>
        <w:numPr>
          <w:ilvl w:val="0"/>
          <w:numId w:val="32"/>
        </w:numPr>
        <w:rPr>
          <w:rFonts w:ascii="Times New Roman" w:hAnsi="Times New Roman"/>
          <w:b/>
          <w:i/>
        </w:rPr>
      </w:pPr>
      <w:r>
        <w:rPr>
          <w:rFonts w:ascii="Times New Roman" w:hAnsi="Times New Roman"/>
          <w:b/>
          <w:i/>
        </w:rPr>
        <w:t xml:space="preserve">V2XBarred </w:t>
      </w:r>
      <w:r w:rsidR="00DB7BFF">
        <w:rPr>
          <w:rFonts w:ascii="Times New Roman" w:hAnsi="Times New Roman"/>
          <w:b/>
          <w:i/>
        </w:rPr>
        <w:t>to indicate if V2X operation is enabled on the carrier</w:t>
      </w:r>
    </w:p>
    <w:p w14:paraId="517EA8C2" w14:textId="1555C57D" w:rsidR="00B51F62" w:rsidRDefault="00DB7BFF" w:rsidP="00B51F62">
      <w:pPr>
        <w:pStyle w:val="ListParagraph"/>
        <w:numPr>
          <w:ilvl w:val="0"/>
          <w:numId w:val="32"/>
        </w:numPr>
        <w:rPr>
          <w:rFonts w:ascii="Times New Roman" w:hAnsi="Times New Roman"/>
          <w:b/>
          <w:i/>
        </w:rPr>
      </w:pPr>
      <w:r>
        <w:rPr>
          <w:rFonts w:ascii="Times New Roman" w:hAnsi="Times New Roman"/>
          <w:b/>
          <w:i/>
        </w:rPr>
        <w:t>FFS if a pointer towards more control information is included</w:t>
      </w:r>
    </w:p>
    <w:p w14:paraId="1685F9BF" w14:textId="77777777" w:rsidR="00124AA7" w:rsidRPr="00124AA7" w:rsidRDefault="00124AA7" w:rsidP="00124AA7">
      <w:pPr>
        <w:rPr>
          <w:b/>
          <w:i/>
        </w:rPr>
      </w:pPr>
    </w:p>
    <w:p w14:paraId="431900B5" w14:textId="2E51BB6E" w:rsidR="00B51F62" w:rsidRDefault="00582C6D" w:rsidP="00582C6D">
      <w:pPr>
        <w:pStyle w:val="Heading2"/>
      </w:pPr>
      <w:r>
        <w:t>Summary</w:t>
      </w:r>
    </w:p>
    <w:p w14:paraId="74C8ABD6" w14:textId="77777777" w:rsidR="00582C6D" w:rsidRDefault="00582C6D" w:rsidP="00582C6D">
      <w:r>
        <w:t>The PSBCH fields are summarized in Table 1.</w:t>
      </w:r>
    </w:p>
    <w:p w14:paraId="517530F2" w14:textId="77777777" w:rsidR="00582C6D" w:rsidRDefault="00582C6D" w:rsidP="00582C6D"/>
    <w:p w14:paraId="17E385AA" w14:textId="77777777" w:rsidR="00582C6D" w:rsidRDefault="00582C6D" w:rsidP="00582C6D">
      <w:pPr>
        <w:pStyle w:val="Caption"/>
        <w:keepNext/>
      </w:pPr>
      <w:r>
        <w:lastRenderedPageBreak/>
        <w:t xml:space="preserve">Table </w:t>
      </w:r>
      <w:fldSimple w:instr=" SEQ Table \* ARABIC ">
        <w:r>
          <w:rPr>
            <w:noProof/>
          </w:rPr>
          <w:t>1</w:t>
        </w:r>
      </w:fldSimple>
      <w:r>
        <w:t>. PSBCH fields</w:t>
      </w:r>
    </w:p>
    <w:tbl>
      <w:tblPr>
        <w:tblStyle w:val="TableGrid"/>
        <w:tblW w:w="0" w:type="auto"/>
        <w:tblLook w:val="04A0" w:firstRow="1" w:lastRow="0" w:firstColumn="1" w:lastColumn="0" w:noHBand="0" w:noVBand="1"/>
      </w:tblPr>
      <w:tblGrid>
        <w:gridCol w:w="4653"/>
        <w:gridCol w:w="4654"/>
      </w:tblGrid>
      <w:tr w:rsidR="00582C6D" w14:paraId="123EF279" w14:textId="77777777" w:rsidTr="00B80081">
        <w:tc>
          <w:tcPr>
            <w:tcW w:w="4653" w:type="dxa"/>
            <w:shd w:val="clear" w:color="auto" w:fill="D9D9D9" w:themeFill="background1" w:themeFillShade="D9"/>
          </w:tcPr>
          <w:p w14:paraId="0E8B84C1" w14:textId="77777777" w:rsidR="00582C6D" w:rsidRPr="00714852" w:rsidRDefault="00582C6D" w:rsidP="00B80081">
            <w:pPr>
              <w:jc w:val="center"/>
              <w:rPr>
                <w:b/>
              </w:rPr>
            </w:pPr>
            <w:r w:rsidRPr="00714852">
              <w:rPr>
                <w:b/>
              </w:rPr>
              <w:t>Field name</w:t>
            </w:r>
          </w:p>
        </w:tc>
        <w:tc>
          <w:tcPr>
            <w:tcW w:w="4654" w:type="dxa"/>
            <w:shd w:val="clear" w:color="auto" w:fill="D9D9D9" w:themeFill="background1" w:themeFillShade="D9"/>
          </w:tcPr>
          <w:p w14:paraId="1970AA38" w14:textId="77777777" w:rsidR="00582C6D" w:rsidRPr="00714852" w:rsidRDefault="00582C6D" w:rsidP="00B80081">
            <w:pPr>
              <w:jc w:val="center"/>
              <w:rPr>
                <w:b/>
              </w:rPr>
            </w:pPr>
            <w:r w:rsidRPr="00714852">
              <w:rPr>
                <w:b/>
              </w:rPr>
              <w:t>Description</w:t>
            </w:r>
          </w:p>
        </w:tc>
      </w:tr>
      <w:tr w:rsidR="00582C6D" w14:paraId="68BC9F69" w14:textId="77777777" w:rsidTr="00B80081">
        <w:tc>
          <w:tcPr>
            <w:tcW w:w="4653" w:type="dxa"/>
          </w:tcPr>
          <w:p w14:paraId="13E8D46A" w14:textId="71A03CB4" w:rsidR="00582C6D" w:rsidRPr="00714852" w:rsidRDefault="00582C6D" w:rsidP="00B80081">
            <w:pPr>
              <w:rPr>
                <w:b/>
              </w:rPr>
            </w:pPr>
            <w:r w:rsidRPr="00714852">
              <w:rPr>
                <w:b/>
              </w:rPr>
              <w:t>V2X</w:t>
            </w:r>
            <w:r w:rsidR="00513659">
              <w:rPr>
                <w:b/>
              </w:rPr>
              <w:t>Barred</w:t>
            </w:r>
          </w:p>
        </w:tc>
        <w:tc>
          <w:tcPr>
            <w:tcW w:w="4654" w:type="dxa"/>
          </w:tcPr>
          <w:p w14:paraId="6629B2C8" w14:textId="77777777" w:rsidR="00582C6D" w:rsidRDefault="00582C6D" w:rsidP="00B80081">
            <w:r>
              <w:t>Indicates if V2X operation is enabled on the carrier</w:t>
            </w:r>
          </w:p>
        </w:tc>
      </w:tr>
      <w:tr w:rsidR="00582C6D" w14:paraId="34B5E092" w14:textId="77777777" w:rsidTr="00B80081">
        <w:tc>
          <w:tcPr>
            <w:tcW w:w="4653" w:type="dxa"/>
          </w:tcPr>
          <w:p w14:paraId="273C698B" w14:textId="77777777" w:rsidR="00582C6D" w:rsidRPr="00714852" w:rsidRDefault="00582C6D" w:rsidP="00B80081">
            <w:pPr>
              <w:rPr>
                <w:b/>
              </w:rPr>
            </w:pPr>
            <w:r w:rsidRPr="00714852">
              <w:rPr>
                <w:b/>
              </w:rPr>
              <w:t>sl_Bandwidth</w:t>
            </w:r>
          </w:p>
        </w:tc>
        <w:tc>
          <w:tcPr>
            <w:tcW w:w="4654" w:type="dxa"/>
          </w:tcPr>
          <w:p w14:paraId="53A9D0A3" w14:textId="77777777" w:rsidR="00582C6D" w:rsidRDefault="00582C6D" w:rsidP="00B80081">
            <w:r>
              <w:t>Sidelink bandwidth</w:t>
            </w:r>
          </w:p>
        </w:tc>
      </w:tr>
      <w:tr w:rsidR="00C87048" w14:paraId="7923289F" w14:textId="77777777" w:rsidTr="00B80081">
        <w:tc>
          <w:tcPr>
            <w:tcW w:w="4653" w:type="dxa"/>
          </w:tcPr>
          <w:p w14:paraId="40751555" w14:textId="2B45BBB4" w:rsidR="00C87048" w:rsidRPr="00714852" w:rsidRDefault="00C87048" w:rsidP="00B80081">
            <w:pPr>
              <w:rPr>
                <w:b/>
              </w:rPr>
            </w:pPr>
            <w:r w:rsidRPr="00714852">
              <w:rPr>
                <w:b/>
              </w:rPr>
              <w:t>directFrameNumber</w:t>
            </w:r>
          </w:p>
        </w:tc>
        <w:tc>
          <w:tcPr>
            <w:tcW w:w="4654" w:type="dxa"/>
          </w:tcPr>
          <w:p w14:paraId="66C044FA" w14:textId="2D3EBB0A" w:rsidR="00C87048" w:rsidRDefault="00C87048" w:rsidP="00B80081">
            <w:r>
              <w:t>Frame number</w:t>
            </w:r>
          </w:p>
        </w:tc>
      </w:tr>
      <w:tr w:rsidR="00C87048" w14:paraId="01E77BF9" w14:textId="77777777" w:rsidTr="00B80081">
        <w:tc>
          <w:tcPr>
            <w:tcW w:w="4653" w:type="dxa"/>
          </w:tcPr>
          <w:p w14:paraId="54DA5AFD" w14:textId="5A9A2F85" w:rsidR="00C87048" w:rsidRPr="00714852" w:rsidRDefault="00C87048" w:rsidP="00B80081">
            <w:pPr>
              <w:rPr>
                <w:b/>
              </w:rPr>
            </w:pPr>
            <w:r w:rsidRPr="00714852">
              <w:rPr>
                <w:b/>
              </w:rPr>
              <w:t>directSlotNumber</w:t>
            </w:r>
          </w:p>
        </w:tc>
        <w:tc>
          <w:tcPr>
            <w:tcW w:w="4654" w:type="dxa"/>
          </w:tcPr>
          <w:p w14:paraId="57E1863B" w14:textId="681DE6B1" w:rsidR="00C87048" w:rsidRDefault="00C87048" w:rsidP="00B80081">
            <w:r>
              <w:t>Slot number</w:t>
            </w:r>
          </w:p>
        </w:tc>
      </w:tr>
      <w:tr w:rsidR="00C87048" w14:paraId="5FFEDCA1" w14:textId="77777777" w:rsidTr="00B80081">
        <w:tc>
          <w:tcPr>
            <w:tcW w:w="4653" w:type="dxa"/>
          </w:tcPr>
          <w:p w14:paraId="288BC092" w14:textId="5E280B49" w:rsidR="00C87048" w:rsidRPr="00714852" w:rsidRDefault="00C87048" w:rsidP="00B80081">
            <w:pPr>
              <w:rPr>
                <w:b/>
              </w:rPr>
            </w:pPr>
            <w:r w:rsidRPr="00714852">
              <w:rPr>
                <w:b/>
              </w:rPr>
              <w:t>Tdd_ConfigSL</w:t>
            </w:r>
          </w:p>
        </w:tc>
        <w:tc>
          <w:tcPr>
            <w:tcW w:w="4654" w:type="dxa"/>
          </w:tcPr>
          <w:p w14:paraId="146774F7" w14:textId="4145DA71" w:rsidR="00C87048" w:rsidRDefault="00C87048" w:rsidP="00B80081">
            <w:r>
              <w:t>TDD configuration on the carrier</w:t>
            </w:r>
          </w:p>
        </w:tc>
      </w:tr>
      <w:tr w:rsidR="00C87048" w14:paraId="38C1DF7D" w14:textId="77777777" w:rsidTr="00B80081">
        <w:tc>
          <w:tcPr>
            <w:tcW w:w="4653" w:type="dxa"/>
          </w:tcPr>
          <w:p w14:paraId="4F62EF78" w14:textId="2FDA029C" w:rsidR="00C87048" w:rsidRPr="00714852" w:rsidRDefault="00C87048" w:rsidP="00B80081">
            <w:pPr>
              <w:rPr>
                <w:b/>
              </w:rPr>
            </w:pPr>
            <w:r w:rsidRPr="00714852">
              <w:rPr>
                <w:b/>
              </w:rPr>
              <w:t>inCoverage</w:t>
            </w:r>
          </w:p>
        </w:tc>
        <w:tc>
          <w:tcPr>
            <w:tcW w:w="4654" w:type="dxa"/>
          </w:tcPr>
          <w:p w14:paraId="2189A669" w14:textId="59A2E12E" w:rsidR="00C87048" w:rsidRDefault="00C87048" w:rsidP="00B80081">
            <w:r>
              <w:t>Indicates if the UE is within NR/LTE coverage</w:t>
            </w:r>
          </w:p>
        </w:tc>
      </w:tr>
      <w:tr w:rsidR="00C87048" w14:paraId="5EE4C35B" w14:textId="77777777" w:rsidTr="00B80081">
        <w:tc>
          <w:tcPr>
            <w:tcW w:w="4653" w:type="dxa"/>
          </w:tcPr>
          <w:p w14:paraId="00A793FC" w14:textId="58A578A0" w:rsidR="00C87048" w:rsidRPr="00714852" w:rsidRDefault="00C87048" w:rsidP="00B80081">
            <w:pPr>
              <w:rPr>
                <w:b/>
              </w:rPr>
            </w:pPr>
            <w:r w:rsidRPr="00714852">
              <w:rPr>
                <w:b/>
                <w:i/>
              </w:rPr>
              <w:t>FFS: additionalControlInformation</w:t>
            </w:r>
          </w:p>
        </w:tc>
        <w:tc>
          <w:tcPr>
            <w:tcW w:w="4654" w:type="dxa"/>
          </w:tcPr>
          <w:p w14:paraId="37E4C84B" w14:textId="5F1186F0" w:rsidR="00C87048" w:rsidRDefault="00C87048" w:rsidP="00B80081">
            <w:r w:rsidRPr="00714852">
              <w:rPr>
                <w:i/>
              </w:rPr>
              <w:t>Pointer towards additional control information (e.g., resource pool configuration)</w:t>
            </w:r>
          </w:p>
        </w:tc>
      </w:tr>
      <w:tr w:rsidR="00C87048" w14:paraId="11234BDD" w14:textId="77777777" w:rsidTr="00B80081">
        <w:tc>
          <w:tcPr>
            <w:tcW w:w="4653" w:type="dxa"/>
          </w:tcPr>
          <w:p w14:paraId="092764C3" w14:textId="3E7285D8" w:rsidR="00C87048" w:rsidRPr="00714852" w:rsidRDefault="00C87048" w:rsidP="00B80081">
            <w:pPr>
              <w:rPr>
                <w:b/>
                <w:i/>
              </w:rPr>
            </w:pPr>
          </w:p>
        </w:tc>
        <w:tc>
          <w:tcPr>
            <w:tcW w:w="4654" w:type="dxa"/>
          </w:tcPr>
          <w:p w14:paraId="47513321" w14:textId="4A859572" w:rsidR="00C87048" w:rsidRPr="00714852" w:rsidRDefault="00C87048" w:rsidP="00B80081">
            <w:pPr>
              <w:rPr>
                <w:i/>
              </w:rPr>
            </w:pPr>
          </w:p>
        </w:tc>
      </w:tr>
    </w:tbl>
    <w:p w14:paraId="12220CB8" w14:textId="77777777" w:rsidR="00582C6D" w:rsidRDefault="00582C6D" w:rsidP="00582C6D"/>
    <w:p w14:paraId="10903585" w14:textId="77777777" w:rsidR="00582C6D" w:rsidRPr="00582C6D" w:rsidRDefault="00582C6D" w:rsidP="00582C6D"/>
    <w:p w14:paraId="0D315785" w14:textId="0D2746FF" w:rsidR="00B51F62" w:rsidRDefault="00714852" w:rsidP="00714852">
      <w:pPr>
        <w:pStyle w:val="Heading1"/>
      </w:pPr>
      <w:r>
        <w:t>Conclusion</w:t>
      </w:r>
    </w:p>
    <w:p w14:paraId="02370EA7" w14:textId="06734DCB" w:rsidR="00B51F62" w:rsidRDefault="00714852" w:rsidP="00582C6D">
      <w:r>
        <w:t xml:space="preserve">This contribution discussed the PBCH content. </w:t>
      </w:r>
      <w:r w:rsidR="00582C6D">
        <w:t xml:space="preserve"> The PSBCH fields are given in Table 1. </w:t>
      </w:r>
    </w:p>
    <w:p w14:paraId="107C093D" w14:textId="5ACEA185" w:rsidR="00582C6D" w:rsidRDefault="00582C6D" w:rsidP="00582C6D">
      <w:r>
        <w:t>More specifically, our proposals are as follows:</w:t>
      </w:r>
    </w:p>
    <w:p w14:paraId="317BC660" w14:textId="12C70DF3" w:rsidR="00582C6D" w:rsidRPr="00931B64" w:rsidRDefault="00582C6D" w:rsidP="00582C6D">
      <w:pPr>
        <w:rPr>
          <w:b/>
          <w:i/>
        </w:rPr>
      </w:pPr>
      <w:r w:rsidRPr="00931B64">
        <w:rPr>
          <w:b/>
          <w:i/>
        </w:rPr>
        <w:t>Proposal 1: The NR PSBCH contains the following fields (analogous to the LTE PSBCH):</w:t>
      </w:r>
    </w:p>
    <w:p w14:paraId="7476161B"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sl_Bandwidth</w:t>
      </w:r>
    </w:p>
    <w:p w14:paraId="713B03B7"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tdd_ConfigSL</w:t>
      </w:r>
    </w:p>
    <w:p w14:paraId="000A71B4"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directFrameNumber</w:t>
      </w:r>
    </w:p>
    <w:p w14:paraId="2BB8C15C"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directSlotNumber</w:t>
      </w:r>
    </w:p>
    <w:p w14:paraId="69DEBE63"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inCoverage</w:t>
      </w:r>
    </w:p>
    <w:p w14:paraId="213ACCE2" w14:textId="342665C6" w:rsidR="00582C6D" w:rsidRPr="00931B64" w:rsidRDefault="00582C6D" w:rsidP="00582C6D">
      <w:pPr>
        <w:rPr>
          <w:b/>
          <w:i/>
        </w:rPr>
      </w:pPr>
      <w:r w:rsidRPr="00931B64">
        <w:rPr>
          <w:b/>
          <w:i/>
        </w:rPr>
        <w:t xml:space="preserve">Proposal </w:t>
      </w:r>
      <w:r>
        <w:rPr>
          <w:b/>
          <w:i/>
        </w:rPr>
        <w:t>2</w:t>
      </w:r>
      <w:r w:rsidRPr="00931B64">
        <w:rPr>
          <w:b/>
          <w:i/>
        </w:rPr>
        <w:t xml:space="preserve">: The NR PSBCH </w:t>
      </w:r>
      <w:r w:rsidR="009D281D">
        <w:rPr>
          <w:b/>
          <w:i/>
        </w:rPr>
        <w:t xml:space="preserve">additionally </w:t>
      </w:r>
      <w:bookmarkStart w:id="2" w:name="_GoBack"/>
      <w:bookmarkEnd w:id="2"/>
      <w:r w:rsidRPr="00931B64">
        <w:rPr>
          <w:b/>
          <w:i/>
        </w:rPr>
        <w:t xml:space="preserve">contains the following fields (analogous to the </w:t>
      </w:r>
      <w:r>
        <w:rPr>
          <w:b/>
          <w:i/>
        </w:rPr>
        <w:t>NR PBSCH</w:t>
      </w:r>
      <w:r w:rsidRPr="00931B64">
        <w:rPr>
          <w:b/>
          <w:i/>
        </w:rPr>
        <w:t>):</w:t>
      </w:r>
    </w:p>
    <w:p w14:paraId="1C8FC7F1" w14:textId="348CB131" w:rsidR="00582C6D" w:rsidRPr="00931B64" w:rsidRDefault="00582C6D" w:rsidP="00582C6D">
      <w:pPr>
        <w:pStyle w:val="ListParagraph"/>
        <w:numPr>
          <w:ilvl w:val="0"/>
          <w:numId w:val="32"/>
        </w:numPr>
        <w:rPr>
          <w:rFonts w:ascii="Times New Roman" w:hAnsi="Times New Roman"/>
          <w:b/>
          <w:i/>
        </w:rPr>
      </w:pPr>
      <w:r>
        <w:rPr>
          <w:rFonts w:ascii="Times New Roman" w:hAnsi="Times New Roman"/>
          <w:b/>
          <w:i/>
        </w:rPr>
        <w:t>V2X</w:t>
      </w:r>
      <w:r w:rsidR="00B647EC">
        <w:rPr>
          <w:rFonts w:ascii="Times New Roman" w:hAnsi="Times New Roman"/>
          <w:b/>
          <w:i/>
        </w:rPr>
        <w:t>Barr</w:t>
      </w:r>
      <w:r>
        <w:rPr>
          <w:rFonts w:ascii="Times New Roman" w:hAnsi="Times New Roman"/>
          <w:b/>
          <w:i/>
        </w:rPr>
        <w:t>ed to indicate if V2X operation is enabled on the carrier</w:t>
      </w:r>
    </w:p>
    <w:p w14:paraId="52F63713" w14:textId="77777777" w:rsidR="00582C6D" w:rsidRPr="00931B64" w:rsidRDefault="00582C6D" w:rsidP="00582C6D">
      <w:pPr>
        <w:pStyle w:val="ListParagraph"/>
        <w:numPr>
          <w:ilvl w:val="0"/>
          <w:numId w:val="32"/>
        </w:numPr>
        <w:rPr>
          <w:rFonts w:ascii="Times New Roman" w:hAnsi="Times New Roman"/>
          <w:b/>
          <w:i/>
        </w:rPr>
      </w:pPr>
      <w:r>
        <w:rPr>
          <w:rFonts w:ascii="Times New Roman" w:hAnsi="Times New Roman"/>
          <w:b/>
          <w:i/>
        </w:rPr>
        <w:t>FFS if a pointer towards more control information is included</w:t>
      </w:r>
    </w:p>
    <w:p w14:paraId="44174408" w14:textId="77777777" w:rsidR="00582C6D" w:rsidRDefault="00582C6D" w:rsidP="00582C6D"/>
    <w:p w14:paraId="6485DD8A" w14:textId="4A359DE6" w:rsidR="00B51F62" w:rsidRDefault="001F4229" w:rsidP="001F4229">
      <w:pPr>
        <w:pStyle w:val="Heading1"/>
      </w:pPr>
      <w:r>
        <w:t>References</w:t>
      </w:r>
    </w:p>
    <w:p w14:paraId="05F761D1" w14:textId="38903311" w:rsidR="001F4229" w:rsidRDefault="001F4229" w:rsidP="001F4229">
      <w:r>
        <w:t>[1] TS36.331</w:t>
      </w:r>
    </w:p>
    <w:p w14:paraId="0F03DF3B" w14:textId="21338790" w:rsidR="001F4229" w:rsidRPr="001F4229" w:rsidRDefault="001F4229" w:rsidP="001F4229">
      <w:r>
        <w:t>[2] TS38.331</w:t>
      </w:r>
    </w:p>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2041CA" w16cid:durableId="20F7AAAE"/>
  <w16cid:commentId w16cid:paraId="12644506" w16cid:durableId="20F7AA87"/>
  <w16cid:commentId w16cid:paraId="27417BE6" w16cid:durableId="20F7AB03"/>
  <w16cid:commentId w16cid:paraId="3699A4F7" w16cid:durableId="20F7AD0B"/>
  <w16cid:commentId w16cid:paraId="43296D57" w16cid:durableId="20F7AD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0013D" w14:textId="77777777" w:rsidR="003978F3" w:rsidRDefault="003978F3">
      <w:r>
        <w:separator/>
      </w:r>
    </w:p>
  </w:endnote>
  <w:endnote w:type="continuationSeparator" w:id="0">
    <w:p w14:paraId="245656D8" w14:textId="77777777" w:rsidR="003978F3" w:rsidRDefault="0039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D074D" w14:textId="77777777" w:rsidR="003978F3" w:rsidRDefault="003978F3">
      <w:r>
        <w:separator/>
      </w:r>
    </w:p>
  </w:footnote>
  <w:footnote w:type="continuationSeparator" w:id="0">
    <w:p w14:paraId="6A1661A5" w14:textId="77777777" w:rsidR="003978F3" w:rsidRDefault="00397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1"/>
  </w:num>
  <w:num w:numId="4">
    <w:abstractNumId w:val="30"/>
  </w:num>
  <w:num w:numId="5">
    <w:abstractNumId w:val="9"/>
  </w:num>
  <w:num w:numId="6">
    <w:abstractNumId w:val="18"/>
  </w:num>
  <w:num w:numId="7">
    <w:abstractNumId w:val="12"/>
  </w:num>
  <w:num w:numId="8">
    <w:abstractNumId w:val="17"/>
  </w:num>
  <w:num w:numId="9">
    <w:abstractNumId w:val="29"/>
  </w:num>
  <w:num w:numId="10">
    <w:abstractNumId w:val="13"/>
  </w:num>
  <w:num w:numId="11">
    <w:abstractNumId w:val="14"/>
  </w:num>
  <w:num w:numId="12">
    <w:abstractNumId w:val="15"/>
  </w:num>
  <w:num w:numId="13">
    <w:abstractNumId w:val="5"/>
  </w:num>
  <w:num w:numId="14">
    <w:abstractNumId w:val="32"/>
  </w:num>
  <w:num w:numId="15">
    <w:abstractNumId w:val="8"/>
  </w:num>
  <w:num w:numId="16">
    <w:abstractNumId w:val="3"/>
  </w:num>
  <w:num w:numId="17">
    <w:abstractNumId w:val="24"/>
  </w:num>
  <w:num w:numId="18">
    <w:abstractNumId w:val="10"/>
  </w:num>
  <w:num w:numId="19">
    <w:abstractNumId w:val="31"/>
  </w:num>
  <w:num w:numId="20">
    <w:abstractNumId w:val="6"/>
  </w:num>
  <w:num w:numId="21">
    <w:abstractNumId w:val="28"/>
  </w:num>
  <w:num w:numId="22">
    <w:abstractNumId w:val="4"/>
  </w:num>
  <w:num w:numId="23">
    <w:abstractNumId w:val="27"/>
  </w:num>
  <w:num w:numId="24">
    <w:abstractNumId w:val="20"/>
  </w:num>
  <w:num w:numId="25">
    <w:abstractNumId w:val="26"/>
  </w:num>
  <w:num w:numId="26">
    <w:abstractNumId w:val="16"/>
  </w:num>
  <w:num w:numId="27">
    <w:abstractNumId w:val="23"/>
  </w:num>
  <w:num w:numId="28">
    <w:abstractNumId w:val="19"/>
  </w:num>
  <w:num w:numId="29">
    <w:abstractNumId w:val="25"/>
  </w:num>
  <w:num w:numId="30">
    <w:abstractNumId w:val="2"/>
  </w:num>
  <w:num w:numId="31">
    <w:abstractNumId w:val="0"/>
  </w:num>
  <w:num w:numId="32">
    <w:abstractNumId w:val="33"/>
  </w:num>
  <w:num w:numId="33">
    <w:abstractNumId w:val="1"/>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110"/>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7E8"/>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59C"/>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303"/>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8F3"/>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38D"/>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FDA"/>
    <w:rsid w:val="00423641"/>
    <w:rsid w:val="004237F1"/>
    <w:rsid w:val="00423B90"/>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1E43"/>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101"/>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3659"/>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66F"/>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D1"/>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5DB"/>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281D"/>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B42"/>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6A1"/>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47EC"/>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5E8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082"/>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048"/>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444"/>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383B"/>
    <w:rsid w:val="00D9503C"/>
    <w:rsid w:val="00D95104"/>
    <w:rsid w:val="00D95600"/>
    <w:rsid w:val="00D95900"/>
    <w:rsid w:val="00D95F0E"/>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DD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6D7"/>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0A4"/>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D4F73-FE20-4DB2-8CC9-E81AC6A97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2019-08-15T19:17:00Z</dcterms:created>
  <dcterms:modified xsi:type="dcterms:W3CDTF">2019-08-15T19:17:00Z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