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79441" w14:textId="512ECF82" w:rsidR="00CC2806" w:rsidRDefault="00AD19FE" w:rsidP="00AF072B">
      <w:pPr>
        <w:tabs>
          <w:tab w:val="center" w:pos="4536"/>
          <w:tab w:val="right" w:pos="8280"/>
          <w:tab w:val="right" w:pos="9639"/>
        </w:tabs>
        <w:ind w:right="2"/>
        <w:rPr>
          <w:rFonts w:ascii="Arial" w:hAnsi="Arial" w:cs="Arial"/>
          <w:b/>
          <w:bCs/>
          <w:sz w:val="28"/>
        </w:rPr>
      </w:pPr>
      <w:r w:rsidRPr="00AD19FE">
        <w:rPr>
          <w:rFonts w:ascii="Arial" w:hAnsi="Arial" w:cs="Arial"/>
          <w:b/>
          <w:bCs/>
          <w:sz w:val="28"/>
        </w:rPr>
        <w:t>3GPP TSG RAN WG1 #9</w:t>
      </w:r>
      <w:r w:rsidR="001D0BB8">
        <w:rPr>
          <w:rFonts w:ascii="Arial" w:hAnsi="Arial" w:cs="Arial"/>
          <w:b/>
          <w:bCs/>
          <w:sz w:val="28"/>
        </w:rPr>
        <w:t>8</w:t>
      </w:r>
      <w:r w:rsidR="00CC2806">
        <w:rPr>
          <w:rFonts w:ascii="Arial" w:hAnsi="Arial" w:cs="Arial"/>
          <w:b/>
          <w:bCs/>
          <w:sz w:val="28"/>
        </w:rPr>
        <w:tab/>
      </w:r>
      <w:r w:rsidR="00CC2806">
        <w:rPr>
          <w:rFonts w:ascii="Arial" w:hAnsi="Arial" w:cs="Arial"/>
          <w:b/>
          <w:bCs/>
          <w:sz w:val="28"/>
        </w:rPr>
        <w:tab/>
      </w:r>
      <w:r w:rsidR="00C8579F">
        <w:rPr>
          <w:rFonts w:ascii="Arial" w:hAnsi="Arial" w:cs="Arial"/>
          <w:b/>
          <w:bCs/>
          <w:sz w:val="28"/>
        </w:rPr>
        <w:t>R</w:t>
      </w:r>
      <w:r w:rsidR="00C8579F" w:rsidRPr="00C8579F">
        <w:rPr>
          <w:rFonts w:ascii="Arial" w:hAnsi="Arial" w:cs="Arial"/>
          <w:b/>
          <w:bCs/>
          <w:sz w:val="28"/>
        </w:rPr>
        <w:t>1-1908734</w:t>
      </w:r>
    </w:p>
    <w:p w14:paraId="7CC2CB61" w14:textId="58013615" w:rsidR="001D0BB8" w:rsidRPr="00AD19FE" w:rsidRDefault="001D0BB8" w:rsidP="00AF072B">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Prague</w:t>
      </w:r>
      <w:r w:rsidRPr="006579B5">
        <w:rPr>
          <w:rFonts w:ascii="Arial" w:eastAsia="MS Mincho" w:hAnsi="Arial" w:cs="Arial"/>
          <w:b/>
          <w:bCs/>
          <w:sz w:val="28"/>
          <w:lang w:eastAsia="ja-JP"/>
        </w:rPr>
        <w:t xml:space="preserve">, </w:t>
      </w:r>
      <w:r w:rsidRPr="00E91EDE">
        <w:rPr>
          <w:rFonts w:ascii="Arial" w:eastAsia="MS Mincho" w:hAnsi="Arial" w:cs="Arial"/>
          <w:b/>
          <w:bCs/>
          <w:sz w:val="28"/>
          <w:lang w:eastAsia="ja-JP"/>
        </w:rPr>
        <w:t>Czech Republic, 26th – 30th August 2019</w:t>
      </w:r>
    </w:p>
    <w:p w14:paraId="0BF5A4E8" w14:textId="3F9BF0BF" w:rsidR="00AF072B" w:rsidRDefault="00AF072B" w:rsidP="00AF072B">
      <w:pPr>
        <w:pBdr>
          <w:top w:val="single" w:sz="4" w:space="1" w:color="auto"/>
        </w:pBdr>
        <w:spacing w:after="0"/>
        <w:rPr>
          <w:rFonts w:ascii="Arial" w:hAnsi="Arial" w:cs="Arial"/>
          <w:b/>
          <w:kern w:val="2"/>
          <w:sz w:val="24"/>
          <w:lang w:eastAsia="zh-CN"/>
        </w:rPr>
      </w:pPr>
    </w:p>
    <w:p w14:paraId="5C6FA7E0" w14:textId="77777777" w:rsidR="001D0BB8" w:rsidRPr="00247570" w:rsidRDefault="001D0BB8" w:rsidP="00AF072B">
      <w:pPr>
        <w:pBdr>
          <w:top w:val="single" w:sz="4" w:space="1" w:color="auto"/>
        </w:pBdr>
        <w:spacing w:after="0"/>
        <w:rPr>
          <w:rFonts w:ascii="Arial" w:hAnsi="Arial" w:cs="Arial"/>
          <w:b/>
          <w:kern w:val="2"/>
          <w:sz w:val="24"/>
          <w:lang w:eastAsia="zh-CN"/>
        </w:rPr>
      </w:pPr>
    </w:p>
    <w:p w14:paraId="69C41712"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Agenda Item:</w:t>
      </w:r>
      <w:r w:rsidRPr="00493737">
        <w:rPr>
          <w:rFonts w:ascii="Arial" w:hAnsi="Arial" w:cs="Arial"/>
          <w:b/>
          <w:bCs/>
          <w:sz w:val="24"/>
          <w:szCs w:val="20"/>
          <w:lang w:val="en-GB" w:eastAsia="zh-CN"/>
        </w:rPr>
        <w:tab/>
        <w:t>7.2.4.</w:t>
      </w:r>
      <w:r>
        <w:rPr>
          <w:rFonts w:ascii="Arial" w:hAnsi="Arial" w:cs="Arial"/>
          <w:b/>
          <w:bCs/>
          <w:sz w:val="24"/>
          <w:szCs w:val="20"/>
          <w:lang w:val="en-GB" w:eastAsia="zh-CN"/>
        </w:rPr>
        <w:t>7</w:t>
      </w:r>
    </w:p>
    <w:p w14:paraId="22B5EF9F" w14:textId="130798E5"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Source:</w:t>
      </w:r>
      <w:r w:rsidRPr="00493737">
        <w:rPr>
          <w:rFonts w:ascii="Arial" w:hAnsi="Arial" w:cs="Arial"/>
          <w:b/>
          <w:bCs/>
          <w:sz w:val="24"/>
          <w:szCs w:val="20"/>
          <w:lang w:val="en-GB" w:eastAsia="zh-CN"/>
        </w:rPr>
        <w:tab/>
        <w:t>Lenovo</w:t>
      </w:r>
      <w:r w:rsidRPr="00493737">
        <w:rPr>
          <w:rFonts w:ascii="Arial" w:hAnsi="Arial" w:cs="Arial" w:hint="eastAsia"/>
          <w:b/>
          <w:bCs/>
          <w:sz w:val="24"/>
          <w:szCs w:val="20"/>
          <w:lang w:val="en-GB" w:eastAsia="zh-CN"/>
        </w:rPr>
        <w:t>, Motorola Mobility</w:t>
      </w:r>
      <w:r w:rsidR="00D118DB">
        <w:rPr>
          <w:rFonts w:ascii="Arial" w:hAnsi="Arial" w:cs="Arial"/>
          <w:b/>
          <w:bCs/>
          <w:sz w:val="24"/>
          <w:szCs w:val="20"/>
          <w:lang w:val="en-GB" w:eastAsia="zh-CN"/>
        </w:rPr>
        <w:t xml:space="preserve">, </w:t>
      </w:r>
      <w:r w:rsidR="00D118DB" w:rsidRPr="00D44CE1">
        <w:rPr>
          <w:rFonts w:ascii="Arial" w:hAnsi="Arial" w:cs="Arial"/>
          <w:b/>
          <w:bCs/>
          <w:color w:val="000000" w:themeColor="text1"/>
          <w:sz w:val="24"/>
          <w:szCs w:val="20"/>
          <w:lang w:val="en-GB" w:eastAsia="zh-CN"/>
        </w:rPr>
        <w:t>Deutsche Telekom</w:t>
      </w:r>
    </w:p>
    <w:p w14:paraId="38B677AF" w14:textId="530018CF"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Title:</w:t>
      </w:r>
      <w:r w:rsidRPr="00493737">
        <w:rPr>
          <w:rFonts w:ascii="Arial" w:hAnsi="Arial" w:cs="Arial"/>
          <w:b/>
          <w:bCs/>
          <w:sz w:val="24"/>
          <w:szCs w:val="20"/>
          <w:lang w:val="en-GB" w:eastAsia="zh-CN"/>
        </w:rPr>
        <w:tab/>
      </w:r>
      <w:r w:rsidRPr="00EF6116">
        <w:rPr>
          <w:rFonts w:ascii="Arial" w:hAnsi="Arial" w:cs="Arial"/>
          <w:b/>
          <w:bCs/>
          <w:szCs w:val="20"/>
          <w:lang w:val="en-GB" w:eastAsia="zh-CN"/>
        </w:rPr>
        <w:t>NR Uu controlling LTE sidelink</w:t>
      </w:r>
    </w:p>
    <w:p w14:paraId="4B1A5502" w14:textId="77777777" w:rsidR="00AF072B" w:rsidRPr="00493737" w:rsidRDefault="00AF072B" w:rsidP="00AF072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Document for:</w:t>
      </w:r>
      <w:r w:rsidRPr="00493737">
        <w:rPr>
          <w:rFonts w:ascii="Arial" w:hAnsi="Arial" w:cs="Arial"/>
          <w:b/>
          <w:bCs/>
          <w:sz w:val="24"/>
          <w:szCs w:val="20"/>
          <w:lang w:val="en-GB" w:eastAsia="zh-CN"/>
        </w:rPr>
        <w:tab/>
        <w:t>Discussion</w:t>
      </w:r>
    </w:p>
    <w:p w14:paraId="4C3BFECC" w14:textId="77777777" w:rsidR="00D7536D" w:rsidRDefault="004845AB"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14:paraId="75E7F811" w14:textId="13308829" w:rsidR="00881BA9" w:rsidRPr="00881BA9" w:rsidRDefault="00881BA9" w:rsidP="00881BA9">
      <w:pPr>
        <w:pStyle w:val="af6"/>
        <w:ind w:left="0"/>
        <w:rPr>
          <w:rFonts w:ascii="Times New Roman" w:hAnsi="Times New Roman"/>
          <w:lang w:val="en-GB"/>
        </w:rPr>
      </w:pPr>
      <w:r w:rsidRPr="00881BA9">
        <w:rPr>
          <w:rFonts w:ascii="Times New Roman" w:hAnsi="Times New Roman" w:hint="eastAsia"/>
        </w:rPr>
        <w:t xml:space="preserve">In 3GPP </w:t>
      </w:r>
      <w:r w:rsidRPr="00881BA9">
        <w:rPr>
          <w:rFonts w:ascii="Times New Roman" w:hAnsi="Times New Roman"/>
        </w:rPr>
        <w:t>RAN1 #9</w:t>
      </w:r>
      <w:r w:rsidR="001D0BB8">
        <w:rPr>
          <w:rFonts w:ascii="Times New Roman" w:hAnsi="Times New Roman"/>
        </w:rPr>
        <w:t>7</w:t>
      </w:r>
      <w:r w:rsidRPr="00881BA9">
        <w:rPr>
          <w:rFonts w:ascii="Times New Roman" w:hAnsi="Times New Roman" w:hint="eastAsia"/>
        </w:rPr>
        <w:t xml:space="preserve"> meeting, </w:t>
      </w:r>
      <w:r w:rsidRPr="00881BA9">
        <w:rPr>
          <w:rFonts w:ascii="Times New Roman" w:hAnsi="Times New Roman"/>
        </w:rPr>
        <w:t xml:space="preserve">agreements </w:t>
      </w:r>
      <w:r w:rsidRPr="00881BA9">
        <w:rPr>
          <w:rFonts w:ascii="Times New Roman" w:hAnsi="Times New Roman" w:hint="eastAsia"/>
        </w:rPr>
        <w:t>related to</w:t>
      </w:r>
      <w:r w:rsidRPr="00881BA9">
        <w:rPr>
          <w:rFonts w:ascii="Times New Roman" w:hAnsi="Times New Roman"/>
        </w:rPr>
        <w:t xml:space="preserve"> NR-Uu controlled LTE sidelink transmissions</w:t>
      </w:r>
      <w:r w:rsidRPr="00881BA9">
        <w:rPr>
          <w:rFonts w:ascii="Times New Roman" w:hAnsi="Times New Roman"/>
          <w:lang w:val="en-GB"/>
        </w:rPr>
        <w:t xml:space="preserve"> is as follows:</w:t>
      </w:r>
    </w:p>
    <w:p w14:paraId="5DE03B4A" w14:textId="77777777" w:rsidR="001D0BB8" w:rsidRPr="00653C8C" w:rsidRDefault="001D0BB8" w:rsidP="001D0BB8">
      <w:pPr>
        <w:rPr>
          <w:szCs w:val="20"/>
        </w:rPr>
      </w:pPr>
      <w:r w:rsidRPr="00653C8C">
        <w:rPr>
          <w:szCs w:val="20"/>
          <w:highlight w:val="green"/>
        </w:rPr>
        <w:t>Agreements</w:t>
      </w:r>
      <w:r w:rsidRPr="00653C8C">
        <w:rPr>
          <w:szCs w:val="20"/>
        </w:rPr>
        <w:t>:</w:t>
      </w:r>
    </w:p>
    <w:p w14:paraId="7E4F5D9F" w14:textId="77777777" w:rsidR="001D0BB8" w:rsidRPr="00653C8C" w:rsidRDefault="001D0BB8" w:rsidP="001D0BB8">
      <w:pPr>
        <w:pStyle w:val="af6"/>
        <w:numPr>
          <w:ilvl w:val="0"/>
          <w:numId w:val="49"/>
        </w:numPr>
        <w:snapToGrid/>
        <w:spacing w:after="160" w:line="259" w:lineRule="auto"/>
        <w:contextualSpacing/>
        <w:rPr>
          <w:szCs w:val="20"/>
        </w:rPr>
      </w:pPr>
      <w:r w:rsidRPr="00653C8C">
        <w:rPr>
          <w:szCs w:val="20"/>
        </w:rPr>
        <w:t>RRC-based activation/deactivation is not supported</w:t>
      </w:r>
    </w:p>
    <w:p w14:paraId="45C79180" w14:textId="77777777" w:rsidR="001D0BB8" w:rsidRPr="00653C8C" w:rsidRDefault="001D0BB8" w:rsidP="001D0BB8">
      <w:pPr>
        <w:pStyle w:val="af6"/>
        <w:numPr>
          <w:ilvl w:val="0"/>
          <w:numId w:val="49"/>
        </w:numPr>
        <w:snapToGrid/>
        <w:spacing w:after="160" w:line="259" w:lineRule="auto"/>
        <w:contextualSpacing/>
        <w:rPr>
          <w:szCs w:val="20"/>
        </w:rPr>
      </w:pPr>
      <w:r w:rsidRPr="00653C8C">
        <w:rPr>
          <w:szCs w:val="20"/>
        </w:rPr>
        <w:t xml:space="preserve">DCI-based activation/deactivation is supported </w:t>
      </w:r>
    </w:p>
    <w:p w14:paraId="1425B558" w14:textId="77777777" w:rsidR="001D0BB8" w:rsidRPr="00653C8C" w:rsidRDefault="001D0BB8" w:rsidP="001D0BB8">
      <w:pPr>
        <w:pStyle w:val="af6"/>
        <w:numPr>
          <w:ilvl w:val="1"/>
          <w:numId w:val="49"/>
        </w:numPr>
        <w:snapToGrid/>
        <w:spacing w:after="160" w:line="259" w:lineRule="auto"/>
        <w:contextualSpacing/>
        <w:rPr>
          <w:szCs w:val="20"/>
        </w:rPr>
      </w:pPr>
      <w:r w:rsidRPr="00653C8C">
        <w:rPr>
          <w:szCs w:val="20"/>
        </w:rPr>
        <w:t>Support of LTE PC5 scheduling by NR Uu (mode 3-like )</w:t>
      </w:r>
      <w:r w:rsidRPr="00653C8C">
        <w:rPr>
          <w:rFonts w:eastAsia="Malgun Gothic"/>
          <w:i/>
          <w:szCs w:val="20"/>
          <w:lang w:eastAsia="ko-KR"/>
        </w:rPr>
        <w:t xml:space="preserve"> </w:t>
      </w:r>
      <w:r w:rsidRPr="00653C8C">
        <w:rPr>
          <w:szCs w:val="20"/>
        </w:rPr>
        <w:t>is based on UE capability</w:t>
      </w:r>
    </w:p>
    <w:p w14:paraId="05AA9C48" w14:textId="77777777" w:rsidR="001D0BB8" w:rsidRPr="00653C8C" w:rsidRDefault="001D0BB8" w:rsidP="001D0BB8">
      <w:pPr>
        <w:pStyle w:val="af6"/>
        <w:numPr>
          <w:ilvl w:val="1"/>
          <w:numId w:val="49"/>
        </w:numPr>
        <w:snapToGrid/>
        <w:spacing w:after="160" w:line="259" w:lineRule="auto"/>
        <w:contextualSpacing/>
        <w:rPr>
          <w:szCs w:val="20"/>
        </w:rPr>
      </w:pPr>
      <w:r w:rsidRPr="00653C8C">
        <w:rPr>
          <w:szCs w:val="20"/>
        </w:rPr>
        <w:t>NR DCI provides the fields of DCI 5A in LTE-V that are related to SPS scheduling</w:t>
      </w:r>
    </w:p>
    <w:p w14:paraId="7D3A292E" w14:textId="77777777" w:rsidR="001D0BB8" w:rsidRPr="00653C8C" w:rsidRDefault="001D0BB8" w:rsidP="001D0BB8">
      <w:pPr>
        <w:pStyle w:val="af6"/>
        <w:numPr>
          <w:ilvl w:val="1"/>
          <w:numId w:val="49"/>
        </w:numPr>
        <w:snapToGrid/>
        <w:spacing w:after="160" w:line="259" w:lineRule="auto"/>
        <w:contextualSpacing/>
        <w:rPr>
          <w:szCs w:val="20"/>
        </w:rPr>
      </w:pPr>
      <w:r w:rsidRPr="00653C8C">
        <w:rPr>
          <w:szCs w:val="20"/>
        </w:rPr>
        <w:t>The size of DCI for activation/deactivation is one of the DCI size(s) that will be defined for NR Uu scheduling NR V2V</w:t>
      </w:r>
    </w:p>
    <w:p w14:paraId="3B4ABE4D" w14:textId="77777777" w:rsidR="001D0BB8" w:rsidRPr="00653C8C" w:rsidRDefault="001D0BB8" w:rsidP="001D0BB8">
      <w:pPr>
        <w:pStyle w:val="af6"/>
        <w:numPr>
          <w:ilvl w:val="2"/>
          <w:numId w:val="49"/>
        </w:numPr>
        <w:snapToGrid/>
        <w:spacing w:after="160" w:line="259" w:lineRule="auto"/>
        <w:contextualSpacing/>
        <w:rPr>
          <w:szCs w:val="20"/>
        </w:rPr>
      </w:pPr>
      <w:r w:rsidRPr="00653C8C">
        <w:rPr>
          <w:szCs w:val="20"/>
        </w:rPr>
        <w:t>FFS whether the DCI format is the same as one of the DCI formats that will be defined for NR Uu scheduling NR V2V</w:t>
      </w:r>
    </w:p>
    <w:p w14:paraId="3D735BBA" w14:textId="77777777" w:rsidR="001D0BB8" w:rsidRPr="00653C8C" w:rsidRDefault="001D0BB8" w:rsidP="001D0BB8">
      <w:pPr>
        <w:pStyle w:val="af6"/>
        <w:numPr>
          <w:ilvl w:val="1"/>
          <w:numId w:val="49"/>
        </w:numPr>
        <w:snapToGrid/>
        <w:spacing w:after="160" w:line="259" w:lineRule="auto"/>
        <w:contextualSpacing/>
        <w:rPr>
          <w:szCs w:val="20"/>
        </w:rPr>
      </w:pPr>
      <w:r w:rsidRPr="00653C8C">
        <w:rPr>
          <w:szCs w:val="20"/>
        </w:rPr>
        <w:t>Activation/deactivation applies to the first LTE subframe after Z+X ms after receiving the DCI</w:t>
      </w:r>
    </w:p>
    <w:p w14:paraId="0D92BA8D" w14:textId="77777777" w:rsidR="001D0BB8" w:rsidRPr="00653C8C" w:rsidRDefault="001D0BB8" w:rsidP="001D0BB8">
      <w:pPr>
        <w:pStyle w:val="af6"/>
        <w:numPr>
          <w:ilvl w:val="2"/>
          <w:numId w:val="49"/>
        </w:numPr>
        <w:snapToGrid/>
        <w:spacing w:after="160" w:line="259" w:lineRule="auto"/>
        <w:contextualSpacing/>
        <w:rPr>
          <w:szCs w:val="20"/>
        </w:rPr>
      </w:pPr>
      <w:r w:rsidRPr="00653C8C">
        <w:rPr>
          <w:szCs w:val="20"/>
        </w:rPr>
        <w:t>Z is the same timing offset in current LTE V2X specs</w:t>
      </w:r>
    </w:p>
    <w:p w14:paraId="510B6DBE" w14:textId="77777777" w:rsidR="001D0BB8" w:rsidRPr="00653C8C" w:rsidRDefault="001D0BB8" w:rsidP="001D0BB8">
      <w:pPr>
        <w:pStyle w:val="af6"/>
        <w:numPr>
          <w:ilvl w:val="2"/>
          <w:numId w:val="49"/>
        </w:numPr>
        <w:snapToGrid/>
        <w:spacing w:after="160" w:line="259" w:lineRule="auto"/>
        <w:contextualSpacing/>
        <w:rPr>
          <w:szCs w:val="20"/>
        </w:rPr>
      </w:pPr>
      <w:r w:rsidRPr="00653C8C">
        <w:rPr>
          <w:szCs w:val="20"/>
        </w:rPr>
        <w:t>X&gt;0. FFS value(s) of X, and if one or multiple values of X are possible</w:t>
      </w:r>
    </w:p>
    <w:p w14:paraId="2074E431" w14:textId="4EEE7A89" w:rsidR="00EB22E6" w:rsidRPr="004C453B" w:rsidRDefault="009839CC" w:rsidP="00B04C4D">
      <w:pPr>
        <w:jc w:val="both"/>
        <w:rPr>
          <w:sz w:val="20"/>
          <w:lang w:val="en-GB" w:eastAsia="zh-CN"/>
        </w:rPr>
      </w:pPr>
      <w:r>
        <w:t>This document discusses</w:t>
      </w:r>
      <w:r w:rsidRPr="00FB2234">
        <w:t xml:space="preserve"> </w:t>
      </w:r>
      <w:r w:rsidR="001B3237">
        <w:t>the related details from RAN</w:t>
      </w:r>
      <w:r w:rsidR="00EF6116">
        <w:t>1</w:t>
      </w:r>
      <w:r w:rsidR="001B3237">
        <w:t xml:space="preserve"> perspective</w:t>
      </w:r>
      <w:r w:rsidRPr="00FB2234">
        <w:t>.</w:t>
      </w:r>
      <w:r w:rsidRPr="004C453B">
        <w:rPr>
          <w:sz w:val="20"/>
          <w:lang w:val="en-GB" w:eastAsia="zh-CN"/>
        </w:rPr>
        <w:t xml:space="preserve"> </w:t>
      </w:r>
    </w:p>
    <w:p w14:paraId="3FE501B5" w14:textId="5C107567" w:rsidR="001463A9" w:rsidRDefault="006F5185"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14:paraId="6005A4B8" w14:textId="7B922FD8" w:rsidR="007822EC" w:rsidRDefault="009F507F" w:rsidP="00EB22E6">
      <w:pPr>
        <w:pStyle w:val="2"/>
        <w:ind w:left="578" w:hanging="578"/>
      </w:pPr>
      <w:r w:rsidRPr="00483934">
        <w:t>Implementation of DCI based Activation/ Deactivation</w:t>
      </w:r>
    </w:p>
    <w:p w14:paraId="1DD02830" w14:textId="72FBC8FE" w:rsidR="00EB22E6" w:rsidRDefault="00EB22E6" w:rsidP="00EB22E6">
      <w:pPr>
        <w:jc w:val="both"/>
      </w:pPr>
      <w:r>
        <w:rPr>
          <w:lang w:val="en-GB"/>
        </w:rPr>
        <w:t xml:space="preserve">As one option, NR </w:t>
      </w:r>
      <w:r>
        <w:t>DCI format X</w:t>
      </w:r>
      <w:r w:rsidRPr="00EF6116">
        <w:t xml:space="preserve"> </w:t>
      </w:r>
      <w:r>
        <w:t>could</w:t>
      </w:r>
      <w:r w:rsidRPr="00EF6116">
        <w:t xml:space="preserve"> indicat</w:t>
      </w:r>
      <w:r>
        <w:t>e</w:t>
      </w:r>
      <w:r w:rsidRPr="00EF6116">
        <w:t xml:space="preserve"> the activation/release of an SL SPS configuration (SPS configuration </w:t>
      </w:r>
      <w:r>
        <w:t xml:space="preserve">is </w:t>
      </w:r>
      <w:r w:rsidRPr="00EF6116">
        <w:t xml:space="preserve">signaled via </w:t>
      </w:r>
      <w:r>
        <w:t xml:space="preserve">NR </w:t>
      </w:r>
      <w:r w:rsidRPr="00EF6116">
        <w:t>RRC signaling</w:t>
      </w:r>
      <w:r>
        <w:t xml:space="preserve"> containing an OCTET STRING defined in LTE specification</w:t>
      </w:r>
      <w:r w:rsidRPr="00EF6116">
        <w:t>)</w:t>
      </w:r>
      <w:r>
        <w:t xml:space="preserve">. The NR DCI format X has same content as that of LTE DCI format allocating SL resources, e.g. DCI format 5_A. This would ensure that the NR DCI format X can be understood by the LTE protocol stack of the NR V2X UE. </w:t>
      </w:r>
    </w:p>
    <w:p w14:paraId="55A27455" w14:textId="77777777" w:rsidR="00EB22E6" w:rsidRDefault="00EB22E6" w:rsidP="00EB22E6">
      <w:pPr>
        <w:jc w:val="both"/>
      </w:pPr>
      <w:r>
        <w:t xml:space="preserve">As another option, a cross RAT indicator could also be inserted in a NR DCI format which is defined for NR-Uu scheduled NR-SL. For example, this indicator could be a one-bit flag, indicating that the information field contained within the NR DCI format is applied to the LTE PC5 interface. </w:t>
      </w:r>
    </w:p>
    <w:p w14:paraId="5455B1E0" w14:textId="70828FF8" w:rsidR="00EB22E6" w:rsidRDefault="00EB22E6" w:rsidP="00EB22E6">
      <w:pPr>
        <w:jc w:val="both"/>
      </w:pPr>
      <w:r>
        <w:t>There could be two different ways to translate the NR DCI to LTE SL. The PHY layer of the NR protocol stack of the NR V2X UE delivers the received NR DCI (on the PDCCH) to the LTE PHY of the LTE protocol stack knowing that the specific DCI format is for LTE V2X (DCI 5A)</w:t>
      </w:r>
      <w:r w:rsidR="00BB6E07">
        <w:t xml:space="preserve"> as shown in </w:t>
      </w:r>
      <w:r w:rsidR="00BB6E07">
        <w:rPr>
          <w:lang w:eastAsia="zh-CN"/>
        </w:rPr>
        <w:t xml:space="preserve">the </w:t>
      </w:r>
      <w:r w:rsidR="00BB6E07">
        <w:rPr>
          <w:lang w:eastAsia="zh-CN"/>
        </w:rPr>
        <w:fldChar w:fldCharType="begin"/>
      </w:r>
      <w:r w:rsidR="00BB6E07">
        <w:rPr>
          <w:lang w:eastAsia="zh-CN"/>
        </w:rPr>
        <w:instrText xml:space="preserve"> REF _Ref7451807 \h </w:instrText>
      </w:r>
      <w:r w:rsidR="00BB6E07">
        <w:rPr>
          <w:lang w:eastAsia="zh-CN"/>
        </w:rPr>
      </w:r>
      <w:r w:rsidR="00BB6E07">
        <w:rPr>
          <w:lang w:eastAsia="zh-CN"/>
        </w:rPr>
        <w:fldChar w:fldCharType="separate"/>
      </w:r>
      <w:r w:rsidR="00BB6E07">
        <w:t xml:space="preserve">Figure </w:t>
      </w:r>
      <w:r w:rsidR="00BB6E07">
        <w:rPr>
          <w:noProof/>
        </w:rPr>
        <w:t>1</w:t>
      </w:r>
      <w:r w:rsidR="00BB6E07">
        <w:rPr>
          <w:lang w:eastAsia="zh-CN"/>
        </w:rPr>
        <w:fldChar w:fldCharType="end"/>
      </w:r>
      <w:r>
        <w:t xml:space="preserve">. In that case, when the LTE PHY layer of the V2X UE receives the DCI from UE internal process communication, the LTE PHY will process the DCI as in the legacy LTE protocol specification, i.e. same as the DCI would have been received on the LTE Uu (PDCCH). </w:t>
      </w:r>
    </w:p>
    <w:p w14:paraId="7695C5C6" w14:textId="4AFBB114" w:rsidR="00EB22E6" w:rsidRDefault="00EB22E6" w:rsidP="00EB22E6">
      <w:pPr>
        <w:jc w:val="both"/>
        <w:rPr>
          <w:lang w:eastAsia="zh-CN"/>
        </w:rPr>
      </w:pPr>
      <w:r>
        <w:lastRenderedPageBreak/>
        <w:t>In the second option, t</w:t>
      </w:r>
      <w:r>
        <w:rPr>
          <w:lang w:eastAsia="zh-CN"/>
        </w:rPr>
        <w:t xml:space="preserve">he NR V2X UE determines e.g. based on the cross-RAT flag in the new NR DCI format that a received NR DCI is for the LTE PC5 SL and consequently </w:t>
      </w:r>
      <w:r w:rsidRPr="00631988">
        <w:rPr>
          <w:lang w:eastAsia="zh-CN"/>
        </w:rPr>
        <w:t>translate</w:t>
      </w:r>
      <w:r>
        <w:rPr>
          <w:lang w:eastAsia="zh-CN"/>
        </w:rPr>
        <w:t>s</w:t>
      </w:r>
      <w:r w:rsidRPr="00631988">
        <w:rPr>
          <w:lang w:eastAsia="zh-CN"/>
        </w:rPr>
        <w:t xml:space="preserve"> the received NR DCI format</w:t>
      </w:r>
      <w:r>
        <w:rPr>
          <w:lang w:eastAsia="zh-CN"/>
        </w:rPr>
        <w:t>, e.g. fields within the DCI,</w:t>
      </w:r>
      <w:r w:rsidRPr="00631988">
        <w:rPr>
          <w:lang w:eastAsia="zh-CN"/>
        </w:rPr>
        <w:t xml:space="preserve"> to </w:t>
      </w:r>
      <w:r>
        <w:rPr>
          <w:lang w:eastAsia="zh-CN"/>
        </w:rPr>
        <w:t xml:space="preserve">a </w:t>
      </w:r>
      <w:r w:rsidRPr="00631988">
        <w:rPr>
          <w:lang w:eastAsia="zh-CN"/>
        </w:rPr>
        <w:t xml:space="preserve">LTE DCI format to be understood by the LTE </w:t>
      </w:r>
      <w:r>
        <w:rPr>
          <w:lang w:eastAsia="zh-CN"/>
        </w:rPr>
        <w:t>PHY/</w:t>
      </w:r>
      <w:r w:rsidRPr="00631988">
        <w:rPr>
          <w:lang w:eastAsia="zh-CN"/>
        </w:rPr>
        <w:t xml:space="preserve">MAC </w:t>
      </w:r>
      <w:r>
        <w:rPr>
          <w:lang w:eastAsia="zh-CN"/>
        </w:rPr>
        <w:t>layer</w:t>
      </w:r>
      <w:r w:rsidRPr="00631988">
        <w:rPr>
          <w:lang w:eastAsia="zh-CN"/>
        </w:rPr>
        <w:t xml:space="preserve">, </w:t>
      </w:r>
      <w:r>
        <w:rPr>
          <w:lang w:eastAsia="zh-CN"/>
        </w:rPr>
        <w:t xml:space="preserve">e.g. </w:t>
      </w:r>
      <w:r w:rsidRPr="00631988">
        <w:rPr>
          <w:lang w:eastAsia="zh-CN"/>
        </w:rPr>
        <w:t>DCI format 5A</w:t>
      </w:r>
      <w:r>
        <w:rPr>
          <w:lang w:eastAsia="zh-CN"/>
        </w:rPr>
        <w:t xml:space="preserve">. </w:t>
      </w:r>
    </w:p>
    <w:p w14:paraId="11A4A486" w14:textId="231EC8CD" w:rsidR="00BB6E07" w:rsidRDefault="00BB6E07" w:rsidP="00BB6E07">
      <w:pPr>
        <w:jc w:val="both"/>
      </w:pPr>
      <w:r>
        <w:t xml:space="preserve">Finally, introducing a new NR DCI format especially for </w:t>
      </w:r>
      <w:r w:rsidR="00476F74">
        <w:t>NR-</w:t>
      </w:r>
      <w:r>
        <w:t>Uu controlling LTE SL mode 3 increases the NR-PDCCH blind decoding complexity of the NR-UE, wh</w:t>
      </w:r>
      <w:r w:rsidR="00FC2611">
        <w:t>ich can be avoided with the latter</w:t>
      </w:r>
      <w:r>
        <w:t xml:space="preserve"> option of specifying a cross-RAT indicator.  </w:t>
      </w:r>
    </w:p>
    <w:p w14:paraId="59E7BB40" w14:textId="77777777" w:rsidR="00BB6E07" w:rsidRDefault="00BB6E07" w:rsidP="00EB22E6">
      <w:pPr>
        <w:jc w:val="both"/>
        <w:rPr>
          <w:lang w:eastAsia="zh-CN"/>
        </w:rPr>
      </w:pPr>
    </w:p>
    <w:p w14:paraId="6AD1303E" w14:textId="3E5B9A6D" w:rsidR="00EB22E6" w:rsidRDefault="00EB22E6" w:rsidP="00BB6E07">
      <w:pPr>
        <w:jc w:val="center"/>
        <w:rPr>
          <w:lang w:eastAsia="zh-CN"/>
        </w:rPr>
      </w:pPr>
      <w:r>
        <w:rPr>
          <w:noProof/>
          <w:lang w:eastAsia="zh-CN"/>
        </w:rPr>
        <w:drawing>
          <wp:inline distT="0" distB="0" distL="0" distR="0" wp14:anchorId="541F1BD6" wp14:editId="33B192DB">
            <wp:extent cx="5295193" cy="314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3731" cy="3149108"/>
                    </a:xfrm>
                    <a:prstGeom prst="rect">
                      <a:avLst/>
                    </a:prstGeom>
                    <a:noFill/>
                  </pic:spPr>
                </pic:pic>
              </a:graphicData>
            </a:graphic>
          </wp:inline>
        </w:drawing>
      </w:r>
    </w:p>
    <w:p w14:paraId="42D75F52" w14:textId="77777777" w:rsidR="00BB6E07" w:rsidRPr="00CE5522" w:rsidRDefault="00BB6E07" w:rsidP="00BB6E07">
      <w:pPr>
        <w:pStyle w:val="a6"/>
      </w:pPr>
      <w:bookmarkStart w:id="2" w:name="_Ref745180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DCI based NR Control of LTE V2X SL</w:t>
      </w:r>
    </w:p>
    <w:p w14:paraId="7B651CD7" w14:textId="77777777" w:rsidR="00BB6E07" w:rsidRDefault="00BB6E07" w:rsidP="00EB22E6">
      <w:pPr>
        <w:jc w:val="both"/>
        <w:rPr>
          <w:b/>
          <w:lang w:eastAsia="zh-CN"/>
        </w:rPr>
      </w:pPr>
    </w:p>
    <w:p w14:paraId="160F643A" w14:textId="19AC017E" w:rsidR="00EB22E6" w:rsidRPr="005E5F64" w:rsidRDefault="00EB22E6" w:rsidP="00EB22E6">
      <w:pPr>
        <w:rPr>
          <w:b/>
        </w:rPr>
      </w:pPr>
      <w:r w:rsidRPr="005E5F64">
        <w:rPr>
          <w:b/>
        </w:rPr>
        <w:t xml:space="preserve">Proposal </w:t>
      </w:r>
      <w:r w:rsidR="00BB6E07">
        <w:rPr>
          <w:b/>
        </w:rPr>
        <w:t>1</w:t>
      </w:r>
      <w:r w:rsidRPr="005E5F64">
        <w:rPr>
          <w:b/>
        </w:rPr>
        <w:t>: For the gNB (cross RAT) scheduling LTE PC5 communication, RAN1 decide between:</w:t>
      </w:r>
    </w:p>
    <w:p w14:paraId="6784CBF3" w14:textId="2429B4E3" w:rsidR="00EB22E6" w:rsidRDefault="00EB22E6" w:rsidP="00EB22E6">
      <w:pPr>
        <w:pStyle w:val="af6"/>
        <w:numPr>
          <w:ilvl w:val="0"/>
          <w:numId w:val="47"/>
        </w:numPr>
        <w:rPr>
          <w:b/>
        </w:rPr>
      </w:pPr>
      <w:r w:rsidRPr="005E5F64">
        <w:rPr>
          <w:b/>
        </w:rPr>
        <w:t xml:space="preserve">A new </w:t>
      </w:r>
      <w:r w:rsidR="00BB6E07">
        <w:rPr>
          <w:b/>
        </w:rPr>
        <w:t>NR</w:t>
      </w:r>
      <w:r w:rsidR="00B64CA9">
        <w:rPr>
          <w:b/>
        </w:rPr>
        <w:t>-</w:t>
      </w:r>
      <w:r w:rsidRPr="005E5F64">
        <w:rPr>
          <w:b/>
        </w:rPr>
        <w:t>DCI format specifically for this (LTE PC5) purpose and with exactly the same content as LTE DCI 5A</w:t>
      </w:r>
    </w:p>
    <w:p w14:paraId="6C912309" w14:textId="77777777" w:rsidR="00EB22E6" w:rsidRPr="005E5F64" w:rsidRDefault="00EB22E6" w:rsidP="00EB22E6">
      <w:pPr>
        <w:pStyle w:val="af6"/>
        <w:numPr>
          <w:ilvl w:val="0"/>
          <w:numId w:val="47"/>
        </w:numPr>
        <w:rPr>
          <w:b/>
        </w:rPr>
      </w:pPr>
      <w:r w:rsidRPr="005E5F64">
        <w:rPr>
          <w:b/>
        </w:rPr>
        <w:t>A common NR DCI format for NR and LTE PC5 scheduling; here the receiving PC5 transmitter UE needs to “internally” translate the content of the received NR PC5 DCI in to LTE DCI format 5A. In this case, a flag can indicate if the PC5 grant is for LTE or NR.</w:t>
      </w:r>
    </w:p>
    <w:p w14:paraId="62102A94" w14:textId="77777777" w:rsidR="00BB6E07" w:rsidRDefault="00BB6E07" w:rsidP="00EB22E6">
      <w:pPr>
        <w:jc w:val="both"/>
      </w:pPr>
    </w:p>
    <w:p w14:paraId="36293191" w14:textId="65A53F11" w:rsidR="00EB22E6" w:rsidRPr="00E627DD" w:rsidRDefault="00EB22E6" w:rsidP="00EB22E6">
      <w:pPr>
        <w:jc w:val="both"/>
      </w:pPr>
      <w:r>
        <w:t xml:space="preserve">The timing, e.g. slot/frame boundaries, of the NR cell and the LTE cell/carrier is some cases may not be aligned, i.e. asynchronous network operation, and further the LTE operates on a TTI level (potentially </w:t>
      </w:r>
      <w:r w:rsidRPr="00675FBA">
        <w:t xml:space="preserve"> </w:t>
      </w:r>
      <w:r>
        <w:t>with</w:t>
      </w:r>
      <w:r w:rsidR="00B64CA9">
        <w:t xml:space="preserve"> </w:t>
      </w:r>
      <w:r>
        <w:t xml:space="preserve">a different SCS compared to the NR cell/BWP) whereas the NR PHY operates on slot-level or symbol level, the DCI received on NR RAT needs to be delivered to the LTE RAT at some predefined timing.,Figure 1 shows some timing translation from one RAT to the other. The timing of the DCI is vital for an efficient scheduling of resources among multiple UEs, otherwise there </w:t>
      </w:r>
      <w:bookmarkStart w:id="3" w:name="_GoBack"/>
      <w:bookmarkEnd w:id="3"/>
      <w:r>
        <w:t>could be resource collision happening in the LTE SL.</w:t>
      </w:r>
      <w:r>
        <w:tab/>
      </w:r>
    </w:p>
    <w:p w14:paraId="655F4F61" w14:textId="77777777" w:rsidR="00EB22E6" w:rsidRDefault="00EB22E6" w:rsidP="00EB22E6">
      <w:pPr>
        <w:jc w:val="center"/>
      </w:pPr>
      <w:r>
        <w:rPr>
          <w:noProof/>
          <w:lang w:eastAsia="zh-CN"/>
        </w:rPr>
        <w:lastRenderedPageBreak/>
        <w:drawing>
          <wp:inline distT="0" distB="0" distL="0" distR="0" wp14:anchorId="51E37051" wp14:editId="1D58AC98">
            <wp:extent cx="3826619" cy="2916952"/>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9947" cy="2934734"/>
                    </a:xfrm>
                    <a:prstGeom prst="rect">
                      <a:avLst/>
                    </a:prstGeom>
                    <a:noFill/>
                  </pic:spPr>
                </pic:pic>
              </a:graphicData>
            </a:graphic>
          </wp:inline>
        </w:drawing>
      </w:r>
    </w:p>
    <w:p w14:paraId="147535ED" w14:textId="77777777" w:rsidR="00EB22E6" w:rsidRDefault="00EB22E6" w:rsidP="00AE172D">
      <w:pPr>
        <w:pStyle w:val="a6"/>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Timing offset difference between NR and LTE</w:t>
      </w:r>
    </w:p>
    <w:p w14:paraId="6FA277F9" w14:textId="76778607" w:rsidR="00EB22E6" w:rsidRDefault="00EB22E6" w:rsidP="00AE172D">
      <w:pPr>
        <w:jc w:val="both"/>
      </w:pPr>
      <w:r>
        <w:t>There could be various ways in which the timing offset information could be delivered for cross RAT communication. In the first method, the timing offset could be either be a fixed value defined in the standard. For example, if a NR DCI containing a LTE SL grant was received in slot N, then the UE consider that the LTE SL grant as being received in first LTE subframe X which starts at least T</w:t>
      </w:r>
      <w:r w:rsidRPr="001D240F">
        <w:rPr>
          <w:vertAlign w:val="subscript"/>
        </w:rPr>
        <w:t>offset</w:t>
      </w:r>
      <w:r>
        <w:t xml:space="preserve"> later than slot N. </w:t>
      </w:r>
      <w:r>
        <w:rPr>
          <w:lang w:eastAsia="zh-CN"/>
        </w:rPr>
        <w:t xml:space="preserve">This timing offset could be defined in </w:t>
      </w:r>
      <w:r w:rsidRPr="007E65DF">
        <w:rPr>
          <w:lang w:eastAsia="zh-CN"/>
        </w:rPr>
        <w:t xml:space="preserve">terms of </w:t>
      </w:r>
      <w:r>
        <w:rPr>
          <w:lang w:eastAsia="zh-CN"/>
        </w:rPr>
        <w:t>ms or in number of slots/subframe.</w:t>
      </w:r>
      <w:r>
        <w:t xml:space="preserve"> Further the timing offset should also consider about the active BWP numerology of the NR Uu interface. In the second method this value could be configured by higher layer signaling. In the third method, the timing information could be specified in the NR DCI that indicate the subframe number in which the LTE SL grant should be executed, i.e. UE behaves as if the LTE SL grant was received in the indicated subframe on the PDCCH. </w:t>
      </w:r>
    </w:p>
    <w:p w14:paraId="46E1721C" w14:textId="6D8F117F" w:rsidR="00EB22E6" w:rsidRPr="00620642" w:rsidRDefault="00EB22E6" w:rsidP="00AE172D">
      <w:pPr>
        <w:jc w:val="both"/>
        <w:rPr>
          <w:b/>
        </w:rPr>
      </w:pPr>
      <w:r w:rsidRPr="00620642">
        <w:rPr>
          <w:b/>
        </w:rPr>
        <w:t xml:space="preserve">Proposal </w:t>
      </w:r>
      <w:r w:rsidR="00BB6E07">
        <w:rPr>
          <w:b/>
        </w:rPr>
        <w:t>2</w:t>
      </w:r>
      <w:r w:rsidRPr="00620642">
        <w:rPr>
          <w:b/>
        </w:rPr>
        <w:t xml:space="preserve">: Further study delivering the timing offset information whether it should be a fixed value in the standard or a value configured via higher layer signaling or indicated via NR DCI. </w:t>
      </w:r>
    </w:p>
    <w:p w14:paraId="5CFFD874" w14:textId="77777777" w:rsidR="0082623E" w:rsidRDefault="0082623E" w:rsidP="00C70A9B">
      <w:pPr>
        <w:pStyle w:val="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5E1FB0C2" w14:textId="77777777" w:rsidR="008859C6" w:rsidRDefault="0031456A" w:rsidP="00FB2234">
      <w:r>
        <w:t>This document discusses about the</w:t>
      </w:r>
      <w:r w:rsidR="001643EF" w:rsidRPr="00FB2234">
        <w:t xml:space="preserve"> </w:t>
      </w:r>
      <w:r>
        <w:t>s</w:t>
      </w:r>
      <w:r w:rsidRPr="0031456A">
        <w:t>upport of NR Uu controlling LTE sidelink</w:t>
      </w:r>
      <w:r w:rsidR="009A1FC4">
        <w:t>.</w:t>
      </w:r>
      <w:r w:rsidR="001643EF" w:rsidRPr="00FB2234">
        <w:t xml:space="preserve"> Following </w:t>
      </w:r>
      <w:r w:rsidR="00401FE0" w:rsidRPr="00FB2234">
        <w:t>proposal</w:t>
      </w:r>
      <w:r w:rsidR="00830DBA">
        <w:t>s</w:t>
      </w:r>
      <w:r w:rsidR="001643EF" w:rsidRPr="00FB2234">
        <w:t xml:space="preserve"> are made:</w:t>
      </w:r>
    </w:p>
    <w:p w14:paraId="692343C2" w14:textId="077582E5" w:rsidR="000A091F" w:rsidRPr="005E5F64" w:rsidRDefault="000A091F" w:rsidP="00BB6E07">
      <w:pPr>
        <w:jc w:val="both"/>
        <w:rPr>
          <w:b/>
        </w:rPr>
      </w:pPr>
      <w:r w:rsidRPr="005E5F64">
        <w:rPr>
          <w:b/>
        </w:rPr>
        <w:t xml:space="preserve">Proposal </w:t>
      </w:r>
      <w:r w:rsidR="00BB6E07">
        <w:rPr>
          <w:b/>
        </w:rPr>
        <w:t>1</w:t>
      </w:r>
      <w:r w:rsidRPr="005E5F64">
        <w:rPr>
          <w:b/>
        </w:rPr>
        <w:t>: For the gNB (cross RAT) scheduling LTE PC5 communication, RAN1 decide between:</w:t>
      </w:r>
    </w:p>
    <w:p w14:paraId="08EB67F6" w14:textId="2727829F" w:rsidR="000A091F" w:rsidRDefault="000A091F" w:rsidP="00BB6E07">
      <w:pPr>
        <w:pStyle w:val="af6"/>
        <w:numPr>
          <w:ilvl w:val="0"/>
          <w:numId w:val="47"/>
        </w:numPr>
        <w:jc w:val="both"/>
        <w:rPr>
          <w:b/>
        </w:rPr>
      </w:pPr>
      <w:r w:rsidRPr="005E5F64">
        <w:rPr>
          <w:b/>
        </w:rPr>
        <w:t xml:space="preserve">A new </w:t>
      </w:r>
      <w:r w:rsidR="00BB6E07">
        <w:rPr>
          <w:b/>
        </w:rPr>
        <w:t>NR-</w:t>
      </w:r>
      <w:r w:rsidRPr="005E5F64">
        <w:rPr>
          <w:b/>
        </w:rPr>
        <w:t>DCI format specifically for this (LTE PC5) purpose and with exactly the same content as LTE DCI 5A</w:t>
      </w:r>
    </w:p>
    <w:p w14:paraId="49FFF852" w14:textId="77777777" w:rsidR="000A091F" w:rsidRPr="005E5F64" w:rsidRDefault="000A091F" w:rsidP="00BB6E07">
      <w:pPr>
        <w:pStyle w:val="af6"/>
        <w:numPr>
          <w:ilvl w:val="0"/>
          <w:numId w:val="47"/>
        </w:numPr>
        <w:jc w:val="both"/>
        <w:rPr>
          <w:b/>
        </w:rPr>
      </w:pPr>
      <w:r w:rsidRPr="005E5F64">
        <w:rPr>
          <w:b/>
        </w:rPr>
        <w:t>A common NR DCI format for NR and LTE PC5 scheduling; here the receiving PC5 transmitter UE needs to “internally” translate the content of the received NR PC5 DCI in to LTE DCI format 5A. In this case, a flag can indicate if the PC5 grant is for LTE or NR.</w:t>
      </w:r>
    </w:p>
    <w:p w14:paraId="4BFA509B" w14:textId="77777777" w:rsidR="000A091F" w:rsidRDefault="000A091F" w:rsidP="00BB6E07">
      <w:pPr>
        <w:jc w:val="both"/>
        <w:rPr>
          <w:b/>
        </w:rPr>
      </w:pPr>
    </w:p>
    <w:p w14:paraId="2F3FE102" w14:textId="111B4BC5" w:rsidR="000A091F" w:rsidRPr="00620642" w:rsidRDefault="000A091F" w:rsidP="00BB6E07">
      <w:pPr>
        <w:jc w:val="both"/>
        <w:rPr>
          <w:b/>
        </w:rPr>
      </w:pPr>
      <w:r w:rsidRPr="00620642">
        <w:rPr>
          <w:b/>
        </w:rPr>
        <w:t xml:space="preserve">Proposal </w:t>
      </w:r>
      <w:r w:rsidR="00BB6E07">
        <w:rPr>
          <w:b/>
        </w:rPr>
        <w:t>2</w:t>
      </w:r>
      <w:r w:rsidRPr="00620642">
        <w:rPr>
          <w:b/>
        </w:rPr>
        <w:t xml:space="preserve">: Further study delivering the timing offset information whether it should be a fixed value in the standard or a value configured via higher layer signaling or indicated via NR DCI. </w:t>
      </w:r>
    </w:p>
    <w:p w14:paraId="38EC2BA2" w14:textId="77777777" w:rsidR="00620D8F" w:rsidRDefault="00620D8F" w:rsidP="00620D8F">
      <w:pPr>
        <w:pStyle w:val="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14:paraId="5752B9D8" w14:textId="1D06183C" w:rsidR="0031456A" w:rsidRDefault="0031456A" w:rsidP="0031456A">
      <w:pPr>
        <w:pStyle w:val="References"/>
        <w:numPr>
          <w:ilvl w:val="0"/>
          <w:numId w:val="42"/>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p w14:paraId="0DDC79AF" w14:textId="1A347A88" w:rsidR="002F5B0A" w:rsidRPr="002F5B0A" w:rsidRDefault="002F5B0A" w:rsidP="002F5B0A">
      <w:pPr>
        <w:pStyle w:val="References"/>
        <w:numPr>
          <w:ilvl w:val="0"/>
          <w:numId w:val="42"/>
        </w:numPr>
        <w:rPr>
          <w:sz w:val="24"/>
        </w:rPr>
      </w:pPr>
      <w:bookmarkStart w:id="4" w:name="_Ref5105183"/>
      <w:r w:rsidRPr="002F5B0A">
        <w:rPr>
          <w:sz w:val="24"/>
        </w:rPr>
        <w:t>R2-1904455, Cross RAT Resource allocation, Lenovo, Motorola Mobility, Xi'an, China, 8th April - 12th April 2019</w:t>
      </w:r>
      <w:bookmarkEnd w:id="4"/>
    </w:p>
    <w:sectPr w:rsidR="002F5B0A" w:rsidRPr="002F5B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E196" w14:textId="77777777" w:rsidR="00952984" w:rsidRDefault="00952984">
      <w:r>
        <w:separator/>
      </w:r>
    </w:p>
  </w:endnote>
  <w:endnote w:type="continuationSeparator" w:id="0">
    <w:p w14:paraId="182BF044" w14:textId="77777777" w:rsidR="00952984" w:rsidRDefault="0095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B030C" w14:textId="77777777" w:rsidR="00952984" w:rsidRDefault="00952984">
      <w:r>
        <w:separator/>
      </w:r>
    </w:p>
  </w:footnote>
  <w:footnote w:type="continuationSeparator" w:id="0">
    <w:p w14:paraId="64C98717" w14:textId="77777777" w:rsidR="00952984" w:rsidRDefault="00952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62E3A"/>
    <w:multiLevelType w:val="hybridMultilevel"/>
    <w:tmpl w:val="2A80E208"/>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C560A"/>
    <w:multiLevelType w:val="multilevel"/>
    <w:tmpl w:val="070A834A"/>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1568"/>
        </w:tabs>
        <w:ind w:left="156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47B24"/>
    <w:multiLevelType w:val="hybridMultilevel"/>
    <w:tmpl w:val="D96473F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5"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1"/>
  </w:num>
  <w:num w:numId="3">
    <w:abstractNumId w:val="35"/>
  </w:num>
  <w:num w:numId="4">
    <w:abstractNumId w:val="28"/>
  </w:num>
  <w:num w:numId="5">
    <w:abstractNumId w:val="25"/>
  </w:num>
  <w:num w:numId="6">
    <w:abstractNumId w:val="42"/>
  </w:num>
  <w:num w:numId="7">
    <w:abstractNumId w:val="26"/>
  </w:num>
  <w:num w:numId="8">
    <w:abstractNumId w:val="23"/>
  </w:num>
  <w:num w:numId="9">
    <w:abstractNumId w:val="39"/>
  </w:num>
  <w:num w:numId="10">
    <w:abstractNumId w:val="22"/>
  </w:num>
  <w:num w:numId="11">
    <w:abstractNumId w:val="5"/>
  </w:num>
  <w:num w:numId="12">
    <w:abstractNumId w:val="38"/>
  </w:num>
  <w:num w:numId="13">
    <w:abstractNumId w:val="17"/>
  </w:num>
  <w:num w:numId="14">
    <w:abstractNumId w:val="27"/>
  </w:num>
  <w:num w:numId="15">
    <w:abstractNumId w:val="5"/>
  </w:num>
  <w:num w:numId="16">
    <w:abstractNumId w:val="5"/>
  </w:num>
  <w:num w:numId="17">
    <w:abstractNumId w:val="4"/>
  </w:num>
  <w:num w:numId="18">
    <w:abstractNumId w:val="21"/>
  </w:num>
  <w:num w:numId="19">
    <w:abstractNumId w:val="30"/>
  </w:num>
  <w:num w:numId="20">
    <w:abstractNumId w:val="32"/>
  </w:num>
  <w:num w:numId="21">
    <w:abstractNumId w:val="19"/>
  </w:num>
  <w:num w:numId="22">
    <w:abstractNumId w:val="31"/>
  </w:num>
  <w:num w:numId="23">
    <w:abstractNumId w:val="0"/>
  </w:num>
  <w:num w:numId="24">
    <w:abstractNumId w:val="18"/>
  </w:num>
  <w:num w:numId="25">
    <w:abstractNumId w:val="37"/>
  </w:num>
  <w:num w:numId="26">
    <w:abstractNumId w:val="34"/>
  </w:num>
  <w:num w:numId="27">
    <w:abstractNumId w:val="15"/>
  </w:num>
  <w:num w:numId="28">
    <w:abstractNumId w:val="14"/>
  </w:num>
  <w:num w:numId="29">
    <w:abstractNumId w:val="6"/>
  </w:num>
  <w:num w:numId="30">
    <w:abstractNumId w:val="40"/>
  </w:num>
  <w:num w:numId="31">
    <w:abstractNumId w:val="9"/>
  </w:num>
  <w:num w:numId="32">
    <w:abstractNumId w:val="29"/>
  </w:num>
  <w:num w:numId="33">
    <w:abstractNumId w:val="33"/>
  </w:num>
  <w:num w:numId="34">
    <w:abstractNumId w:val="7"/>
  </w:num>
  <w:num w:numId="35">
    <w:abstractNumId w:val="24"/>
  </w:num>
  <w:num w:numId="36">
    <w:abstractNumId w:val="1"/>
  </w:num>
  <w:num w:numId="37">
    <w:abstractNumId w:val="12"/>
  </w:num>
  <w:num w:numId="38">
    <w:abstractNumId w:val="11"/>
  </w:num>
  <w:num w:numId="39">
    <w:abstractNumId w:val="10"/>
  </w:num>
  <w:num w:numId="40">
    <w:abstractNumId w:val="20"/>
  </w:num>
  <w:num w:numId="41">
    <w:abstractNumId w:val="16"/>
  </w:num>
  <w:num w:numId="42">
    <w:abstractNumId w:val="17"/>
    <w:lvlOverride w:ilvl="0">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
  </w:num>
  <w:num w:numId="46">
    <w:abstractNumId w:val="13"/>
  </w:num>
  <w:num w:numId="47">
    <w:abstractNumId w:val="2"/>
  </w:num>
  <w:num w:numId="48">
    <w:abstractNumId w:val="5"/>
  </w:num>
  <w:num w:numId="49">
    <w:abstractNumId w:val="36"/>
  </w:num>
  <w:num w:numId="5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F3"/>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C0B"/>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91F"/>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8A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169"/>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3D7"/>
    <w:rsid w:val="000F144E"/>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178"/>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92F"/>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37C75"/>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BA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1DB"/>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6F"/>
    <w:rsid w:val="00190D77"/>
    <w:rsid w:val="00190D9A"/>
    <w:rsid w:val="00191614"/>
    <w:rsid w:val="00191C91"/>
    <w:rsid w:val="00192207"/>
    <w:rsid w:val="00192B50"/>
    <w:rsid w:val="00192DD9"/>
    <w:rsid w:val="00193182"/>
    <w:rsid w:val="001937DB"/>
    <w:rsid w:val="00193F73"/>
    <w:rsid w:val="00193F77"/>
    <w:rsid w:val="00194136"/>
    <w:rsid w:val="00194339"/>
    <w:rsid w:val="0019441C"/>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A3C"/>
    <w:rsid w:val="001A3EAE"/>
    <w:rsid w:val="001A3ED8"/>
    <w:rsid w:val="001A47DC"/>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B7BA5"/>
    <w:rsid w:val="001C02D8"/>
    <w:rsid w:val="001C04E3"/>
    <w:rsid w:val="001C0D8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4F7"/>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0BB8"/>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88C"/>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03B"/>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B42"/>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38D2"/>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26B"/>
    <w:rsid w:val="0028065D"/>
    <w:rsid w:val="00280A7B"/>
    <w:rsid w:val="00280AB1"/>
    <w:rsid w:val="00281194"/>
    <w:rsid w:val="00281B48"/>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2E"/>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CD0"/>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858"/>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B0A"/>
    <w:rsid w:val="002F5DD6"/>
    <w:rsid w:val="002F5FEA"/>
    <w:rsid w:val="002F63E7"/>
    <w:rsid w:val="002F722D"/>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56A"/>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0C2F"/>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0D1"/>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5F7C"/>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556"/>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9FB"/>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F74"/>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934"/>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A37"/>
    <w:rsid w:val="00494E8E"/>
    <w:rsid w:val="00494F1B"/>
    <w:rsid w:val="00495320"/>
    <w:rsid w:val="004955BC"/>
    <w:rsid w:val="0049564A"/>
    <w:rsid w:val="00495752"/>
    <w:rsid w:val="00495D3A"/>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6EE"/>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518"/>
    <w:rsid w:val="004C6704"/>
    <w:rsid w:val="004C67FD"/>
    <w:rsid w:val="004C6883"/>
    <w:rsid w:val="004C6A83"/>
    <w:rsid w:val="004C6AD0"/>
    <w:rsid w:val="004C6C5A"/>
    <w:rsid w:val="004C7051"/>
    <w:rsid w:val="004C73CE"/>
    <w:rsid w:val="004C75CA"/>
    <w:rsid w:val="004C7641"/>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83C"/>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6D"/>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7E9"/>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10"/>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AE8"/>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5F64"/>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642"/>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599"/>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BFE"/>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4DFF"/>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5FBA"/>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A12"/>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2DDC"/>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6DB"/>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586"/>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3B4"/>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639"/>
    <w:rsid w:val="00720A8D"/>
    <w:rsid w:val="00721084"/>
    <w:rsid w:val="007210AB"/>
    <w:rsid w:val="00721262"/>
    <w:rsid w:val="00721D21"/>
    <w:rsid w:val="00721D9B"/>
    <w:rsid w:val="00722121"/>
    <w:rsid w:val="00722444"/>
    <w:rsid w:val="007224B9"/>
    <w:rsid w:val="00722910"/>
    <w:rsid w:val="00722A6A"/>
    <w:rsid w:val="00722F94"/>
    <w:rsid w:val="0072379D"/>
    <w:rsid w:val="007239D8"/>
    <w:rsid w:val="00723AA7"/>
    <w:rsid w:val="0072432E"/>
    <w:rsid w:val="00724727"/>
    <w:rsid w:val="00724AE9"/>
    <w:rsid w:val="00725461"/>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11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2EC"/>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97BF0"/>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69E"/>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525"/>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7AE"/>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1F63"/>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8DF"/>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A82"/>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2CB7"/>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BA9"/>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2E38"/>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377"/>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44E"/>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64A"/>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3DB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C6A"/>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98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B39"/>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2A5"/>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2ED8"/>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9B1"/>
    <w:rsid w:val="009B1AEC"/>
    <w:rsid w:val="009B1E52"/>
    <w:rsid w:val="009B1EF9"/>
    <w:rsid w:val="009B1F63"/>
    <w:rsid w:val="009B26AC"/>
    <w:rsid w:val="009B2D79"/>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6B"/>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469"/>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07F"/>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99A"/>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867"/>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010"/>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C9C"/>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7BA"/>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76B"/>
    <w:rsid w:val="00AD0A51"/>
    <w:rsid w:val="00AD0AB8"/>
    <w:rsid w:val="00AD0B37"/>
    <w:rsid w:val="00AD0DB2"/>
    <w:rsid w:val="00AD1029"/>
    <w:rsid w:val="00AD11F7"/>
    <w:rsid w:val="00AD18DE"/>
    <w:rsid w:val="00AD19F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2D"/>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72B"/>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C4D"/>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1E7"/>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910"/>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27"/>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CA9"/>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08F"/>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084"/>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323"/>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BC3"/>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7"/>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8"/>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AA0"/>
    <w:rsid w:val="00C84EA6"/>
    <w:rsid w:val="00C8530B"/>
    <w:rsid w:val="00C8535E"/>
    <w:rsid w:val="00C8579F"/>
    <w:rsid w:val="00C8600B"/>
    <w:rsid w:val="00C86018"/>
    <w:rsid w:val="00C86144"/>
    <w:rsid w:val="00C862A5"/>
    <w:rsid w:val="00C8646D"/>
    <w:rsid w:val="00C869B7"/>
    <w:rsid w:val="00C86AFC"/>
    <w:rsid w:val="00C86B52"/>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C55"/>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A8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806"/>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37E"/>
    <w:rsid w:val="00CD3CDA"/>
    <w:rsid w:val="00CD3FF4"/>
    <w:rsid w:val="00CD4433"/>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522"/>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2A4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8DB"/>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7C3"/>
    <w:rsid w:val="00D17B76"/>
    <w:rsid w:val="00D17C3E"/>
    <w:rsid w:val="00D17F4C"/>
    <w:rsid w:val="00D20519"/>
    <w:rsid w:val="00D20B8B"/>
    <w:rsid w:val="00D20D45"/>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82"/>
    <w:rsid w:val="00D42895"/>
    <w:rsid w:val="00D42DCF"/>
    <w:rsid w:val="00D42F41"/>
    <w:rsid w:val="00D4334E"/>
    <w:rsid w:val="00D437D8"/>
    <w:rsid w:val="00D43A5B"/>
    <w:rsid w:val="00D43E3C"/>
    <w:rsid w:val="00D4402A"/>
    <w:rsid w:val="00D44353"/>
    <w:rsid w:val="00D446AE"/>
    <w:rsid w:val="00D44805"/>
    <w:rsid w:val="00D44994"/>
    <w:rsid w:val="00D44CE1"/>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3D1B"/>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6E6"/>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09"/>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59"/>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175"/>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3F"/>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272"/>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27DD"/>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345"/>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9E9"/>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22E6"/>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614"/>
    <w:rsid w:val="00EE391D"/>
    <w:rsid w:val="00EE3B34"/>
    <w:rsid w:val="00EE3C42"/>
    <w:rsid w:val="00EE3D4F"/>
    <w:rsid w:val="00EE3E0E"/>
    <w:rsid w:val="00EE4170"/>
    <w:rsid w:val="00EE4946"/>
    <w:rsid w:val="00EE4DC9"/>
    <w:rsid w:val="00EE4EFE"/>
    <w:rsid w:val="00EE4F04"/>
    <w:rsid w:val="00EE534D"/>
    <w:rsid w:val="00EE5560"/>
    <w:rsid w:val="00EE5823"/>
    <w:rsid w:val="00EE587B"/>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116"/>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061"/>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2E9"/>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CE6"/>
    <w:rsid w:val="00F73D08"/>
    <w:rsid w:val="00F73D4D"/>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28B"/>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871"/>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A7E60"/>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48"/>
    <w:rsid w:val="00FC0B8E"/>
    <w:rsid w:val="00FC0F8A"/>
    <w:rsid w:val="00FC1FEF"/>
    <w:rsid w:val="00FC20F6"/>
    <w:rsid w:val="00FC2611"/>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4E1"/>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94193"/>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92F"/>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7C026E"/>
    <w:pPr>
      <w:keepNext/>
      <w:spacing w:before="240"/>
      <w:outlineLvl w:val="0"/>
    </w:pPr>
    <w:rPr>
      <w:rFonts w:ascii="Arial" w:hAnsi="Arial"/>
      <w:b/>
      <w:bCs/>
      <w:sz w:val="28"/>
      <w:szCs w:val="28"/>
    </w:rPr>
  </w:style>
  <w:style w:type="paragraph" w:styleId="2">
    <w:name w:val="heading 2"/>
    <w:aliases w:val="H2,h2,DO NOT USE_h2,h21,Head2A,2,UNDERRUBRIK 1-2,Heading 2 Char,H2 Char,h2 Char"/>
    <w:basedOn w:val="a"/>
    <w:next w:val="a"/>
    <w:link w:val="20"/>
    <w:autoRedefine/>
    <w:qFormat/>
    <w:rsid w:val="00483934"/>
    <w:pPr>
      <w:keepNext/>
      <w:numPr>
        <w:ilvl w:val="1"/>
        <w:numId w:val="11"/>
      </w:numPr>
      <w:spacing w:before="240"/>
      <w:outlineLvl w:val="1"/>
    </w:pPr>
    <w:rPr>
      <w:rFonts w:ascii="Arial" w:hAnsi="Arial"/>
      <w:b/>
      <w:bCs/>
      <w:sz w:val="28"/>
      <w:lang w:val="en-GB"/>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iPriority w:val="99"/>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uiPriority w:val="99"/>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批注文字 字符"/>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
    <w:uiPriority w:val="99"/>
    <w:unhideWhenUsed/>
    <w:rsid w:val="00071961"/>
    <w:pPr>
      <w:autoSpaceDE/>
      <w:autoSpaceDN/>
      <w:adjustRightInd/>
      <w:snapToGrid/>
      <w:spacing w:before="100" w:beforeAutospacing="1" w:after="100" w:afterAutospacing="1"/>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5">
    <w:name w:val="Plain Text"/>
    <w:basedOn w:val="a"/>
    <w:link w:val="aff6"/>
    <w:unhideWhenUsed/>
    <w:rsid w:val="00726F1C"/>
    <w:pPr>
      <w:autoSpaceDE/>
      <w:autoSpaceDN/>
      <w:adjustRightInd/>
      <w:snapToGrid/>
      <w:spacing w:after="0"/>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7C026E"/>
    <w:rPr>
      <w:rFonts w:ascii="Arial" w:hAnsi="Arial"/>
      <w:b/>
      <w:bCs/>
      <w:sz w:val="28"/>
      <w:szCs w:val="28"/>
      <w:lang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正文文本缩进 3 字符"/>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a">
    <w:name w:val="Date"/>
    <w:basedOn w:val="a"/>
    <w:next w:val="a"/>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basedOn w:val="a0"/>
    <w:link w:val="affa"/>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483934"/>
    <w:rPr>
      <w:rFonts w:ascii="Arial" w:hAnsi="Arial"/>
      <w:b/>
      <w:bCs/>
      <w:sz w:val="28"/>
      <w:szCs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a">
    <w:name w:val="列表 字符"/>
    <w:link w:val="a9"/>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DN 字符"/>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批注框文本 字符"/>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link w:val="af6"/>
    <w:uiPriority w:val="34"/>
    <w:qFormat/>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Comments">
    <w:name w:val="Comments"/>
    <w:basedOn w:val="a"/>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967468">
      <w:bodyDiv w:val="1"/>
      <w:marLeft w:val="0"/>
      <w:marRight w:val="0"/>
      <w:marTop w:val="0"/>
      <w:marBottom w:val="0"/>
      <w:divBdr>
        <w:top w:val="none" w:sz="0" w:space="0" w:color="auto"/>
        <w:left w:val="none" w:sz="0" w:space="0" w:color="auto"/>
        <w:bottom w:val="none" w:sz="0" w:space="0" w:color="auto"/>
        <w:right w:val="none" w:sz="0" w:space="0" w:color="auto"/>
      </w:divBdr>
    </w:div>
    <w:div w:id="721827720">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63550638">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924883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DCCCD-ABFF-456B-A61E-BFA1AAC06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3</cp:revision>
  <cp:lastPrinted>2016-08-12T06:06:00Z</cp:lastPrinted>
  <dcterms:created xsi:type="dcterms:W3CDTF">2019-08-16T10:02:00Z</dcterms:created>
  <dcterms:modified xsi:type="dcterms:W3CDTF">2019-08-16T10:02:00Z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