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hint="default" w:ascii="Arial" w:hAnsi="Arial" w:eastAsia="宋体" w:cs="Arial"/>
          <w:b/>
          <w:sz w:val="24"/>
          <w:szCs w:val="24"/>
          <w:lang w:val="en-US" w:eastAsia="zh-CN"/>
        </w:rPr>
      </w:pPr>
      <w:r>
        <w:rPr>
          <w:rFonts w:ascii="Arial" w:hAnsi="Arial" w:cs="Arial"/>
          <w:b/>
          <w:sz w:val="24"/>
          <w:szCs w:val="24"/>
        </w:rPr>
        <w:t xml:space="preserve">3GPP TSG RAN WG1 Meeting </w:t>
      </w:r>
      <w:r>
        <w:rPr>
          <w:rFonts w:hint="eastAsia" w:ascii="Arial" w:hAnsi="Arial" w:eastAsia="宋体" w:cs="Arial"/>
          <w:b/>
          <w:sz w:val="24"/>
          <w:szCs w:val="24"/>
          <w:lang w:val="en-US" w:eastAsia="zh-CN"/>
        </w:rPr>
        <w:t>#98</w:t>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r>
        <w:rPr>
          <w:rFonts w:ascii="Arial" w:hAnsi="Arial" w:cs="Arial"/>
          <w:b/>
          <w:sz w:val="24"/>
          <w:szCs w:val="24"/>
        </w:rPr>
        <w:t xml:space="preserve"> </w:t>
      </w:r>
      <w:r>
        <w:rPr>
          <w:rFonts w:hint="eastAsia" w:ascii="Arial" w:hAnsi="Arial" w:eastAsia="宋体" w:cs="Arial"/>
          <w:b/>
          <w:sz w:val="24"/>
          <w:szCs w:val="24"/>
          <w:lang w:val="en-US" w:eastAsia="zh-CN"/>
        </w:rPr>
        <w:t xml:space="preserve">          </w:t>
      </w:r>
      <w:bookmarkStart w:id="0" w:name="_GoBack"/>
      <w:bookmarkEnd w:id="0"/>
      <w:r>
        <w:rPr>
          <w:rFonts w:hint="eastAsia" w:ascii="Arial" w:hAnsi="Arial" w:eastAsia="宋体" w:cs="Arial"/>
          <w:b/>
          <w:sz w:val="24"/>
          <w:szCs w:val="24"/>
          <w:lang w:val="en-US" w:eastAsia="zh-CN"/>
        </w:rPr>
        <w:t xml:space="preserve">  </w:t>
      </w:r>
      <w:r>
        <w:rPr>
          <w:rFonts w:ascii="Arial" w:hAnsi="Arial" w:cs="Arial"/>
          <w:b/>
          <w:sz w:val="24"/>
          <w:szCs w:val="24"/>
        </w:rPr>
        <w:t>R1-19</w:t>
      </w:r>
      <w:r>
        <w:rPr>
          <w:rFonts w:hint="eastAsia" w:ascii="Arial" w:hAnsi="Arial" w:eastAsia="宋体" w:cs="Arial"/>
          <w:b/>
          <w:sz w:val="24"/>
          <w:szCs w:val="24"/>
          <w:lang w:val="en-US" w:eastAsia="zh-CN"/>
        </w:rPr>
        <w:t>08308</w:t>
      </w:r>
    </w:p>
    <w:p>
      <w:pPr>
        <w:tabs>
          <w:tab w:val="center" w:pos="4536"/>
          <w:tab w:val="right" w:pos="8280"/>
          <w:tab w:val="right" w:pos="9639"/>
        </w:tabs>
        <w:snapToGrid w:val="0"/>
        <w:spacing w:after="0" w:line="264" w:lineRule="auto"/>
        <w:rPr>
          <w:rFonts w:hint="default" w:eastAsia="宋体"/>
          <w:b/>
          <w:bCs/>
          <w:sz w:val="24"/>
          <w:szCs w:val="24"/>
          <w:lang w:val="en-US" w:eastAsia="zh-CN"/>
        </w:rPr>
      </w:pPr>
      <w:r>
        <w:rPr>
          <w:rFonts w:hint="eastAsia" w:ascii="Arial" w:hAnsi="Arial" w:eastAsia="宋体" w:cs="Arial"/>
          <w:b/>
          <w:sz w:val="24"/>
          <w:lang w:val="en-US" w:eastAsia="zh-CN"/>
        </w:rPr>
        <w:t>Prague</w:t>
      </w:r>
      <w:r>
        <w:rPr>
          <w:rFonts w:ascii="Arial" w:hAnsi="Arial" w:cs="Arial"/>
          <w:b/>
          <w:sz w:val="24"/>
        </w:rPr>
        <w:t xml:space="preserve">, </w:t>
      </w:r>
      <w:r>
        <w:rPr>
          <w:rFonts w:hint="eastAsia" w:ascii="Arial" w:hAnsi="Arial" w:eastAsia="宋体" w:cs="Arial"/>
          <w:b/>
          <w:sz w:val="24"/>
          <w:lang w:val="en-US" w:eastAsia="zh-CN"/>
        </w:rPr>
        <w:t>Czech,</w:t>
      </w:r>
      <w:r>
        <w:rPr>
          <w:rFonts w:ascii="Arial" w:hAnsi="Arial" w:eastAsia="宋体" w:cs="Arial"/>
          <w:b/>
          <w:sz w:val="24"/>
          <w:lang w:val="en-US" w:eastAsia="zh-CN"/>
        </w:rPr>
        <w:t xml:space="preserve"> </w:t>
      </w:r>
      <w:r>
        <w:rPr>
          <w:rFonts w:hint="eastAsia" w:ascii="Arial" w:hAnsi="Arial" w:eastAsia="宋体" w:cs="Arial"/>
          <w:b/>
          <w:sz w:val="24"/>
          <w:lang w:val="en-US" w:eastAsia="zh-CN"/>
        </w:rPr>
        <w:t>26</w:t>
      </w:r>
      <w:r>
        <w:rPr>
          <w:rFonts w:ascii="Arial" w:hAnsi="Arial" w:cs="Arial"/>
          <w:b/>
          <w:sz w:val="24"/>
          <w:vertAlign w:val="superscript"/>
          <w:lang w:val="en-US"/>
        </w:rPr>
        <w:t>th</w:t>
      </w:r>
      <w:r>
        <w:rPr>
          <w:rFonts w:hint="eastAsia" w:ascii="Arial" w:hAnsi="Arial" w:cs="Arial"/>
          <w:b/>
          <w:sz w:val="24"/>
          <w:szCs w:val="22"/>
          <w:lang w:val="en-US" w:eastAsia="zh-CN"/>
        </w:rPr>
        <w:t>-30</w:t>
      </w:r>
      <w:r>
        <w:rPr>
          <w:rFonts w:ascii="Arial" w:hAnsi="Arial" w:eastAsia="宋体" w:cs="Arial"/>
          <w:b/>
          <w:sz w:val="24"/>
          <w:vertAlign w:val="superscript"/>
          <w:lang w:val="en-US" w:eastAsia="zh-CN"/>
        </w:rPr>
        <w:t>th</w:t>
      </w:r>
      <w:r>
        <w:rPr>
          <w:rFonts w:hint="eastAsia" w:ascii="Arial" w:hAnsi="Arial" w:eastAsia="宋体" w:cs="Arial"/>
          <w:b/>
          <w:sz w:val="24"/>
          <w:vertAlign w:val="superscript"/>
          <w:lang w:val="en-US" w:eastAsia="zh-CN"/>
        </w:rPr>
        <w:t xml:space="preserve">   </w:t>
      </w:r>
      <w:r>
        <w:rPr>
          <w:rFonts w:hint="eastAsia" w:ascii="Arial" w:hAnsi="Arial" w:eastAsia="宋体" w:cs="Arial"/>
          <w:b/>
          <w:sz w:val="24"/>
          <w:lang w:val="en-US" w:eastAsia="zh-CN"/>
        </w:rPr>
        <w:t xml:space="preserve">Aug. </w:t>
      </w:r>
      <w:r>
        <w:rPr>
          <w:rFonts w:ascii="Arial" w:hAnsi="Arial" w:cs="Arial"/>
          <w:b/>
          <w:sz w:val="24"/>
        </w:rPr>
        <w:t>2019</w:t>
      </w:r>
      <w:r>
        <w:rPr>
          <w:rFonts w:hint="eastAsia" w:ascii="Arial" w:hAnsi="Arial" w:eastAsia="宋体" w:cs="Arial"/>
          <w:b/>
          <w:sz w:val="24"/>
          <w:lang w:val="en-US" w:eastAsia="zh-CN"/>
        </w:rPr>
        <w:t xml:space="preserve"> </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hint="eastAsia"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 Sanechips</w:t>
      </w:r>
    </w:p>
    <w:p>
      <w:pPr>
        <w:tabs>
          <w:tab w:val="center" w:pos="4536"/>
          <w:tab w:val="right" w:pos="8280"/>
          <w:tab w:val="right" w:pos="9781"/>
        </w:tabs>
        <w:snapToGrid w:val="0"/>
        <w:spacing w:after="0" w:line="264" w:lineRule="auto"/>
        <w:jc w:val="left"/>
        <w:rPr>
          <w:rFonts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Remaining issues on UL NR positioning signals</w:t>
      </w:r>
    </w:p>
    <w:p>
      <w:pPr>
        <w:tabs>
          <w:tab w:val="center" w:pos="4536"/>
          <w:tab w:val="right" w:pos="8280"/>
          <w:tab w:val="right" w:pos="9781"/>
        </w:tabs>
        <w:snapToGrid w:val="0"/>
        <w:spacing w:after="0" w:line="264" w:lineRule="auto"/>
        <w:jc w:val="left"/>
        <w:rPr>
          <w:rFonts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ascii="Arial" w:hAnsi="Arial" w:cs="Arial"/>
          <w:b/>
          <w:bCs/>
          <w:sz w:val="24"/>
          <w:szCs w:val="24"/>
          <w:lang w:val="en-US" w:eastAsia="zh-CN"/>
        </w:rPr>
        <w:t>7</w:t>
      </w:r>
      <w:r>
        <w:rPr>
          <w:rFonts w:ascii="Arial" w:hAnsi="Arial" w:cs="Arial"/>
          <w:b/>
          <w:bCs/>
          <w:sz w:val="24"/>
          <w:szCs w:val="24"/>
          <w:lang w:eastAsia="zh-CN"/>
        </w:rPr>
        <w:t>.</w:t>
      </w:r>
      <w:r>
        <w:rPr>
          <w:rFonts w:ascii="Arial" w:hAnsi="Arial" w:cs="Arial"/>
          <w:b/>
          <w:bCs/>
          <w:sz w:val="24"/>
          <w:szCs w:val="24"/>
          <w:lang w:val="en-US" w:eastAsia="zh-CN"/>
        </w:rPr>
        <w:t>2.10.</w:t>
      </w:r>
      <w:r>
        <w:rPr>
          <w:rFonts w:hint="eastAsia" w:ascii="Arial" w:hAnsi="Arial" w:cs="Arial"/>
          <w:b/>
          <w:bCs/>
          <w:sz w:val="24"/>
          <w:szCs w:val="24"/>
          <w:lang w:val="en-US" w:eastAsia="zh-CN"/>
        </w:rPr>
        <w:t>2</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overflowPunct/>
        <w:autoSpaceDE/>
        <w:autoSpaceDN/>
        <w:snapToGrid w:val="0"/>
        <w:spacing w:afterLines="50" w:line="264" w:lineRule="auto"/>
        <w:textAlignment w:val="auto"/>
        <w:rPr>
          <w:rFonts w:hint="eastAsia" w:eastAsiaTheme="minorEastAsia"/>
          <w:sz w:val="20"/>
          <w:lang w:val="en-US" w:eastAsia="zh-CN"/>
        </w:rPr>
      </w:pPr>
      <w:r>
        <w:rPr>
          <w:rFonts w:hint="eastAsia" w:eastAsiaTheme="minorEastAsia"/>
          <w:sz w:val="20"/>
          <w:lang w:val="en-US" w:eastAsia="zh-CN"/>
        </w:rPr>
        <w:t>In RAN#83, NR positioning WID was approved [1] to specify solutions to enable RAT dependent(for both FR1 and FR2) and RAT independent NR positioning techniques, one objective on UL positioning methods is as follows:</w:t>
      </w:r>
    </w:p>
    <w:p>
      <w:pPr>
        <w:overflowPunct/>
        <w:autoSpaceDE/>
        <w:autoSpaceDN/>
        <w:snapToGrid w:val="0"/>
        <w:spacing w:afterLines="50" w:line="264" w:lineRule="auto"/>
        <w:textAlignment w:val="auto"/>
        <w:rPr>
          <w:rFonts w:eastAsiaTheme="minorEastAsia"/>
          <w:i/>
          <w:iCs/>
          <w:sz w:val="20"/>
          <w:szCs w:val="22"/>
          <w:lang w:val="en-US" w:eastAsia="zh-CN"/>
        </w:rPr>
      </w:pPr>
      <w:r>
        <w:rPr>
          <w:rFonts w:hint="default" w:eastAsiaTheme="minorEastAsia"/>
          <w:i/>
          <w:iCs/>
          <w:sz w:val="20"/>
          <w:szCs w:val="22"/>
          <w:lang w:val="en-US" w:eastAsia="zh-CN"/>
        </w:rPr>
        <w:t>“</w:t>
      </w:r>
      <w:r>
        <w:rPr>
          <w:rFonts w:eastAsiaTheme="minorEastAsia"/>
          <w:i/>
          <w:iCs/>
          <w:sz w:val="20"/>
          <w:szCs w:val="22"/>
          <w:lang w:val="en-US" w:eastAsia="zh-CN"/>
        </w:rPr>
        <w:t>Define UL SRS with possible enhancements for positioning which is applicable at least for RTT, UL-TDOA, UL-AoA”</w:t>
      </w:r>
    </w:p>
    <w:p>
      <w:pPr>
        <w:keepNext w:val="0"/>
        <w:keepLines w:val="0"/>
        <w:pageBreakBefore w:val="0"/>
        <w:widowControl/>
        <w:kinsoku/>
        <w:wordWrap/>
        <w:overflowPunct/>
        <w:topLinePunct w:val="0"/>
        <w:autoSpaceDE/>
        <w:autoSpaceDN/>
        <w:bidi w:val="0"/>
        <w:adjustRightInd w:val="0"/>
        <w:snapToGrid w:val="0"/>
        <w:spacing w:afterLines="50" w:line="264" w:lineRule="auto"/>
        <w:textAlignment w:val="auto"/>
        <w:rPr>
          <w:rFonts w:hint="default" w:eastAsiaTheme="minorEastAsia"/>
          <w:sz w:val="20"/>
          <w:lang w:val="en-US" w:eastAsia="zh-CN"/>
        </w:rPr>
      </w:pPr>
      <w:r>
        <w:rPr>
          <w:rFonts w:hint="eastAsia" w:eastAsiaTheme="minorEastAsia"/>
          <w:sz w:val="20"/>
          <w:lang w:val="en-US" w:eastAsia="zh-CN"/>
        </w:rPr>
        <w:t>After two times of online discussion, some agreements were achieved:</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u w:val="single"/>
        </w:rPr>
      </w:pPr>
      <w:r>
        <w:rPr>
          <w:i/>
          <w:iCs/>
          <w:color w:val="auto"/>
          <w:sz w:val="20"/>
          <w:szCs w:val="20"/>
          <w:highlight w:val="none"/>
          <w:u w:val="single"/>
        </w:rPr>
        <w:t>Agreement</w:t>
      </w:r>
      <w:r>
        <w:rPr>
          <w:rFonts w:hint="eastAsia" w:eastAsia="宋体"/>
          <w:i/>
          <w:iCs/>
          <w:color w:val="auto"/>
          <w:sz w:val="20"/>
          <w:szCs w:val="20"/>
          <w:highlight w:val="none"/>
          <w:u w:val="single"/>
          <w:lang w:val="en-US" w:eastAsia="zh-CN"/>
        </w:rPr>
        <w:t>#1</w:t>
      </w:r>
      <w:r>
        <w:rPr>
          <w:i/>
          <w:iCs/>
          <w:color w:val="auto"/>
          <w:sz w:val="20"/>
          <w:szCs w:val="20"/>
          <w:highlight w:val="none"/>
          <w:u w:val="single"/>
        </w:rPr>
        <w:t>:</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sz w:val="20"/>
          <w:szCs w:val="20"/>
        </w:rPr>
      </w:pPr>
      <w:r>
        <w:rPr>
          <w:i/>
          <w:iCs/>
          <w:sz w:val="20"/>
          <w:szCs w:val="20"/>
        </w:rPr>
        <w:t>SRS transmissions for positioning are realized with staggered patterns (a collection of SRS symbols from the same antenna port with different offsets for at least some symbols) in a single SRS resource</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line="240" w:lineRule="auto"/>
        <w:textAlignment w:val="baseline"/>
        <w:outlineLvl w:val="9"/>
        <w:rPr>
          <w:i/>
          <w:iCs/>
          <w:sz w:val="20"/>
          <w:szCs w:val="20"/>
        </w:rPr>
      </w:pPr>
      <w:r>
        <w:rPr>
          <w:i/>
          <w:iCs/>
          <w:sz w:val="20"/>
          <w:szCs w:val="20"/>
        </w:rPr>
        <w:t>FFS: construction of the pattern inside the SRS resource structure</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textAlignment w:val="baseline"/>
        <w:outlineLvl w:val="9"/>
        <w:rPr>
          <w:i/>
          <w:iCs/>
          <w:sz w:val="20"/>
          <w:szCs w:val="20"/>
        </w:rPr>
      </w:pP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u w:val="single"/>
        </w:rPr>
      </w:pPr>
      <w:r>
        <w:rPr>
          <w:i/>
          <w:iCs/>
          <w:color w:val="auto"/>
          <w:sz w:val="20"/>
          <w:szCs w:val="20"/>
          <w:highlight w:val="none"/>
          <w:u w:val="single"/>
        </w:rPr>
        <w:t>Agreement</w:t>
      </w:r>
      <w:r>
        <w:rPr>
          <w:rFonts w:hint="eastAsia" w:eastAsia="宋体"/>
          <w:i/>
          <w:iCs/>
          <w:color w:val="auto"/>
          <w:sz w:val="20"/>
          <w:szCs w:val="20"/>
          <w:highlight w:val="none"/>
          <w:u w:val="single"/>
          <w:lang w:val="en-US" w:eastAsia="zh-CN"/>
        </w:rPr>
        <w:t>#2</w:t>
      </w:r>
      <w:r>
        <w:rPr>
          <w:i/>
          <w:iCs/>
          <w:color w:val="auto"/>
          <w:sz w:val="20"/>
          <w:szCs w:val="20"/>
          <w:highlight w:val="none"/>
          <w:u w:val="single"/>
        </w:rPr>
        <w:t>:</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sz w:val="20"/>
          <w:szCs w:val="20"/>
        </w:rPr>
      </w:pPr>
      <w:r>
        <w:rPr>
          <w:i/>
          <w:iCs/>
          <w:sz w:val="20"/>
          <w:szCs w:val="20"/>
        </w:rPr>
        <w:t>For positioning, the number of consecutive OFDM symbols in an SRS resource is configurable with one of the values in the set {1, 2, 4, 8, 12}</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line="240" w:lineRule="auto"/>
        <w:textAlignment w:val="baseline"/>
        <w:outlineLvl w:val="9"/>
        <w:rPr>
          <w:i/>
          <w:iCs/>
          <w:sz w:val="20"/>
          <w:szCs w:val="20"/>
        </w:rPr>
      </w:pPr>
      <w:r>
        <w:rPr>
          <w:i/>
          <w:iCs/>
          <w:sz w:val="20"/>
          <w:szCs w:val="20"/>
        </w:rPr>
        <w:t>FFS: Other values including 3,6,14</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line="240" w:lineRule="auto"/>
        <w:textAlignment w:val="baseline"/>
        <w:outlineLvl w:val="9"/>
        <w:rPr>
          <w:i/>
          <w:iCs/>
          <w:sz w:val="20"/>
          <w:szCs w:val="20"/>
        </w:rPr>
      </w:pPr>
      <w:r>
        <w:rPr>
          <w:i/>
          <w:iCs/>
          <w:sz w:val="20"/>
          <w:szCs w:val="20"/>
        </w:rPr>
        <w:t>Note: Values of 1, 2 and 4 within an SRS resource can already be configured in Rel-15</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u w:val="single"/>
        </w:rPr>
      </w:pP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u w:val="single"/>
        </w:rPr>
      </w:pPr>
      <w:r>
        <w:rPr>
          <w:i/>
          <w:iCs/>
          <w:color w:val="auto"/>
          <w:sz w:val="20"/>
          <w:szCs w:val="20"/>
          <w:highlight w:val="none"/>
          <w:u w:val="single"/>
        </w:rPr>
        <w:t>Agreement</w:t>
      </w:r>
      <w:r>
        <w:rPr>
          <w:rFonts w:hint="eastAsia" w:eastAsia="宋体"/>
          <w:i/>
          <w:iCs/>
          <w:color w:val="auto"/>
          <w:sz w:val="20"/>
          <w:szCs w:val="20"/>
          <w:highlight w:val="none"/>
          <w:u w:val="single"/>
          <w:lang w:val="en-US" w:eastAsia="zh-CN"/>
        </w:rPr>
        <w:t>#3</w:t>
      </w:r>
      <w:r>
        <w:rPr>
          <w:i/>
          <w:iCs/>
          <w:color w:val="auto"/>
          <w:sz w:val="20"/>
          <w:szCs w:val="20"/>
          <w:highlight w:val="none"/>
          <w:u w:val="single"/>
        </w:rPr>
        <w:t>:</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sz w:val="20"/>
          <w:szCs w:val="20"/>
        </w:rPr>
      </w:pPr>
      <w:r>
        <w:rPr>
          <w:i/>
          <w:iCs/>
          <w:sz w:val="20"/>
          <w:szCs w:val="20"/>
        </w:rPr>
        <w:t>For positioning, starting positions in the time domain for the SRS resource can be anywhere in the slot, i.e. an offset l</w:t>
      </w:r>
      <w:r>
        <w:rPr>
          <w:i/>
          <w:iCs/>
          <w:sz w:val="20"/>
          <w:szCs w:val="20"/>
          <w:vertAlign w:val="subscript"/>
        </w:rPr>
        <w:t>offset</w:t>
      </w:r>
      <w:r>
        <w:rPr>
          <w:i/>
          <w:iCs/>
          <w:sz w:val="20"/>
          <w:szCs w:val="20"/>
        </w:rPr>
        <w:t xml:space="preserve">  range of {0,1,…,13}.</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u w:val="single"/>
        </w:rPr>
      </w:pP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u w:val="single"/>
        </w:rPr>
      </w:pPr>
      <w:r>
        <w:rPr>
          <w:i/>
          <w:iCs/>
          <w:color w:val="auto"/>
          <w:sz w:val="20"/>
          <w:szCs w:val="20"/>
          <w:highlight w:val="none"/>
          <w:u w:val="single"/>
        </w:rPr>
        <w:t>Agreement</w:t>
      </w:r>
      <w:r>
        <w:rPr>
          <w:rFonts w:hint="eastAsia" w:eastAsia="宋体"/>
          <w:i/>
          <w:iCs/>
          <w:color w:val="auto"/>
          <w:sz w:val="20"/>
          <w:szCs w:val="20"/>
          <w:highlight w:val="none"/>
          <w:u w:val="single"/>
          <w:lang w:val="en-US" w:eastAsia="zh-CN"/>
        </w:rPr>
        <w:t>#4</w:t>
      </w:r>
      <w:r>
        <w:rPr>
          <w:i/>
          <w:iCs/>
          <w:color w:val="auto"/>
          <w:sz w:val="20"/>
          <w:szCs w:val="20"/>
          <w:highlight w:val="none"/>
          <w:u w:val="single"/>
        </w:rPr>
        <w:t>:</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sz w:val="20"/>
          <w:szCs w:val="20"/>
        </w:rPr>
      </w:pPr>
      <w:r>
        <w:rPr>
          <w:i/>
          <w:iCs/>
          <w:sz w:val="20"/>
          <w:szCs w:val="20"/>
        </w:rPr>
        <w:t>For positioning, with regard to UL Beam management/alignment towards serving and neighbouring cells, at least the following (option 2 from prior agreement) can be used:</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line="240" w:lineRule="auto"/>
        <w:textAlignment w:val="baseline"/>
        <w:outlineLvl w:val="9"/>
        <w:rPr>
          <w:i/>
          <w:iCs/>
          <w:sz w:val="20"/>
          <w:szCs w:val="20"/>
        </w:rPr>
      </w:pPr>
      <w:r>
        <w:rPr>
          <w:i/>
          <w:iCs/>
          <w:sz w:val="20"/>
          <w:szCs w:val="20"/>
        </w:rPr>
        <w:t>UE Tx beam-sweeping on UL SRS transmissions across multiple UL SRS Resources</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line="240" w:lineRule="auto"/>
        <w:textAlignment w:val="baseline"/>
        <w:outlineLvl w:val="9"/>
        <w:rPr>
          <w:i/>
          <w:iCs/>
          <w:sz w:val="20"/>
          <w:szCs w:val="20"/>
        </w:rPr>
      </w:pPr>
      <w:r>
        <w:rPr>
          <w:i/>
          <w:iCs/>
          <w:sz w:val="20"/>
          <w:szCs w:val="20"/>
        </w:rPr>
        <w:t>FFS: other options</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u w:val="single"/>
        </w:rPr>
      </w:pP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color w:val="auto"/>
          <w:sz w:val="20"/>
          <w:szCs w:val="20"/>
          <w:highlight w:val="none"/>
          <w:u w:val="single"/>
        </w:rPr>
      </w:pPr>
      <w:r>
        <w:rPr>
          <w:i/>
          <w:iCs/>
          <w:color w:val="auto"/>
          <w:sz w:val="20"/>
          <w:szCs w:val="20"/>
          <w:highlight w:val="none"/>
          <w:u w:val="single"/>
        </w:rPr>
        <w:t>Agreement</w:t>
      </w:r>
      <w:r>
        <w:rPr>
          <w:rFonts w:hint="eastAsia" w:eastAsia="宋体"/>
          <w:i/>
          <w:iCs/>
          <w:color w:val="auto"/>
          <w:sz w:val="20"/>
          <w:szCs w:val="20"/>
          <w:highlight w:val="none"/>
          <w:u w:val="single"/>
          <w:lang w:val="en-US" w:eastAsia="zh-CN"/>
        </w:rPr>
        <w:t>#5</w:t>
      </w:r>
      <w:r>
        <w:rPr>
          <w:i/>
          <w:iCs/>
          <w:color w:val="auto"/>
          <w:sz w:val="20"/>
          <w:szCs w:val="20"/>
          <w:highlight w:val="none"/>
          <w:u w:val="single"/>
        </w:rPr>
        <w:t>:</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sz w:val="20"/>
          <w:szCs w:val="20"/>
        </w:rPr>
      </w:pPr>
      <w:r>
        <w:rPr>
          <w:i/>
          <w:iCs/>
          <w:sz w:val="20"/>
          <w:szCs w:val="20"/>
        </w:rPr>
        <w:t>For positioning, the SRS comb size set is extended from {2,4} to {2,4,8}</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textAlignment w:val="baseline"/>
        <w:outlineLvl w:val="9"/>
        <w:rPr>
          <w:i/>
          <w:iCs/>
          <w:sz w:val="20"/>
          <w:szCs w:val="20"/>
        </w:rPr>
      </w:pPr>
      <w:r>
        <w:rPr>
          <w:i/>
          <w:iCs/>
          <w:sz w:val="20"/>
          <w:szCs w:val="20"/>
        </w:rPr>
        <w:t>FFS: Additional comb sizes: 1, 6, 12</w:t>
      </w:r>
    </w:p>
    <w:p>
      <w:pPr>
        <w:keepNext w:val="0"/>
        <w:keepLines w:val="0"/>
        <w:pageBreakBefore w:val="0"/>
        <w:widowControl/>
        <w:numPr>
          <w:ilvl w:val="1"/>
          <w:numId w:val="9"/>
        </w:numPr>
        <w:kinsoku/>
        <w:wordWrap/>
        <w:overflowPunct w:val="0"/>
        <w:topLinePunct w:val="0"/>
        <w:autoSpaceDE w:val="0"/>
        <w:autoSpaceDN w:val="0"/>
        <w:bidi w:val="0"/>
        <w:adjustRightInd w:val="0"/>
        <w:snapToGrid w:val="0"/>
        <w:spacing w:after="0" w:line="240" w:lineRule="auto"/>
        <w:textAlignment w:val="baseline"/>
        <w:outlineLvl w:val="9"/>
        <w:rPr>
          <w:i/>
          <w:iCs/>
          <w:sz w:val="20"/>
          <w:szCs w:val="20"/>
        </w:rPr>
      </w:pPr>
      <w:r>
        <w:rPr>
          <w:i/>
          <w:iCs/>
          <w:sz w:val="20"/>
          <w:szCs w:val="20"/>
        </w:rPr>
        <w:t>Note: For the comb sizes of 6 and 12, the number of PRBs may be restricted if currently defined sequences are to be used</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textAlignment w:val="baseline"/>
        <w:outlineLvl w:val="9"/>
        <w:rPr>
          <w:rFonts w:hint="default" w:eastAsiaTheme="minorEastAsia"/>
          <w:sz w:val="20"/>
          <w:lang w:val="en-US" w:eastAsia="zh-CN"/>
        </w:rPr>
      </w:pPr>
      <w:r>
        <w:rPr>
          <w:i/>
          <w:iCs/>
          <w:sz w:val="20"/>
          <w:szCs w:val="20"/>
        </w:rPr>
        <w:t>FFS: Maximum number of cyclic shifts for the different comb sizes (cyclic shifts for comb sizes of 2 and 4 already exist in Rel-15)</w:t>
      </w:r>
    </w:p>
    <w:p>
      <w:pPr>
        <w:keepNext w:val="0"/>
        <w:keepLines w:val="0"/>
        <w:pageBreakBefore w:val="0"/>
        <w:widowControl w:val="0"/>
        <w:kinsoku/>
        <w:wordWrap/>
        <w:overflowPunct w:val="0"/>
        <w:topLinePunct w:val="0"/>
        <w:autoSpaceDE w:val="0"/>
        <w:autoSpaceDN w:val="0"/>
        <w:bidi w:val="0"/>
        <w:adjustRightInd w:val="0"/>
        <w:snapToGrid w:val="0"/>
        <w:spacing w:before="181" w:beforeLines="50" w:after="181" w:afterLines="50" w:line="240" w:lineRule="auto"/>
        <w:textAlignment w:val="center"/>
        <w:outlineLvl w:val="9"/>
        <w:rPr>
          <w:rFonts w:hint="default" w:eastAsiaTheme="minorEastAsia"/>
          <w:sz w:val="20"/>
          <w:szCs w:val="22"/>
          <w:lang w:val="en-US" w:eastAsia="zh-CN"/>
        </w:rPr>
      </w:pPr>
      <w:r>
        <w:rPr>
          <w:rFonts w:hint="eastAsia" w:eastAsiaTheme="minorEastAsia"/>
          <w:sz w:val="20"/>
          <w:szCs w:val="22"/>
          <w:lang w:val="en-US" w:eastAsia="zh-CN"/>
        </w:rPr>
        <w:t>Yet some remaining issues are still need to be further discussed, in this paper we provide our opinion towards UL SRS for positioning.</w:t>
      </w:r>
    </w:p>
    <w:p>
      <w:pPr>
        <w:pStyle w:val="2"/>
        <w:tabs>
          <w:tab w:val="left" w:pos="360"/>
          <w:tab w:val="clear" w:pos="612"/>
        </w:tabs>
        <w:ind w:hanging="612"/>
      </w:pPr>
      <w:r>
        <w:rPr>
          <w:rFonts w:hint="eastAsia"/>
          <w:lang w:val="en-US" w:eastAsia="zh-CN"/>
        </w:rPr>
        <w:t>Discussion</w:t>
      </w:r>
    </w:p>
    <w:p>
      <w:pPr>
        <w:pStyle w:val="3"/>
        <w:widowControl w:val="0"/>
        <w:pBdr>
          <w:top w:val="none" w:color="auto" w:sz="0" w:space="0"/>
        </w:pBdr>
        <w:overflowPunct/>
        <w:snapToGrid w:val="0"/>
        <w:spacing w:before="260" w:after="260" w:line="240" w:lineRule="auto"/>
        <w:jc w:val="left"/>
        <w:textAlignment w:val="auto"/>
        <w:rPr>
          <w:rFonts w:hint="default" w:ascii="Arial" w:hAnsi="Arial" w:eastAsia="黑体" w:cs="Arial"/>
          <w:iCs w:val="0"/>
          <w:sz w:val="21"/>
          <w:szCs w:val="21"/>
          <w:lang w:val="en-US" w:eastAsia="zh-CN"/>
        </w:rPr>
      </w:pPr>
      <w:r>
        <w:rPr>
          <w:rFonts w:hint="eastAsia" w:eastAsia="黑体" w:cs="Arial"/>
          <w:iCs w:val="0"/>
          <w:sz w:val="21"/>
          <w:szCs w:val="21"/>
          <w:lang w:val="en-US" w:eastAsia="zh-CN"/>
        </w:rPr>
        <w:t>U</w:t>
      </w:r>
      <w:r>
        <w:rPr>
          <w:rFonts w:hint="default" w:ascii="Arial" w:hAnsi="Arial" w:eastAsia="黑体" w:cs="Arial"/>
          <w:iCs w:val="0"/>
          <w:sz w:val="21"/>
          <w:szCs w:val="21"/>
          <w:lang w:val="en-US" w:eastAsia="zh-CN"/>
        </w:rPr>
        <w:t>sage</w:t>
      </w:r>
    </w:p>
    <w:p>
      <w:pPr>
        <w:pStyle w:val="14"/>
        <w:overflowPunct/>
        <w:autoSpaceDE/>
        <w:autoSpaceDN/>
        <w:snapToGrid w:val="0"/>
        <w:spacing w:beforeLines="50" w:afterLines="50" w:line="240" w:lineRule="auto"/>
        <w:textAlignment w:val="auto"/>
        <w:rPr>
          <w:b w:val="0"/>
          <w:bCs w:val="0"/>
          <w:sz w:val="20"/>
          <w:lang w:val="en-US" w:eastAsia="zh-CN"/>
        </w:rPr>
      </w:pPr>
      <w:r>
        <w:rPr>
          <w:rFonts w:hint="eastAsia"/>
          <w:b w:val="0"/>
          <w:bCs w:val="0"/>
          <w:sz w:val="20"/>
          <w:lang w:val="en-US" w:eastAsia="zh-CN"/>
        </w:rPr>
        <w:t xml:space="preserve">Whether </w:t>
      </w:r>
      <w:r>
        <w:rPr>
          <w:b w:val="0"/>
          <w:bCs w:val="0"/>
          <w:sz w:val="20"/>
          <w:lang w:val="en-US" w:eastAsia="zh-CN"/>
        </w:rPr>
        <w:t xml:space="preserve">to support </w:t>
      </w:r>
      <w:r>
        <w:rPr>
          <w:rFonts w:hint="eastAsia"/>
          <w:b w:val="0"/>
          <w:bCs w:val="0"/>
          <w:sz w:val="20"/>
          <w:lang w:val="en-US" w:eastAsia="zh-CN"/>
        </w:rPr>
        <w:t xml:space="preserve">a new usage of SRS is not agreed yet. In Rel-15, the higher layer parameter usage is configured per SRS resource set, the candidate values include </w:t>
      </w:r>
      <w:r>
        <w:rPr>
          <w:rFonts w:hint="eastAsia"/>
          <w:b w:val="0"/>
          <w:bCs w:val="0"/>
          <w:i/>
          <w:iCs/>
          <w:sz w:val="20"/>
          <w:lang w:val="en-US" w:eastAsia="zh-CN"/>
        </w:rPr>
        <w:t>beamManagement, codebook, nonCodebook, antennaSwitching</w:t>
      </w:r>
      <w:r>
        <w:rPr>
          <w:rFonts w:hint="eastAsia"/>
          <w:b w:val="0"/>
          <w:bCs w:val="0"/>
          <w:sz w:val="20"/>
          <w:lang w:val="en-US" w:eastAsia="zh-CN"/>
        </w:rPr>
        <w:t xml:space="preserve">. </w:t>
      </w:r>
    </w:p>
    <w:p>
      <w:pPr>
        <w:snapToGrid w:val="0"/>
        <w:spacing w:after="181"/>
        <w:rPr>
          <w:rFonts w:hint="eastAsia"/>
          <w:i w:val="0"/>
          <w:iCs w:val="0"/>
          <w:sz w:val="20"/>
          <w:lang w:val="en-US" w:eastAsia="zh-CN"/>
        </w:rPr>
      </w:pPr>
      <w:r>
        <w:rPr>
          <w:rFonts w:hint="eastAsia"/>
          <w:sz w:val="20"/>
          <w:lang w:val="en-US" w:eastAsia="zh-CN"/>
        </w:rPr>
        <w:t>According to our understanding, a new usage of SRS with some modification is enough for positioning and nearly cost</w:t>
      </w:r>
      <w:r>
        <w:rPr>
          <w:sz w:val="20"/>
          <w:lang w:val="en-US" w:eastAsia="zh-CN"/>
        </w:rPr>
        <w:t>s</w:t>
      </w:r>
      <w:r>
        <w:rPr>
          <w:rFonts w:hint="eastAsia"/>
          <w:sz w:val="20"/>
          <w:lang w:val="en-US" w:eastAsia="zh-CN"/>
        </w:rPr>
        <w:t xml:space="preserve"> nothing. The main </w:t>
      </w:r>
      <w:r>
        <w:rPr>
          <w:sz w:val="20"/>
          <w:lang w:val="en-US" w:eastAsia="zh-CN"/>
        </w:rPr>
        <w:t>concern with such new usage of SRS</w:t>
      </w:r>
      <w:r>
        <w:rPr>
          <w:rFonts w:hint="eastAsia"/>
          <w:sz w:val="20"/>
          <w:lang w:val="en-US" w:eastAsia="zh-CN"/>
        </w:rPr>
        <w:t xml:space="preserve"> is that sometimes the SRS may not be used purely for positioning</w:t>
      </w:r>
      <w:r>
        <w:rPr>
          <w:sz w:val="20"/>
          <w:lang w:val="en-US" w:eastAsia="zh-CN"/>
        </w:rPr>
        <w:t xml:space="preserve">. In our view, </w:t>
      </w:r>
      <w:r>
        <w:rPr>
          <w:rFonts w:hint="eastAsia"/>
          <w:sz w:val="20"/>
          <w:lang w:val="en-US" w:eastAsia="zh-CN"/>
        </w:rPr>
        <w:t>this problem can be solved by configuring two usage</w:t>
      </w:r>
      <w:r>
        <w:rPr>
          <w:sz w:val="20"/>
          <w:lang w:val="en-US" w:eastAsia="zh-CN"/>
        </w:rPr>
        <w:t>s</w:t>
      </w:r>
      <w:r>
        <w:rPr>
          <w:rFonts w:hint="eastAsia"/>
          <w:sz w:val="20"/>
          <w:lang w:val="en-US" w:eastAsia="zh-CN"/>
        </w:rPr>
        <w:t xml:space="preserve"> for one SRS set. So we propose to agree one new candidate value of higher layer parameter </w:t>
      </w:r>
      <w:r>
        <w:rPr>
          <w:rFonts w:hint="eastAsia"/>
          <w:i/>
          <w:iCs/>
          <w:sz w:val="20"/>
          <w:lang w:val="en-US" w:eastAsia="zh-CN"/>
        </w:rPr>
        <w:t xml:space="preserve">usage </w:t>
      </w:r>
      <w:r>
        <w:rPr>
          <w:rFonts w:hint="eastAsia"/>
          <w:sz w:val="20"/>
          <w:lang w:val="en-US" w:eastAsia="zh-CN"/>
        </w:rPr>
        <w:t xml:space="preserve">per SRS resource set, i.e. </w:t>
      </w:r>
      <w:r>
        <w:rPr>
          <w:rFonts w:hint="eastAsia"/>
          <w:i/>
          <w:iCs/>
          <w:sz w:val="20"/>
          <w:lang w:val="en-US" w:eastAsia="zh-CN"/>
        </w:rPr>
        <w:t xml:space="preserve">positioning. </w:t>
      </w:r>
      <w:r>
        <w:rPr>
          <w:rFonts w:hint="eastAsia"/>
          <w:i w:val="0"/>
          <w:iCs w:val="0"/>
          <w:sz w:val="20"/>
          <w:lang w:val="en-US" w:eastAsia="zh-CN"/>
        </w:rPr>
        <w:t>Otherwise,</w:t>
      </w:r>
      <w:r>
        <w:rPr>
          <w:rFonts w:hint="eastAsia"/>
          <w:i/>
          <w:iCs/>
          <w:sz w:val="20"/>
          <w:lang w:val="en-US" w:eastAsia="zh-CN"/>
        </w:rPr>
        <w:t xml:space="preserve"> </w:t>
      </w:r>
      <w:r>
        <w:rPr>
          <w:rFonts w:hint="eastAsia"/>
          <w:i w:val="0"/>
          <w:iCs w:val="0"/>
          <w:sz w:val="20"/>
          <w:lang w:val="en-US" w:eastAsia="zh-CN"/>
        </w:rPr>
        <w:t xml:space="preserve">one of the current usages, e.g. </w:t>
      </w:r>
      <w:r>
        <w:rPr>
          <w:rFonts w:hint="eastAsia"/>
          <w:i/>
          <w:iCs/>
          <w:sz w:val="20"/>
          <w:lang w:val="en-US" w:eastAsia="zh-CN"/>
        </w:rPr>
        <w:t xml:space="preserve">beamManagement </w:t>
      </w:r>
      <w:r>
        <w:rPr>
          <w:rFonts w:hint="eastAsia"/>
          <w:i w:val="0"/>
          <w:iCs w:val="0"/>
          <w:sz w:val="20"/>
          <w:lang w:val="en-US" w:eastAsia="zh-CN"/>
        </w:rPr>
        <w:t xml:space="preserve"> should be used for positioning if SRS for positioning is configured by RRC signaling. That</w:t>
      </w:r>
      <w:r>
        <w:rPr>
          <w:rFonts w:hint="default"/>
          <w:i w:val="0"/>
          <w:iCs w:val="0"/>
          <w:sz w:val="20"/>
          <w:lang w:val="en-US" w:eastAsia="zh-CN"/>
        </w:rPr>
        <w:t>’</w:t>
      </w:r>
      <w:r>
        <w:rPr>
          <w:rFonts w:hint="eastAsia"/>
          <w:i w:val="0"/>
          <w:iCs w:val="0"/>
          <w:sz w:val="20"/>
          <w:lang w:val="en-US" w:eastAsia="zh-CN"/>
        </w:rPr>
        <w:t xml:space="preserve">s because the higher layer parameter of </w:t>
      </w:r>
      <w:r>
        <w:rPr>
          <w:rFonts w:hint="eastAsia"/>
          <w:i/>
          <w:iCs/>
          <w:sz w:val="20"/>
          <w:lang w:val="en-US" w:eastAsia="zh-CN"/>
        </w:rPr>
        <w:t>usage</w:t>
      </w:r>
      <w:r>
        <w:rPr>
          <w:rFonts w:hint="eastAsia"/>
          <w:i w:val="0"/>
          <w:iCs w:val="0"/>
          <w:sz w:val="20"/>
          <w:lang w:val="en-US" w:eastAsia="zh-CN"/>
        </w:rPr>
        <w:t xml:space="preserve"> is mandatory configured. Then some of SRS resource sets configured with </w:t>
      </w:r>
      <w:r>
        <w:rPr>
          <w:rFonts w:hint="eastAsia"/>
          <w:b w:val="0"/>
          <w:bCs w:val="0"/>
          <w:i/>
          <w:iCs/>
          <w:sz w:val="20"/>
          <w:lang w:val="en-US" w:eastAsia="zh-CN"/>
        </w:rPr>
        <w:t xml:space="preserve">beamManagement </w:t>
      </w:r>
      <w:r>
        <w:rPr>
          <w:rFonts w:hint="eastAsia"/>
          <w:i w:val="0"/>
          <w:iCs w:val="0"/>
          <w:sz w:val="20"/>
          <w:lang w:val="en-US" w:eastAsia="zh-CN"/>
        </w:rPr>
        <w:t>are actually for positioning rather than for beam management, but UE doesn</w:t>
      </w:r>
      <w:r>
        <w:rPr>
          <w:rFonts w:hint="default"/>
          <w:i w:val="0"/>
          <w:iCs w:val="0"/>
          <w:sz w:val="20"/>
          <w:lang w:val="en-US" w:eastAsia="zh-CN"/>
        </w:rPr>
        <w:t>’</w:t>
      </w:r>
      <w:r>
        <w:rPr>
          <w:rFonts w:hint="eastAsia"/>
          <w:i w:val="0"/>
          <w:iCs w:val="0"/>
          <w:sz w:val="20"/>
          <w:lang w:val="en-US" w:eastAsia="zh-CN"/>
        </w:rPr>
        <w:t xml:space="preserve">t know this information. However,  this will cause incorrect UE behavior as the following rule for SRS for beam management should be satisfied based on current 38.214. Likewise, other usages, like </w:t>
      </w:r>
      <w:r>
        <w:rPr>
          <w:rFonts w:hint="eastAsia"/>
          <w:b w:val="0"/>
          <w:bCs w:val="0"/>
          <w:i/>
          <w:iCs/>
          <w:sz w:val="20"/>
          <w:lang w:val="en-US" w:eastAsia="zh-CN"/>
        </w:rPr>
        <w:t xml:space="preserve">codebook, nonCodebook, antennaSwitching, </w:t>
      </w:r>
      <w:r>
        <w:rPr>
          <w:rFonts w:hint="eastAsia"/>
          <w:b w:val="0"/>
          <w:bCs w:val="0"/>
          <w:i w:val="0"/>
          <w:iCs w:val="0"/>
          <w:sz w:val="20"/>
          <w:lang w:val="en-US" w:eastAsia="zh-CN"/>
        </w:rPr>
        <w:t>are also hard to be reused for positioning because the number of ports, SRS precoder, power control, etc. may not be the same between positioning and others.</w:t>
      </w:r>
    </w:p>
    <w:p>
      <w:pPr>
        <w:snapToGrid w:val="0"/>
        <w:spacing w:after="0" w:line="240" w:lineRule="auto"/>
        <w:rPr>
          <w:rFonts w:hint="eastAsia"/>
          <w:i w:val="0"/>
          <w:iCs w:val="0"/>
          <w:sz w:val="20"/>
          <w:lang w:val="en-US" w:eastAsia="zh-CN"/>
        </w:rPr>
      </w:pPr>
      <w:r>
        <w:rPr>
          <w:rFonts w:hint="eastAsia"/>
          <w:i w:val="0"/>
          <w:iCs w:val="0"/>
          <w:sz w:val="20"/>
          <w:lang w:val="en-US" w:eastAsia="zh-CN"/>
        </w:rPr>
        <w:t>----------------------------------------38.214---------------------------------------</w:t>
      </w:r>
    </w:p>
    <w:p>
      <w:pPr>
        <w:snapToGrid w:val="0"/>
        <w:spacing w:after="0" w:line="240" w:lineRule="auto"/>
        <w:rPr>
          <w:color w:val="000000"/>
          <w:sz w:val="20"/>
        </w:rPr>
      </w:pPr>
      <w:r>
        <w:rPr>
          <w:color w:val="000000"/>
          <w:sz w:val="20"/>
        </w:rPr>
        <w:t>When the higher layer parameter</w:t>
      </w:r>
      <w:r>
        <w:rPr>
          <w:i/>
          <w:color w:val="000000"/>
          <w:sz w:val="20"/>
        </w:rPr>
        <w:t xml:space="preserve"> usage </w:t>
      </w:r>
      <w:r>
        <w:rPr>
          <w:color w:val="000000"/>
          <w:sz w:val="20"/>
        </w:rPr>
        <w:t>is set to 'beamManagement'</w:t>
      </w:r>
      <w:r>
        <w:rPr>
          <w:i/>
          <w:color w:val="000000"/>
          <w:sz w:val="20"/>
        </w:rPr>
        <w:t xml:space="preserve">, </w:t>
      </w:r>
      <w:r>
        <w:rPr>
          <w:color w:val="000000"/>
          <w:sz w:val="20"/>
        </w:rPr>
        <w:t>only one SRS resource in each of multiple SRS sets may be transmitted at a given time instant, but the SRS resources in different SRS resource sets with the same time domain behaviour in the same BWP may be transmitted simultaneously.</w:t>
      </w:r>
    </w:p>
    <w:p>
      <w:pPr>
        <w:snapToGrid w:val="0"/>
        <w:spacing w:after="0" w:line="240" w:lineRule="auto"/>
        <w:rPr>
          <w:rFonts w:hint="eastAsia" w:cs="Times New Roman"/>
          <w:b/>
          <w:bCs/>
          <w:i/>
          <w:iCs/>
          <w:sz w:val="20"/>
          <w:szCs w:val="20"/>
          <w:lang w:val="en-US" w:eastAsia="zh-CN" w:bidi="ar-SA"/>
        </w:rPr>
      </w:pPr>
      <w:r>
        <w:rPr>
          <w:rFonts w:hint="eastAsia" w:eastAsia="宋体"/>
          <w:color w:val="000000"/>
          <w:sz w:val="20"/>
          <w:lang w:val="en-US" w:eastAsia="zh-CN"/>
        </w:rPr>
        <w:t>----------------------------------------------------------------------------------------</w:t>
      </w:r>
    </w:p>
    <w:p>
      <w:pPr>
        <w:pStyle w:val="14"/>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outlineLvl w:val="9"/>
        <w:rPr>
          <w:rFonts w:hint="eastAsia" w:cs="Times New Roman"/>
          <w:b/>
          <w:bCs/>
          <w:i/>
          <w:iCs/>
          <w:sz w:val="20"/>
          <w:szCs w:val="20"/>
          <w:lang w:val="en-US" w:eastAsia="zh-CN" w:bidi="ar-SA"/>
        </w:rPr>
      </w:pPr>
      <w:r>
        <w:rPr>
          <w:rFonts w:hint="eastAsia" w:cs="Times New Roman"/>
          <w:b/>
          <w:bCs/>
          <w:i/>
          <w:iCs/>
          <w:sz w:val="20"/>
          <w:szCs w:val="20"/>
          <w:lang w:val="en-US" w:eastAsia="zh-CN" w:bidi="ar-SA"/>
        </w:rPr>
        <w:t xml:space="preserve">Proposal 1: Introduce a new usage, i.e. </w:t>
      </w:r>
      <w:r>
        <w:rPr>
          <w:rFonts w:hint="default" w:cs="Times New Roman"/>
          <w:b/>
          <w:bCs/>
          <w:i/>
          <w:iCs/>
          <w:sz w:val="20"/>
          <w:szCs w:val="20"/>
          <w:lang w:val="en-US" w:eastAsia="zh-CN" w:bidi="ar-SA"/>
        </w:rPr>
        <w:t>‘</w:t>
      </w:r>
      <w:r>
        <w:rPr>
          <w:rFonts w:hint="eastAsia" w:cs="Times New Roman"/>
          <w:b/>
          <w:bCs/>
          <w:i/>
          <w:iCs/>
          <w:sz w:val="20"/>
          <w:szCs w:val="20"/>
          <w:lang w:val="en-US" w:eastAsia="zh-CN" w:bidi="ar-SA"/>
        </w:rPr>
        <w:t>positioning</w:t>
      </w:r>
      <w:r>
        <w:rPr>
          <w:rFonts w:hint="default" w:cs="Times New Roman"/>
          <w:b/>
          <w:bCs/>
          <w:i/>
          <w:iCs/>
          <w:sz w:val="20"/>
          <w:szCs w:val="20"/>
          <w:lang w:val="en-US" w:eastAsia="zh-CN" w:bidi="ar-SA"/>
        </w:rPr>
        <w:t>’</w:t>
      </w:r>
      <w:r>
        <w:rPr>
          <w:rFonts w:hint="eastAsia" w:cs="Times New Roman"/>
          <w:b/>
          <w:bCs/>
          <w:i/>
          <w:iCs/>
          <w:sz w:val="20"/>
          <w:szCs w:val="20"/>
          <w:lang w:val="en-US" w:eastAsia="zh-CN" w:bidi="ar-SA"/>
        </w:rPr>
        <w:t xml:space="preserve"> per SRS resource set.</w:t>
      </w:r>
    </w:p>
    <w:p>
      <w:pPr>
        <w:pStyle w:val="3"/>
        <w:widowControl w:val="0"/>
        <w:pBdr>
          <w:top w:val="none" w:color="auto" w:sz="0" w:space="0"/>
        </w:pBdr>
        <w:overflowPunct/>
        <w:snapToGrid w:val="0"/>
        <w:spacing w:before="260" w:after="260" w:line="240" w:lineRule="auto"/>
        <w:jc w:val="left"/>
        <w:textAlignment w:val="auto"/>
        <w:rPr>
          <w:rFonts w:hint="default" w:ascii="Arial" w:hAnsi="Arial" w:eastAsia="黑体" w:cs="Arial"/>
          <w:iCs w:val="0"/>
          <w:sz w:val="21"/>
          <w:szCs w:val="21"/>
          <w:lang w:val="en-US" w:eastAsia="zh-CN"/>
        </w:rPr>
      </w:pPr>
      <w:r>
        <w:rPr>
          <w:rFonts w:hint="eastAsia" w:eastAsia="黑体" w:cs="Arial"/>
          <w:iCs w:val="0"/>
          <w:sz w:val="21"/>
          <w:szCs w:val="21"/>
          <w:lang w:val="en-US" w:eastAsia="zh-CN"/>
        </w:rPr>
        <w:t>Configuration</w:t>
      </w:r>
    </w:p>
    <w:p>
      <w:pPr>
        <w:keepNext w:val="0"/>
        <w:keepLines w:val="0"/>
        <w:pageBreakBefore w:val="0"/>
        <w:widowControl/>
        <w:kinsoku/>
        <w:wordWrap/>
        <w:topLinePunct w:val="0"/>
        <w:bidi w:val="0"/>
        <w:adjustRightInd w:val="0"/>
        <w:snapToGrid w:val="0"/>
        <w:spacing w:before="181" w:beforeLines="50" w:after="181" w:afterLines="50" w:line="240" w:lineRule="auto"/>
        <w:outlineLvl w:val="9"/>
        <w:rPr>
          <w:rFonts w:hint="default"/>
          <w:b w:val="0"/>
          <w:bCs w:val="0"/>
          <w:sz w:val="20"/>
          <w:szCs w:val="20"/>
          <w:lang w:val="en-US" w:eastAsia="zh-CN"/>
        </w:rPr>
      </w:pPr>
      <w:r>
        <w:rPr>
          <w:rFonts w:hint="eastAsia"/>
          <w:b w:val="0"/>
          <w:bCs w:val="0"/>
          <w:sz w:val="20"/>
          <w:szCs w:val="20"/>
          <w:lang w:val="en-US" w:eastAsia="zh-CN"/>
        </w:rPr>
        <w:t>Different with DL, UL SRS transmission needs to consider more about UE transmission power, UE capability for bandwidth, numerology. Specifically, the maximum transmission bandwidth is aligned with the BWP which is configured UE for data transmission. So SRS cannot be transmitted outside the active UL BWP.</w:t>
      </w:r>
    </w:p>
    <w:p>
      <w:pPr>
        <w:keepNext w:val="0"/>
        <w:keepLines w:val="0"/>
        <w:pageBreakBefore w:val="0"/>
        <w:widowControl/>
        <w:kinsoku/>
        <w:wordWrap/>
        <w:topLinePunct w:val="0"/>
        <w:bidi w:val="0"/>
        <w:adjustRightInd w:val="0"/>
        <w:snapToGrid w:val="0"/>
        <w:spacing w:before="181" w:beforeLines="50" w:after="181" w:afterLines="50" w:line="240" w:lineRule="auto"/>
        <w:outlineLvl w:val="9"/>
        <w:rPr>
          <w:rFonts w:hint="eastAsia" w:eastAsia="宋体"/>
          <w:b/>
          <w:bCs/>
          <w:i/>
          <w:iCs/>
          <w:sz w:val="20"/>
          <w:szCs w:val="20"/>
          <w:lang w:val="en-US" w:eastAsia="zh-CN"/>
        </w:rPr>
      </w:pPr>
      <w:r>
        <w:rPr>
          <w:rFonts w:hint="eastAsia"/>
          <w:b/>
          <w:bCs/>
          <w:i/>
          <w:iCs/>
          <w:sz w:val="20"/>
          <w:szCs w:val="20"/>
          <w:lang w:val="en-US" w:eastAsia="zh-CN"/>
        </w:rPr>
        <w:t xml:space="preserve">Proposal 2: </w:t>
      </w:r>
      <w:r>
        <w:rPr>
          <w:b/>
          <w:bCs/>
          <w:i/>
          <w:iCs/>
          <w:sz w:val="20"/>
          <w:szCs w:val="20"/>
        </w:rPr>
        <w:t>SRS is configured within the active UL BWP</w:t>
      </w:r>
      <w:r>
        <w:rPr>
          <w:rFonts w:hint="eastAsia" w:eastAsia="宋体"/>
          <w:b/>
          <w:bCs/>
          <w:i/>
          <w:iCs/>
          <w:sz w:val="20"/>
          <w:szCs w:val="20"/>
          <w:lang w:val="en-US" w:eastAsia="zh-CN"/>
        </w:rPr>
        <w:t>.</w:t>
      </w:r>
    </w:p>
    <w:p>
      <w:pPr>
        <w:pStyle w:val="3"/>
        <w:widowControl w:val="0"/>
        <w:pBdr>
          <w:top w:val="none" w:color="auto" w:sz="0" w:space="0"/>
        </w:pBdr>
        <w:overflowPunct/>
        <w:snapToGrid w:val="0"/>
        <w:spacing w:before="260" w:after="260" w:line="240" w:lineRule="auto"/>
        <w:jc w:val="left"/>
        <w:textAlignment w:val="auto"/>
        <w:rPr>
          <w:rFonts w:hint="eastAsia" w:eastAsia="黑体" w:cs="Arial"/>
          <w:iCs w:val="0"/>
          <w:sz w:val="21"/>
          <w:szCs w:val="21"/>
          <w:lang w:val="en-US" w:eastAsia="zh-CN"/>
        </w:rPr>
      </w:pPr>
      <w:r>
        <w:rPr>
          <w:rFonts w:hint="eastAsia" w:eastAsia="黑体" w:cs="Arial"/>
          <w:iCs w:val="0"/>
          <w:sz w:val="21"/>
          <w:szCs w:val="21"/>
          <w:lang w:val="en-US" w:eastAsia="zh-CN"/>
        </w:rPr>
        <w:t xml:space="preserve">Inter-cell interference </w:t>
      </w:r>
    </w:p>
    <w:p>
      <w:pPr>
        <w:widowControl w:val="0"/>
        <w:snapToGrid w:val="0"/>
        <w:spacing w:after="0"/>
        <w:rPr>
          <w:rFonts w:eastAsiaTheme="minorEastAsia"/>
          <w:sz w:val="20"/>
          <w:lang w:val="en-US" w:eastAsia="zh-CN"/>
        </w:rPr>
      </w:pPr>
      <w:r>
        <w:rPr>
          <w:rFonts w:hint="eastAsia" w:eastAsiaTheme="minorEastAsia"/>
          <w:sz w:val="20"/>
          <w:lang w:val="en-US" w:eastAsia="zh-CN"/>
        </w:rPr>
        <w:t xml:space="preserve">Another important open issue is the TA for neighbouring cells. A main change of NR compared to LTE is </w:t>
      </w:r>
      <w:r>
        <w:rPr>
          <w:rFonts w:eastAsiaTheme="minorEastAsia"/>
          <w:sz w:val="20"/>
          <w:lang w:val="en-US" w:eastAsia="zh-CN"/>
        </w:rPr>
        <w:t xml:space="preserve">the support of </w:t>
      </w:r>
      <w:r>
        <w:rPr>
          <w:rFonts w:hint="eastAsia" w:eastAsiaTheme="minorEastAsia"/>
          <w:sz w:val="20"/>
          <w:lang w:val="en-US" w:eastAsia="zh-CN"/>
        </w:rPr>
        <w:t xml:space="preserve">multiple </w:t>
      </w:r>
      <w:r>
        <w:rPr>
          <w:rFonts w:eastAsiaTheme="minorEastAsia"/>
          <w:sz w:val="20"/>
          <w:lang w:val="en-US" w:eastAsia="zh-CN"/>
        </w:rPr>
        <w:t>numerologies</w:t>
      </w:r>
      <w:r>
        <w:rPr>
          <w:rFonts w:hint="eastAsia" w:eastAsiaTheme="minorEastAsia"/>
          <w:sz w:val="20"/>
          <w:lang w:val="en-US" w:eastAsia="zh-CN"/>
        </w:rPr>
        <w:t xml:space="preserve"> [4], which will bring very short CP in high frequency, which is illustrated in Table 1:</w:t>
      </w:r>
    </w:p>
    <w:tbl>
      <w:tblPr>
        <w:tblStyle w:val="31"/>
        <w:tblpPr w:leftFromText="180" w:rightFromText="180" w:vertAnchor="text" w:horzAnchor="page" w:tblpX="1957" w:tblpY="180"/>
        <w:tblOverlap w:val="never"/>
        <w:tblW w:w="8077" w:type="dxa"/>
        <w:tblCellSpacing w:w="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15" w:type="dxa"/>
          <w:left w:w="15" w:type="dxa"/>
          <w:bottom w:w="15" w:type="dxa"/>
          <w:right w:w="15" w:type="dxa"/>
        </w:tblCellMar>
      </w:tblPr>
      <w:tblGrid>
        <w:gridCol w:w="3473"/>
        <w:gridCol w:w="925"/>
        <w:gridCol w:w="875"/>
        <w:gridCol w:w="810"/>
        <w:gridCol w:w="1080"/>
        <w:gridCol w:w="91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15" w:type="dxa"/>
            <w:left w:w="15" w:type="dxa"/>
            <w:bottom w:w="15" w:type="dxa"/>
            <w:right w:w="15" w:type="dxa"/>
          </w:tblCellMar>
        </w:tblPrEx>
        <w:trPr>
          <w:tblCellSpacing w:w="0" w:type="dxa"/>
        </w:trPr>
        <w:tc>
          <w:tcPr>
            <w:tcW w:w="3473" w:type="dxa"/>
            <w:shd w:val="clear" w:color="auto" w:fill="CCCCCC"/>
            <w:vAlign w:val="center"/>
          </w:tcPr>
          <w:p>
            <w:pPr>
              <w:pStyle w:val="24"/>
              <w:jc w:val="center"/>
            </w:pPr>
            <w:r>
              <w:rPr>
                <w:rFonts w:ascii="Times New Roman" w:hAnsi="Times New Roman" w:eastAsia="微软雅黑" w:cs="Times New Roman"/>
                <w:sz w:val="20"/>
                <w:szCs w:val="20"/>
              </w:rPr>
              <w:t>Parameter / Numerlogy (u)</w:t>
            </w:r>
          </w:p>
        </w:tc>
        <w:tc>
          <w:tcPr>
            <w:tcW w:w="925" w:type="dxa"/>
            <w:shd w:val="clear" w:color="auto" w:fill="CCCCCC"/>
            <w:vAlign w:val="center"/>
          </w:tcPr>
          <w:p>
            <w:pPr>
              <w:pStyle w:val="24"/>
              <w:jc w:val="center"/>
            </w:pPr>
            <w:r>
              <w:rPr>
                <w:rFonts w:ascii="Times New Roman" w:hAnsi="Times New Roman" w:eastAsia="微软雅黑" w:cs="Times New Roman"/>
                <w:sz w:val="20"/>
                <w:szCs w:val="20"/>
              </w:rPr>
              <w:t>0</w:t>
            </w:r>
          </w:p>
        </w:tc>
        <w:tc>
          <w:tcPr>
            <w:tcW w:w="875" w:type="dxa"/>
            <w:shd w:val="clear" w:color="auto" w:fill="CCCCCC"/>
            <w:vAlign w:val="center"/>
          </w:tcPr>
          <w:p>
            <w:pPr>
              <w:pStyle w:val="24"/>
              <w:jc w:val="center"/>
            </w:pPr>
            <w:r>
              <w:rPr>
                <w:rFonts w:ascii="Times New Roman" w:hAnsi="Times New Roman" w:eastAsia="微软雅黑" w:cs="Times New Roman"/>
                <w:sz w:val="20"/>
                <w:szCs w:val="20"/>
              </w:rPr>
              <w:t>1</w:t>
            </w:r>
          </w:p>
        </w:tc>
        <w:tc>
          <w:tcPr>
            <w:tcW w:w="810" w:type="dxa"/>
            <w:shd w:val="clear" w:color="auto" w:fill="CCCCCC"/>
            <w:vAlign w:val="center"/>
          </w:tcPr>
          <w:p>
            <w:pPr>
              <w:pStyle w:val="24"/>
              <w:jc w:val="center"/>
            </w:pPr>
            <w:r>
              <w:rPr>
                <w:rFonts w:ascii="Times New Roman" w:hAnsi="Times New Roman" w:eastAsia="微软雅黑" w:cs="Times New Roman"/>
                <w:sz w:val="20"/>
                <w:szCs w:val="20"/>
              </w:rPr>
              <w:t>2</w:t>
            </w:r>
          </w:p>
        </w:tc>
        <w:tc>
          <w:tcPr>
            <w:tcW w:w="1080" w:type="dxa"/>
            <w:shd w:val="clear" w:color="auto" w:fill="CCCCCC"/>
            <w:vAlign w:val="center"/>
          </w:tcPr>
          <w:p>
            <w:pPr>
              <w:pStyle w:val="24"/>
              <w:jc w:val="center"/>
            </w:pPr>
            <w:r>
              <w:rPr>
                <w:rFonts w:ascii="Times New Roman" w:hAnsi="Times New Roman" w:eastAsia="微软雅黑" w:cs="Times New Roman"/>
                <w:sz w:val="20"/>
                <w:szCs w:val="20"/>
              </w:rPr>
              <w:t>3</w:t>
            </w:r>
          </w:p>
        </w:tc>
        <w:tc>
          <w:tcPr>
            <w:tcW w:w="914" w:type="dxa"/>
            <w:shd w:val="clear" w:color="auto" w:fill="CCCCCC"/>
            <w:vAlign w:val="center"/>
          </w:tcPr>
          <w:p>
            <w:pPr>
              <w:pStyle w:val="24"/>
              <w:jc w:val="center"/>
            </w:pPr>
            <w:r>
              <w:rPr>
                <w:rFonts w:ascii="Times New Roman" w:hAnsi="Times New Roman" w:eastAsia="微软雅黑" w:cs="Times New Roman"/>
                <w:sz w:val="20"/>
                <w:szCs w:val="20"/>
              </w:rPr>
              <w:t>4</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0" w:type="dxa"/>
        </w:trPr>
        <w:tc>
          <w:tcPr>
            <w:tcW w:w="3473" w:type="dxa"/>
            <w:shd w:val="clear" w:color="auto" w:fill="DDDDDD"/>
            <w:vAlign w:val="center"/>
          </w:tcPr>
          <w:p>
            <w:pPr>
              <w:pStyle w:val="24"/>
              <w:jc w:val="center"/>
            </w:pPr>
            <w:r>
              <w:rPr>
                <w:rFonts w:ascii="Times New Roman" w:hAnsi="Times New Roman" w:eastAsia="微软雅黑" w:cs="Times New Roman"/>
                <w:sz w:val="20"/>
                <w:szCs w:val="20"/>
              </w:rPr>
              <w:t>Subcarrier Spacing (Khz)</w:t>
            </w:r>
          </w:p>
        </w:tc>
        <w:tc>
          <w:tcPr>
            <w:tcW w:w="925" w:type="dxa"/>
            <w:shd w:val="clear" w:color="auto" w:fill="FFFFFF"/>
            <w:vAlign w:val="center"/>
          </w:tcPr>
          <w:p>
            <w:pPr>
              <w:pStyle w:val="24"/>
              <w:jc w:val="center"/>
            </w:pPr>
            <w:r>
              <w:rPr>
                <w:rFonts w:ascii="Times New Roman" w:hAnsi="Times New Roman" w:eastAsia="微软雅黑" w:cs="Times New Roman"/>
                <w:sz w:val="20"/>
                <w:szCs w:val="20"/>
              </w:rPr>
              <w:t>15</w:t>
            </w:r>
          </w:p>
        </w:tc>
        <w:tc>
          <w:tcPr>
            <w:tcW w:w="875" w:type="dxa"/>
            <w:shd w:val="clear" w:color="auto" w:fill="FFFFFF"/>
            <w:vAlign w:val="center"/>
          </w:tcPr>
          <w:p>
            <w:pPr>
              <w:pStyle w:val="24"/>
              <w:jc w:val="center"/>
            </w:pPr>
            <w:r>
              <w:rPr>
                <w:rFonts w:ascii="Times New Roman" w:hAnsi="Times New Roman" w:eastAsia="微软雅黑" w:cs="Times New Roman"/>
                <w:sz w:val="20"/>
                <w:szCs w:val="20"/>
              </w:rPr>
              <w:t>30</w:t>
            </w:r>
          </w:p>
        </w:tc>
        <w:tc>
          <w:tcPr>
            <w:tcW w:w="810" w:type="dxa"/>
            <w:shd w:val="clear" w:color="auto" w:fill="FFFFFF"/>
            <w:vAlign w:val="center"/>
          </w:tcPr>
          <w:p>
            <w:pPr>
              <w:pStyle w:val="24"/>
              <w:jc w:val="center"/>
            </w:pPr>
            <w:r>
              <w:rPr>
                <w:rFonts w:ascii="Times New Roman" w:hAnsi="Times New Roman" w:eastAsia="微软雅黑" w:cs="Times New Roman"/>
                <w:sz w:val="20"/>
                <w:szCs w:val="20"/>
              </w:rPr>
              <w:t>60</w:t>
            </w:r>
          </w:p>
        </w:tc>
        <w:tc>
          <w:tcPr>
            <w:tcW w:w="1080" w:type="dxa"/>
            <w:shd w:val="clear" w:color="auto" w:fill="FFFFFF"/>
            <w:vAlign w:val="center"/>
          </w:tcPr>
          <w:p>
            <w:pPr>
              <w:pStyle w:val="24"/>
              <w:jc w:val="center"/>
            </w:pPr>
            <w:r>
              <w:rPr>
                <w:rFonts w:ascii="Times New Roman" w:hAnsi="Times New Roman" w:eastAsia="微软雅黑" w:cs="Times New Roman"/>
                <w:sz w:val="20"/>
                <w:szCs w:val="20"/>
              </w:rPr>
              <w:t>120</w:t>
            </w:r>
          </w:p>
        </w:tc>
        <w:tc>
          <w:tcPr>
            <w:tcW w:w="914" w:type="dxa"/>
            <w:shd w:val="clear" w:color="auto" w:fill="FFFFFF"/>
            <w:vAlign w:val="center"/>
          </w:tcPr>
          <w:p>
            <w:pPr>
              <w:pStyle w:val="24"/>
              <w:jc w:val="center"/>
            </w:pPr>
            <w:r>
              <w:rPr>
                <w:rFonts w:ascii="Times New Roman" w:hAnsi="Times New Roman" w:eastAsia="微软雅黑" w:cs="Times New Roman"/>
                <w:sz w:val="20"/>
                <w:szCs w:val="20"/>
              </w:rPr>
              <w:t>240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0" w:type="dxa"/>
        </w:trPr>
        <w:tc>
          <w:tcPr>
            <w:tcW w:w="3473" w:type="dxa"/>
            <w:shd w:val="clear" w:color="auto" w:fill="DDDDDD"/>
            <w:vAlign w:val="center"/>
          </w:tcPr>
          <w:p>
            <w:pPr>
              <w:pStyle w:val="24"/>
              <w:jc w:val="center"/>
            </w:pPr>
            <w:r>
              <w:rPr>
                <w:rFonts w:ascii="Times New Roman" w:hAnsi="Times New Roman" w:eastAsia="微软雅黑" w:cs="Times New Roman"/>
                <w:sz w:val="20"/>
                <w:szCs w:val="20"/>
              </w:rPr>
              <w:t>OFDM Symbol Duration (us)</w:t>
            </w:r>
          </w:p>
        </w:tc>
        <w:tc>
          <w:tcPr>
            <w:tcW w:w="925" w:type="dxa"/>
            <w:shd w:val="clear" w:color="auto" w:fill="FFFFFF"/>
            <w:vAlign w:val="center"/>
          </w:tcPr>
          <w:p>
            <w:pPr>
              <w:pStyle w:val="24"/>
              <w:jc w:val="center"/>
            </w:pPr>
            <w:r>
              <w:rPr>
                <w:rFonts w:ascii="Times New Roman" w:hAnsi="Times New Roman" w:eastAsia="微软雅黑" w:cs="Times New Roman"/>
                <w:sz w:val="20"/>
                <w:szCs w:val="20"/>
              </w:rPr>
              <w:t>66.67</w:t>
            </w:r>
          </w:p>
        </w:tc>
        <w:tc>
          <w:tcPr>
            <w:tcW w:w="875" w:type="dxa"/>
            <w:shd w:val="clear" w:color="auto" w:fill="FFFFFF"/>
            <w:vAlign w:val="center"/>
          </w:tcPr>
          <w:p>
            <w:pPr>
              <w:pStyle w:val="24"/>
              <w:jc w:val="center"/>
            </w:pPr>
            <w:r>
              <w:rPr>
                <w:rFonts w:ascii="Times New Roman" w:hAnsi="Times New Roman" w:eastAsia="微软雅黑" w:cs="Times New Roman"/>
                <w:sz w:val="20"/>
                <w:szCs w:val="20"/>
              </w:rPr>
              <w:t>33.33</w:t>
            </w:r>
          </w:p>
        </w:tc>
        <w:tc>
          <w:tcPr>
            <w:tcW w:w="810" w:type="dxa"/>
            <w:shd w:val="clear" w:color="auto" w:fill="FFFFFF"/>
            <w:vAlign w:val="center"/>
          </w:tcPr>
          <w:p>
            <w:pPr>
              <w:pStyle w:val="24"/>
              <w:jc w:val="center"/>
            </w:pPr>
            <w:r>
              <w:rPr>
                <w:rFonts w:ascii="Times New Roman" w:hAnsi="Times New Roman" w:eastAsia="微软雅黑" w:cs="Times New Roman"/>
                <w:sz w:val="20"/>
                <w:szCs w:val="20"/>
              </w:rPr>
              <w:t>16.67</w:t>
            </w:r>
          </w:p>
        </w:tc>
        <w:tc>
          <w:tcPr>
            <w:tcW w:w="1080" w:type="dxa"/>
            <w:shd w:val="clear" w:color="auto" w:fill="FFFFFF"/>
            <w:vAlign w:val="center"/>
          </w:tcPr>
          <w:p>
            <w:pPr>
              <w:pStyle w:val="24"/>
              <w:jc w:val="center"/>
            </w:pPr>
            <w:r>
              <w:rPr>
                <w:rFonts w:ascii="Times New Roman" w:hAnsi="Times New Roman" w:eastAsia="微软雅黑" w:cs="Times New Roman"/>
                <w:sz w:val="20"/>
                <w:szCs w:val="20"/>
              </w:rPr>
              <w:t>8.33</w:t>
            </w:r>
          </w:p>
        </w:tc>
        <w:tc>
          <w:tcPr>
            <w:tcW w:w="914" w:type="dxa"/>
            <w:shd w:val="clear" w:color="auto" w:fill="FFFFFF"/>
            <w:vAlign w:val="center"/>
          </w:tcPr>
          <w:p>
            <w:pPr>
              <w:pStyle w:val="24"/>
              <w:jc w:val="center"/>
            </w:pPr>
            <w:r>
              <w:rPr>
                <w:rFonts w:ascii="Times New Roman" w:hAnsi="Times New Roman" w:eastAsia="微软雅黑" w:cs="Times New Roman"/>
                <w:sz w:val="20"/>
                <w:szCs w:val="20"/>
              </w:rPr>
              <w:t>4.17</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0" w:type="dxa"/>
        </w:trPr>
        <w:tc>
          <w:tcPr>
            <w:tcW w:w="3473" w:type="dxa"/>
            <w:shd w:val="clear" w:color="auto" w:fill="DDDDDD"/>
            <w:vAlign w:val="center"/>
          </w:tcPr>
          <w:p>
            <w:pPr>
              <w:pStyle w:val="24"/>
              <w:jc w:val="center"/>
            </w:pPr>
            <w:r>
              <w:rPr>
                <w:rFonts w:ascii="Times New Roman" w:hAnsi="Times New Roman" w:eastAsia="微软雅黑" w:cs="Times New Roman"/>
                <w:sz w:val="20"/>
                <w:szCs w:val="20"/>
              </w:rPr>
              <w:t>Cyclic Prefix Duration (us)</w:t>
            </w:r>
          </w:p>
        </w:tc>
        <w:tc>
          <w:tcPr>
            <w:tcW w:w="925" w:type="dxa"/>
            <w:shd w:val="clear" w:color="auto" w:fill="FFFFFF"/>
            <w:vAlign w:val="center"/>
          </w:tcPr>
          <w:p>
            <w:pPr>
              <w:pStyle w:val="24"/>
              <w:jc w:val="center"/>
            </w:pPr>
            <w:r>
              <w:rPr>
                <w:rFonts w:ascii="Times New Roman" w:hAnsi="Times New Roman" w:eastAsia="微软雅黑" w:cs="Times New Roman"/>
                <w:sz w:val="20"/>
                <w:szCs w:val="20"/>
              </w:rPr>
              <w:t>4.69</w:t>
            </w:r>
          </w:p>
        </w:tc>
        <w:tc>
          <w:tcPr>
            <w:tcW w:w="875" w:type="dxa"/>
            <w:shd w:val="clear" w:color="auto" w:fill="FFFFFF"/>
            <w:vAlign w:val="center"/>
          </w:tcPr>
          <w:p>
            <w:pPr>
              <w:pStyle w:val="24"/>
              <w:jc w:val="center"/>
            </w:pPr>
            <w:r>
              <w:rPr>
                <w:rFonts w:ascii="Times New Roman" w:hAnsi="Times New Roman" w:eastAsia="微软雅黑" w:cs="Times New Roman"/>
                <w:sz w:val="20"/>
                <w:szCs w:val="20"/>
              </w:rPr>
              <w:t>2.34</w:t>
            </w:r>
          </w:p>
        </w:tc>
        <w:tc>
          <w:tcPr>
            <w:tcW w:w="810" w:type="dxa"/>
            <w:shd w:val="clear" w:color="auto" w:fill="FFFFFF"/>
            <w:vAlign w:val="center"/>
          </w:tcPr>
          <w:p>
            <w:pPr>
              <w:pStyle w:val="24"/>
              <w:jc w:val="center"/>
            </w:pPr>
            <w:r>
              <w:rPr>
                <w:rFonts w:ascii="Times New Roman" w:hAnsi="Times New Roman" w:eastAsia="微软雅黑" w:cs="Times New Roman"/>
                <w:sz w:val="20"/>
                <w:szCs w:val="20"/>
              </w:rPr>
              <w:t>1.17</w:t>
            </w:r>
          </w:p>
        </w:tc>
        <w:tc>
          <w:tcPr>
            <w:tcW w:w="1080" w:type="dxa"/>
            <w:shd w:val="clear" w:color="auto" w:fill="FFFFFF"/>
            <w:vAlign w:val="center"/>
          </w:tcPr>
          <w:p>
            <w:pPr>
              <w:pStyle w:val="24"/>
              <w:jc w:val="center"/>
            </w:pPr>
            <w:r>
              <w:rPr>
                <w:rFonts w:ascii="Times New Roman" w:hAnsi="Times New Roman" w:eastAsia="微软雅黑" w:cs="Times New Roman"/>
                <w:sz w:val="20"/>
                <w:szCs w:val="20"/>
              </w:rPr>
              <w:t>0.57</w:t>
            </w:r>
          </w:p>
        </w:tc>
        <w:tc>
          <w:tcPr>
            <w:tcW w:w="914" w:type="dxa"/>
            <w:shd w:val="clear" w:color="auto" w:fill="FFFFFF"/>
            <w:vAlign w:val="center"/>
          </w:tcPr>
          <w:p>
            <w:pPr>
              <w:pStyle w:val="24"/>
              <w:jc w:val="center"/>
            </w:pPr>
            <w:r>
              <w:rPr>
                <w:rFonts w:ascii="Times New Roman" w:hAnsi="Times New Roman" w:eastAsia="微软雅黑" w:cs="Times New Roman"/>
                <w:sz w:val="20"/>
                <w:szCs w:val="20"/>
              </w:rPr>
              <w:t>0.29</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rHeight w:val="337" w:hRule="atLeast"/>
          <w:tblCellSpacing w:w="0" w:type="dxa"/>
        </w:trPr>
        <w:tc>
          <w:tcPr>
            <w:tcW w:w="3473" w:type="dxa"/>
            <w:shd w:val="clear" w:color="auto" w:fill="DDDDDD"/>
            <w:vAlign w:val="center"/>
          </w:tcPr>
          <w:p>
            <w:pPr>
              <w:pStyle w:val="24"/>
              <w:jc w:val="center"/>
            </w:pPr>
            <w:r>
              <w:rPr>
                <w:rFonts w:ascii="Times New Roman" w:hAnsi="Times New Roman" w:eastAsia="微软雅黑" w:cs="Times New Roman"/>
                <w:sz w:val="20"/>
                <w:szCs w:val="20"/>
              </w:rPr>
              <w:t>OFDM Symbol including CP (us)</w:t>
            </w:r>
          </w:p>
        </w:tc>
        <w:tc>
          <w:tcPr>
            <w:tcW w:w="925" w:type="dxa"/>
            <w:shd w:val="clear" w:color="auto" w:fill="FFFFFF"/>
            <w:vAlign w:val="center"/>
          </w:tcPr>
          <w:p>
            <w:pPr>
              <w:pStyle w:val="24"/>
              <w:jc w:val="center"/>
            </w:pPr>
            <w:r>
              <w:rPr>
                <w:rFonts w:ascii="Times New Roman" w:hAnsi="Times New Roman" w:eastAsia="微软雅黑" w:cs="Times New Roman"/>
                <w:sz w:val="20"/>
                <w:szCs w:val="20"/>
              </w:rPr>
              <w:t>71.35</w:t>
            </w:r>
          </w:p>
        </w:tc>
        <w:tc>
          <w:tcPr>
            <w:tcW w:w="875" w:type="dxa"/>
            <w:shd w:val="clear" w:color="auto" w:fill="FFFFFF"/>
            <w:vAlign w:val="center"/>
          </w:tcPr>
          <w:p>
            <w:pPr>
              <w:pStyle w:val="24"/>
              <w:jc w:val="center"/>
            </w:pPr>
            <w:r>
              <w:rPr>
                <w:rFonts w:ascii="Times New Roman" w:hAnsi="Times New Roman" w:eastAsia="微软雅黑" w:cs="Times New Roman"/>
                <w:sz w:val="20"/>
                <w:szCs w:val="20"/>
              </w:rPr>
              <w:t>35.68</w:t>
            </w:r>
          </w:p>
        </w:tc>
        <w:tc>
          <w:tcPr>
            <w:tcW w:w="810" w:type="dxa"/>
            <w:shd w:val="clear" w:color="auto" w:fill="FFFFFF"/>
            <w:vAlign w:val="center"/>
          </w:tcPr>
          <w:p>
            <w:pPr>
              <w:pStyle w:val="24"/>
              <w:jc w:val="center"/>
            </w:pPr>
            <w:r>
              <w:rPr>
                <w:rFonts w:ascii="Times New Roman" w:hAnsi="Times New Roman" w:eastAsia="微软雅黑" w:cs="Times New Roman"/>
                <w:sz w:val="20"/>
                <w:szCs w:val="20"/>
              </w:rPr>
              <w:t>17.84</w:t>
            </w:r>
          </w:p>
        </w:tc>
        <w:tc>
          <w:tcPr>
            <w:tcW w:w="1080" w:type="dxa"/>
            <w:shd w:val="clear" w:color="auto" w:fill="FFFFFF"/>
            <w:vAlign w:val="center"/>
          </w:tcPr>
          <w:p>
            <w:pPr>
              <w:pStyle w:val="24"/>
              <w:jc w:val="center"/>
            </w:pPr>
            <w:r>
              <w:rPr>
                <w:rFonts w:ascii="Times New Roman" w:hAnsi="Times New Roman" w:eastAsia="微软雅黑" w:cs="Times New Roman"/>
                <w:sz w:val="20"/>
                <w:szCs w:val="20"/>
              </w:rPr>
              <w:t>8.92</w:t>
            </w:r>
          </w:p>
        </w:tc>
        <w:tc>
          <w:tcPr>
            <w:tcW w:w="914" w:type="dxa"/>
            <w:shd w:val="clear" w:color="auto" w:fill="FFFFFF"/>
            <w:vAlign w:val="center"/>
          </w:tcPr>
          <w:p>
            <w:pPr>
              <w:pStyle w:val="24"/>
              <w:jc w:val="center"/>
            </w:pPr>
            <w:r>
              <w:rPr>
                <w:rFonts w:ascii="Times New Roman" w:hAnsi="Times New Roman" w:eastAsia="微软雅黑" w:cs="Times New Roman"/>
                <w:sz w:val="20"/>
                <w:szCs w:val="20"/>
              </w:rPr>
              <w:t>4.46</w:t>
            </w:r>
          </w:p>
        </w:tc>
      </w:tr>
    </w:tbl>
    <w:p>
      <w:pPr>
        <w:widowControl w:val="0"/>
        <w:snapToGrid w:val="0"/>
        <w:spacing w:after="0"/>
        <w:rPr>
          <w:rFonts w:eastAsiaTheme="minorEastAsia"/>
          <w:sz w:val="20"/>
          <w:lang w:val="en-US" w:eastAsia="zh-CN"/>
        </w:rPr>
      </w:pPr>
      <w:r>
        <w:rPr>
          <w:rFonts w:hint="eastAsia" w:eastAsiaTheme="minorEastAsia"/>
          <w:sz w:val="20"/>
          <w:lang w:val="en-US" w:eastAsia="zh-CN"/>
        </w:rPr>
        <w:t xml:space="preserve">  </w:t>
      </w:r>
    </w:p>
    <w:p>
      <w:pPr>
        <w:widowControl w:val="0"/>
        <w:snapToGrid w:val="0"/>
        <w:spacing w:after="0"/>
        <w:rPr>
          <w:rFonts w:eastAsiaTheme="minorEastAsia"/>
          <w:sz w:val="20"/>
          <w:lang w:val="en-US" w:eastAsia="zh-CN"/>
        </w:rPr>
      </w:pPr>
    </w:p>
    <w:p>
      <w:pPr>
        <w:widowControl w:val="0"/>
        <w:snapToGrid w:val="0"/>
        <w:spacing w:after="0"/>
        <w:rPr>
          <w:rFonts w:eastAsiaTheme="minorEastAsia"/>
          <w:sz w:val="20"/>
          <w:lang w:val="en-US" w:eastAsia="zh-CN"/>
        </w:rPr>
      </w:pPr>
    </w:p>
    <w:p>
      <w:pPr>
        <w:widowControl w:val="0"/>
        <w:snapToGrid w:val="0"/>
        <w:spacing w:after="0"/>
        <w:rPr>
          <w:rFonts w:eastAsiaTheme="minorEastAsia"/>
          <w:sz w:val="20"/>
          <w:lang w:val="en-US" w:eastAsia="zh-CN"/>
        </w:rPr>
      </w:pPr>
    </w:p>
    <w:p>
      <w:pPr>
        <w:keepNext w:val="0"/>
        <w:keepLines w:val="0"/>
        <w:pageBreakBefore w:val="0"/>
        <w:widowControl w:val="0"/>
        <w:kinsoku/>
        <w:wordWrap/>
        <w:overflowPunct w:val="0"/>
        <w:topLinePunct w:val="0"/>
        <w:autoSpaceDE w:val="0"/>
        <w:autoSpaceDN w:val="0"/>
        <w:bidi w:val="0"/>
        <w:adjustRightInd w:val="0"/>
        <w:snapToGrid w:val="0"/>
        <w:spacing w:after="181" w:afterLines="50"/>
        <w:jc w:val="center"/>
        <w:textAlignment w:val="baseline"/>
        <w:outlineLvl w:val="9"/>
        <w:rPr>
          <w:rFonts w:hint="eastAsia" w:eastAsiaTheme="minorEastAsia"/>
          <w:sz w:val="20"/>
          <w:lang w:val="en-US" w:eastAsia="zh-CN"/>
        </w:rPr>
      </w:pPr>
    </w:p>
    <w:p>
      <w:pPr>
        <w:keepNext w:val="0"/>
        <w:keepLines w:val="0"/>
        <w:pageBreakBefore w:val="0"/>
        <w:widowControl w:val="0"/>
        <w:kinsoku/>
        <w:wordWrap/>
        <w:overflowPunct w:val="0"/>
        <w:topLinePunct w:val="0"/>
        <w:autoSpaceDE w:val="0"/>
        <w:autoSpaceDN w:val="0"/>
        <w:bidi w:val="0"/>
        <w:adjustRightInd w:val="0"/>
        <w:snapToGrid w:val="0"/>
        <w:spacing w:after="181" w:afterLines="50"/>
        <w:jc w:val="center"/>
        <w:textAlignment w:val="baseline"/>
        <w:outlineLvl w:val="9"/>
        <w:rPr>
          <w:rFonts w:hint="eastAsia" w:eastAsiaTheme="minorEastAsia"/>
          <w:sz w:val="20"/>
          <w:lang w:val="en-US" w:eastAsia="zh-CN"/>
        </w:rPr>
      </w:pPr>
    </w:p>
    <w:p>
      <w:pPr>
        <w:keepNext w:val="0"/>
        <w:keepLines w:val="0"/>
        <w:pageBreakBefore w:val="0"/>
        <w:widowControl w:val="0"/>
        <w:kinsoku/>
        <w:wordWrap/>
        <w:overflowPunct w:val="0"/>
        <w:topLinePunct w:val="0"/>
        <w:autoSpaceDE w:val="0"/>
        <w:autoSpaceDN w:val="0"/>
        <w:bidi w:val="0"/>
        <w:adjustRightInd w:val="0"/>
        <w:snapToGrid w:val="0"/>
        <w:spacing w:after="181" w:afterLines="50"/>
        <w:jc w:val="center"/>
        <w:textAlignment w:val="baseline"/>
        <w:outlineLvl w:val="9"/>
        <w:rPr>
          <w:rFonts w:eastAsiaTheme="minorEastAsia"/>
          <w:sz w:val="20"/>
          <w:lang w:val="en-US" w:eastAsia="zh-CN"/>
        </w:rPr>
      </w:pPr>
      <w:r>
        <w:rPr>
          <w:rFonts w:hint="eastAsia" w:eastAsiaTheme="minorEastAsia"/>
          <w:sz w:val="20"/>
          <w:lang w:val="en-US" w:eastAsia="zh-CN"/>
        </w:rPr>
        <w:t>Table 1 Numerologies and corresponding CP length</w:t>
      </w:r>
    </w:p>
    <w:p>
      <w:pPr>
        <w:keepNext w:val="0"/>
        <w:keepLines w:val="0"/>
        <w:pageBreakBefore w:val="0"/>
        <w:widowControl w:val="0"/>
        <w:kinsoku/>
        <w:wordWrap/>
        <w:overflowPunct w:val="0"/>
        <w:topLinePunct w:val="0"/>
        <w:autoSpaceDE w:val="0"/>
        <w:autoSpaceDN w:val="0"/>
        <w:bidi w:val="0"/>
        <w:adjustRightInd w:val="0"/>
        <w:snapToGrid w:val="0"/>
        <w:spacing w:after="180"/>
        <w:textAlignment w:val="center"/>
        <w:outlineLvl w:val="9"/>
        <w:rPr>
          <w:rFonts w:hint="eastAsia" w:eastAsiaTheme="minorEastAsia"/>
          <w:sz w:val="20"/>
          <w:lang w:val="en-US" w:eastAsia="zh-CN"/>
        </w:rPr>
      </w:pPr>
      <w:r>
        <w:rPr>
          <w:rFonts w:eastAsiaTheme="minorEastAsia"/>
          <w:sz w:val="20"/>
          <w:lang w:val="en-US" w:eastAsia="zh-CN"/>
        </w:rPr>
        <w:t>O</w:t>
      </w:r>
      <w:r>
        <w:rPr>
          <w:rFonts w:hint="eastAsia" w:eastAsiaTheme="minorEastAsia"/>
          <w:sz w:val="20"/>
          <w:lang w:val="en-US" w:eastAsia="zh-CN"/>
        </w:rPr>
        <w:t>ne function of CP in UL positioning is to guarantee that the UL reference signal</w:t>
      </w:r>
      <w:r>
        <w:rPr>
          <w:rFonts w:eastAsiaTheme="minorEastAsia"/>
          <w:sz w:val="20"/>
          <w:lang w:val="en-US" w:eastAsia="zh-CN"/>
        </w:rPr>
        <w:t>s</w:t>
      </w:r>
      <w:r>
        <w:rPr>
          <w:rFonts w:hint="eastAsia" w:eastAsiaTheme="minorEastAsia"/>
          <w:sz w:val="20"/>
          <w:lang w:val="en-US" w:eastAsia="zh-CN"/>
        </w:rPr>
        <w:t xml:space="preserve"> do not interfere with other signals and data of all the involved cells. When the propagation delay is within the CP length, inter-cell delay interference could be avoided. </w:t>
      </w:r>
      <w:r>
        <w:rPr>
          <w:rFonts w:hint="eastAsia" w:eastAsiaTheme="minorEastAsia"/>
          <w:sz w:val="20"/>
          <w:szCs w:val="22"/>
          <w:lang w:val="en-US" w:eastAsia="zh-CN"/>
        </w:rPr>
        <w:t xml:space="preserve">There is a straightforward relationship between CP length and the permitted maximum distance difference: </w:t>
      </w:r>
      <w:r>
        <w:rPr>
          <w:rFonts w:hint="eastAsia" w:eastAsiaTheme="minorEastAsia"/>
          <w:sz w:val="20"/>
          <w:szCs w:val="22"/>
          <w:lang w:val="en-US" w:eastAsia="zh-CN"/>
        </w:rPr>
        <w:object>
          <v:shape id="_x0000_i1025" o:spt="75" type="#_x0000_t75" style="height:13.95pt;width:42pt;" o:ole="t" filled="f" o:preferrelative="t" stroked="f" coordsize="21600,21600">
            <v:path/>
            <v:fill on="f" focussize="0,0"/>
            <v:stroke on="f"/>
            <v:imagedata r:id="rId6" o:title=""/>
            <o:lock v:ext="edit" aspectratio="f"/>
            <w10:wrap type="none"/>
            <w10:anchorlock/>
          </v:shape>
          <o:OLEObject Type="Embed" ProgID="Equation.DSMT4" ShapeID="_x0000_i1025" DrawAspect="Content" ObjectID="_1468075725" r:id="rId5">
            <o:LockedField>false</o:LockedField>
          </o:OLEObject>
        </w:object>
      </w:r>
      <w:r>
        <w:rPr>
          <w:rFonts w:hint="eastAsia" w:eastAsiaTheme="minorEastAsia"/>
          <w:sz w:val="20"/>
          <w:szCs w:val="22"/>
          <w:lang w:val="en-US" w:eastAsia="zh-CN"/>
        </w:rPr>
        <w:t xml:space="preserve">, where c is the speed of light and t is the length of CP. For example, 0.57us would mean a difference of around 171m, which is shorter than the inter-cell distance of typical UMi scenario, let alone the UMa scenario. For UL-TDOA positioning, it is very likely for neighbour transmission measurement point two cells away to detect the UL reference signal from the target UE, so </w:t>
      </w:r>
      <w:r>
        <w:rPr>
          <w:rFonts w:hint="eastAsia" w:eastAsiaTheme="minorEastAsia"/>
          <w:sz w:val="20"/>
          <w:lang w:val="en-US" w:eastAsia="zh-CN"/>
        </w:rPr>
        <w:t xml:space="preserve">the distance between them is very common to be out of the CP-permitted length. Then we can conclude that NR system is more sensitive to inter-cell interference especially in FR2. </w:t>
      </w:r>
    </w:p>
    <w:p>
      <w:pPr>
        <w:keepNext w:val="0"/>
        <w:keepLines w:val="0"/>
        <w:pageBreakBefore w:val="0"/>
        <w:widowControl w:val="0"/>
        <w:kinsoku/>
        <w:wordWrap/>
        <w:overflowPunct w:val="0"/>
        <w:topLinePunct w:val="0"/>
        <w:autoSpaceDE w:val="0"/>
        <w:autoSpaceDN w:val="0"/>
        <w:bidi w:val="0"/>
        <w:adjustRightInd w:val="0"/>
        <w:snapToGrid w:val="0"/>
        <w:spacing w:after="180"/>
        <w:textAlignment w:val="baseline"/>
        <w:outlineLvl w:val="9"/>
        <w:rPr>
          <w:rFonts w:hint="eastAsia" w:eastAsiaTheme="minorEastAsia"/>
          <w:sz w:val="20"/>
          <w:lang w:val="en-US" w:eastAsia="zh-CN"/>
        </w:rPr>
      </w:pPr>
      <w:r>
        <w:rPr>
          <w:rFonts w:hint="eastAsia" w:eastAsiaTheme="minorEastAsia"/>
          <w:sz w:val="20"/>
          <w:lang w:val="en-US" w:eastAsia="zh-CN"/>
        </w:rPr>
        <w:t xml:space="preserve">Besides shorter CP, lack of Timing Advance(TA) estimation across cells is also one factor that could deteriorate the inter-cell symbol orthogonality. </w:t>
      </w:r>
    </w:p>
    <w:p>
      <w:pPr>
        <w:keepNext w:val="0"/>
        <w:keepLines w:val="0"/>
        <w:pageBreakBefore w:val="0"/>
        <w:widowControl w:val="0"/>
        <w:kinsoku/>
        <w:wordWrap/>
        <w:overflowPunct w:val="0"/>
        <w:topLinePunct w:val="0"/>
        <w:autoSpaceDE w:val="0"/>
        <w:autoSpaceDN w:val="0"/>
        <w:bidi w:val="0"/>
        <w:adjustRightInd w:val="0"/>
        <w:snapToGrid w:val="0"/>
        <w:spacing w:after="180"/>
        <w:textAlignment w:val="baseline"/>
        <w:outlineLvl w:val="9"/>
        <w:rPr>
          <w:rFonts w:hint="eastAsia" w:eastAsiaTheme="minorEastAsia"/>
          <w:sz w:val="20"/>
          <w:szCs w:val="22"/>
          <w:lang w:val="en-US" w:eastAsia="zh-CN"/>
        </w:rPr>
      </w:pPr>
      <w:r>
        <w:rPr>
          <w:rFonts w:eastAsiaTheme="minorEastAsia"/>
          <w:sz w:val="20"/>
          <w:szCs w:val="22"/>
          <w:lang w:val="en-US" w:eastAsia="zh-CN"/>
        </w:rPr>
        <w:t>Timing advance is a negative offset at the UE, between the start of a received downlink subframe and a transmitted uplink subframe. This offset at the UE is necessary to ensure that the downlink and uplink subframes are synchronised at the eNodeB.</w:t>
      </w:r>
      <w:r>
        <w:rPr>
          <w:rFonts w:hint="eastAsia" w:eastAsiaTheme="minorEastAsia"/>
          <w:sz w:val="20"/>
          <w:szCs w:val="22"/>
          <w:lang w:val="en-US" w:eastAsia="zh-CN"/>
        </w:rPr>
        <w:t xml:space="preserve"> </w:t>
      </w:r>
      <w:r>
        <w:rPr>
          <w:rFonts w:hint="default" w:eastAsiaTheme="minorEastAsia"/>
          <w:sz w:val="20"/>
          <w:szCs w:val="22"/>
          <w:lang w:val="en-US" w:eastAsia="zh-CN"/>
        </w:rPr>
        <w:t xml:space="preserve">A UE far from the eNodeB encounter a larger propagation delay so its uplink transmission is somewhat in advance as compared to a UE closer to the eNodeB. As shown in the </w:t>
      </w:r>
      <w:r>
        <w:rPr>
          <w:rFonts w:hint="eastAsia" w:eastAsiaTheme="minorEastAsia"/>
          <w:sz w:val="20"/>
          <w:szCs w:val="22"/>
          <w:lang w:val="en-US" w:eastAsia="zh-CN"/>
        </w:rPr>
        <w:t>F</w:t>
      </w:r>
      <w:r>
        <w:rPr>
          <w:rFonts w:hint="default" w:eastAsiaTheme="minorEastAsia"/>
          <w:sz w:val="20"/>
          <w:szCs w:val="22"/>
          <w:lang w:val="en-US" w:eastAsia="zh-CN"/>
        </w:rPr>
        <w:t xml:space="preserve">igure </w:t>
      </w:r>
      <w:r>
        <w:rPr>
          <w:rFonts w:hint="eastAsia" w:eastAsiaTheme="minorEastAsia"/>
          <w:sz w:val="20"/>
          <w:szCs w:val="22"/>
          <w:lang w:val="en-US" w:eastAsia="zh-CN"/>
        </w:rPr>
        <w:t>1 [2]:</w:t>
      </w:r>
    </w:p>
    <w:p>
      <w:pPr>
        <w:widowControl w:val="0"/>
        <w:snapToGrid w:val="0"/>
        <w:spacing w:after="0"/>
        <w:jc w:val="center"/>
      </w:pPr>
      <w:r>
        <w:drawing>
          <wp:inline distT="0" distB="0" distL="114300" distR="114300">
            <wp:extent cx="3395345" cy="2976880"/>
            <wp:effectExtent l="0" t="0" r="14605" b="13970"/>
            <wp:docPr id="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0"/>
                    <pic:cNvPicPr>
                      <a:picLocks noChangeAspect="1"/>
                    </pic:cNvPicPr>
                  </pic:nvPicPr>
                  <pic:blipFill>
                    <a:blip r:embed="rId7"/>
                    <a:stretch>
                      <a:fillRect/>
                    </a:stretch>
                  </pic:blipFill>
                  <pic:spPr>
                    <a:xfrm>
                      <a:off x="0" y="0"/>
                      <a:ext cx="3395345" cy="2976880"/>
                    </a:xfrm>
                    <a:prstGeom prst="rect">
                      <a:avLst/>
                    </a:prstGeom>
                    <a:noFill/>
                    <a:ln>
                      <a:noFill/>
                    </a:ln>
                  </pic:spPr>
                </pic:pic>
              </a:graphicData>
            </a:graphic>
          </wp:inline>
        </w:drawing>
      </w:r>
    </w:p>
    <w:p>
      <w:pPr>
        <w:pStyle w:val="14"/>
        <w:keepNext w:val="0"/>
        <w:keepLines w:val="0"/>
        <w:pageBreakBefore w:val="0"/>
        <w:widowControl w:val="0"/>
        <w:kinsoku/>
        <w:wordWrap/>
        <w:overflowPunct w:val="0"/>
        <w:topLinePunct w:val="0"/>
        <w:autoSpaceDE w:val="0"/>
        <w:autoSpaceDN w:val="0"/>
        <w:bidi w:val="0"/>
        <w:adjustRightInd w:val="0"/>
        <w:snapToGrid w:val="0"/>
        <w:spacing w:after="180"/>
        <w:jc w:val="center"/>
        <w:textAlignment w:val="baseline"/>
        <w:outlineLvl w:val="9"/>
        <w:rPr>
          <w:rFonts w:hint="eastAsia" w:eastAsiaTheme="minorEastAsia"/>
          <w:sz w:val="20"/>
          <w:lang w:val="en-US" w:eastAsia="zh-CN"/>
        </w:rPr>
      </w:pPr>
      <w:r>
        <w:rPr>
          <w:rFonts w:hint="eastAsia"/>
          <w:b w:val="0"/>
          <w:bCs w:val="0"/>
          <w:sz w:val="20"/>
          <w:szCs w:val="20"/>
          <w:lang w:val="en-US" w:eastAsia="zh-CN"/>
        </w:rPr>
        <w:t>Figure 1 Illustration of TA</w:t>
      </w:r>
    </w:p>
    <w:p>
      <w:pPr>
        <w:keepNext w:val="0"/>
        <w:keepLines w:val="0"/>
        <w:pageBreakBefore w:val="0"/>
        <w:widowControl w:val="0"/>
        <w:kinsoku/>
        <w:wordWrap/>
        <w:overflowPunct w:val="0"/>
        <w:topLinePunct w:val="0"/>
        <w:autoSpaceDE w:val="0"/>
        <w:autoSpaceDN w:val="0"/>
        <w:bidi w:val="0"/>
        <w:adjustRightInd w:val="0"/>
        <w:snapToGrid w:val="0"/>
        <w:spacing w:after="180"/>
        <w:outlineLvl w:val="9"/>
        <w:rPr>
          <w:rFonts w:hint="eastAsia" w:eastAsiaTheme="minorEastAsia"/>
          <w:sz w:val="20"/>
          <w:lang w:val="en-US" w:eastAsia="zh-CN"/>
        </w:rPr>
      </w:pPr>
      <w:r>
        <w:rPr>
          <w:rFonts w:hint="eastAsia" w:eastAsiaTheme="minorEastAsia"/>
          <w:sz w:val="20"/>
          <w:lang w:val="en-US" w:eastAsia="zh-CN"/>
        </w:rPr>
        <w:t>But the current TA estimation is only for the serving cell, and this would lead to the situation that when the SRS reaches the neighbour transmission measurement point, it would not align with other symbols of that cell and the offset is very likely to be beyond the ability of the poor short CP, also the bandwidth of the UL SRS for UL positioning would not be very limited if a high level accuracy is required, so as a result, severe interference to other signals and data may happen, as shown in Figure 2.</w:t>
      </w:r>
    </w:p>
    <w:p>
      <w:pPr>
        <w:keepNext w:val="0"/>
        <w:keepLines w:val="0"/>
        <w:pageBreakBefore w:val="0"/>
        <w:widowControl w:val="0"/>
        <w:kinsoku/>
        <w:wordWrap/>
        <w:overflowPunct w:val="0"/>
        <w:topLinePunct w:val="0"/>
        <w:autoSpaceDE w:val="0"/>
        <w:autoSpaceDN w:val="0"/>
        <w:bidi w:val="0"/>
        <w:adjustRightInd w:val="0"/>
        <w:snapToGrid w:val="0"/>
        <w:spacing w:after="180"/>
        <w:jc w:val="center"/>
        <w:outlineLvl w:val="9"/>
      </w:pPr>
      <w:r>
        <w:drawing>
          <wp:inline distT="0" distB="0" distL="114300" distR="114300">
            <wp:extent cx="3947795" cy="2656840"/>
            <wp:effectExtent l="0" t="0" r="14605" b="10160"/>
            <wp:docPr id="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2"/>
                    <pic:cNvPicPr>
                      <a:picLocks noChangeAspect="1"/>
                    </pic:cNvPicPr>
                  </pic:nvPicPr>
                  <pic:blipFill>
                    <a:blip r:embed="rId8"/>
                    <a:stretch>
                      <a:fillRect/>
                    </a:stretch>
                  </pic:blipFill>
                  <pic:spPr>
                    <a:xfrm>
                      <a:off x="0" y="0"/>
                      <a:ext cx="3947795" cy="2656840"/>
                    </a:xfrm>
                    <a:prstGeom prst="rect">
                      <a:avLst/>
                    </a:prstGeom>
                    <a:noFill/>
                    <a:ln>
                      <a:noFill/>
                    </a:ln>
                  </pic:spPr>
                </pic:pic>
              </a:graphicData>
            </a:graphic>
          </wp:inline>
        </w:drawing>
      </w:r>
    </w:p>
    <w:p>
      <w:pPr>
        <w:pStyle w:val="14"/>
        <w:keepNext w:val="0"/>
        <w:keepLines w:val="0"/>
        <w:pageBreakBefore w:val="0"/>
        <w:widowControl w:val="0"/>
        <w:kinsoku/>
        <w:wordWrap/>
        <w:overflowPunct w:val="0"/>
        <w:topLinePunct w:val="0"/>
        <w:autoSpaceDE w:val="0"/>
        <w:autoSpaceDN w:val="0"/>
        <w:bidi w:val="0"/>
        <w:adjustRightInd w:val="0"/>
        <w:snapToGrid w:val="0"/>
        <w:spacing w:after="180"/>
        <w:jc w:val="center"/>
        <w:textAlignment w:val="baseline"/>
        <w:outlineLvl w:val="9"/>
        <w:rPr>
          <w:rFonts w:hint="default"/>
          <w:lang w:val="en-US" w:eastAsia="zh-CN"/>
        </w:rPr>
      </w:pPr>
      <w:r>
        <w:rPr>
          <w:rFonts w:hint="eastAsia"/>
          <w:b w:val="0"/>
          <w:bCs w:val="0"/>
          <w:sz w:val="20"/>
          <w:szCs w:val="20"/>
          <w:lang w:val="en-US" w:eastAsia="zh-CN"/>
        </w:rPr>
        <w:t>Figure 2 Inter-cell interference to other UE</w:t>
      </w:r>
    </w:p>
    <w:p>
      <w:pPr>
        <w:overflowPunct/>
        <w:autoSpaceDE/>
        <w:autoSpaceDN/>
        <w:snapToGrid w:val="0"/>
        <w:spacing w:afterLines="50" w:line="264" w:lineRule="auto"/>
        <w:textAlignment w:val="auto"/>
        <w:rPr>
          <w:rFonts w:hint="default" w:eastAsiaTheme="minorEastAsia"/>
          <w:b/>
          <w:i/>
          <w:iCs/>
          <w:sz w:val="20"/>
          <w:szCs w:val="22"/>
          <w:lang w:val="en-US" w:eastAsia="zh-CN"/>
        </w:rPr>
      </w:pPr>
      <w:r>
        <w:rPr>
          <w:rFonts w:hint="eastAsia" w:eastAsiaTheme="minorEastAsia"/>
          <w:b/>
          <w:i/>
          <w:iCs/>
          <w:sz w:val="20"/>
          <w:szCs w:val="22"/>
          <w:lang w:val="en-US" w:eastAsia="zh-CN"/>
        </w:rPr>
        <w:t>Observation 1: Inter-cell interference is a severe problem in UL TDOA positioning.</w:t>
      </w:r>
    </w:p>
    <w:p>
      <w:pPr>
        <w:pStyle w:val="3"/>
        <w:widowControl w:val="0"/>
        <w:pBdr>
          <w:top w:val="none" w:color="auto" w:sz="0" w:space="0"/>
        </w:pBdr>
        <w:overflowPunct/>
        <w:snapToGrid w:val="0"/>
        <w:spacing w:before="260" w:after="260" w:line="240" w:lineRule="auto"/>
        <w:jc w:val="left"/>
        <w:textAlignment w:val="auto"/>
        <w:rPr>
          <w:rFonts w:hint="eastAsia" w:eastAsia="黑体" w:cs="Arial"/>
          <w:iCs w:val="0"/>
          <w:sz w:val="21"/>
          <w:szCs w:val="21"/>
          <w:lang w:val="en-US" w:eastAsia="zh-CN"/>
        </w:rPr>
      </w:pPr>
      <w:r>
        <w:rPr>
          <w:rFonts w:hint="eastAsia" w:eastAsia="黑体" w:cs="Arial"/>
          <w:iCs w:val="0"/>
          <w:sz w:val="21"/>
          <w:szCs w:val="21"/>
          <w:lang w:val="en-US" w:eastAsia="zh-CN"/>
        </w:rPr>
        <w:t>Multi-TA estimation toward neighbouring cell</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 xml:space="preserve">The direct solution for inter-cell TA offset is to introduce TA estimation for all involved neighbour-cells in UL-TDOA positioning. There are two options to achieve this purpose, one is to estimate TA for neighbour cells based on RSTD measurements from non-DL PRS signals, to preclude DL PRS is because UL positioning is no longer necessary if DL PRS for enough RSTD measurements is available. Actually this modification has already been discussed in LTE and rejected by RAN4 because of the poor accuracy. Another option, which also seems to be the only way here is to make use of PRACH of multiple cells. Multiple preambles need to be triggered before a UL TODA positioning procedure for corresponding TA estimation. And we have to notice that multiple TAs can also provide a general position of the target UE which can only beneficial to the calculation of a more accurate result and requires limited extra calculation burden.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Proposal 3:Use PRACH to get multiple TAs estimation of neighbour cells.</w:t>
      </w:r>
    </w:p>
    <w:p>
      <w:pPr>
        <w:pStyle w:val="3"/>
        <w:widowControl w:val="0"/>
        <w:pBdr>
          <w:top w:val="none" w:color="auto" w:sz="0" w:space="0"/>
        </w:pBdr>
        <w:overflowPunct/>
        <w:snapToGrid w:val="0"/>
        <w:spacing w:before="260" w:after="260" w:line="240" w:lineRule="auto"/>
        <w:jc w:val="left"/>
        <w:textAlignment w:val="auto"/>
        <w:rPr>
          <w:rFonts w:hint="default" w:eastAsia="黑体" w:cs="Arial"/>
          <w:iCs w:val="0"/>
          <w:sz w:val="21"/>
          <w:szCs w:val="21"/>
          <w:lang w:val="en-US" w:eastAsia="zh-CN"/>
        </w:rPr>
      </w:pPr>
      <w:r>
        <w:rPr>
          <w:rFonts w:hint="eastAsia" w:eastAsia="黑体" w:cs="Arial"/>
          <w:iCs w:val="0"/>
          <w:sz w:val="21"/>
          <w:szCs w:val="21"/>
          <w:lang w:val="en-US" w:eastAsia="zh-CN"/>
        </w:rPr>
        <w:t xml:space="preserve"> Power control towards neighbouring cells</w:t>
      </w:r>
    </w:p>
    <w:p>
      <w:pPr>
        <w:widowControl w:val="0"/>
        <w:snapToGrid w:val="0"/>
        <w:spacing w:after="0"/>
        <w:textAlignment w:val="center"/>
        <w:rPr>
          <w:rFonts w:hint="eastAsia" w:eastAsiaTheme="minorEastAsia"/>
          <w:sz w:val="20"/>
          <w:szCs w:val="22"/>
          <w:lang w:val="en-US" w:eastAsia="zh-CN"/>
        </w:rPr>
      </w:pPr>
      <w:r>
        <w:rPr>
          <w:rFonts w:hint="eastAsia" w:eastAsiaTheme="minorEastAsia"/>
          <w:sz w:val="20"/>
          <w:szCs w:val="22"/>
          <w:lang w:val="en-US" w:eastAsia="zh-CN"/>
        </w:rPr>
        <w:t>On the transmission power of UL SRS for positioning, a basic agreement has been agreed:</w:t>
      </w:r>
    </w:p>
    <w:p>
      <w:pPr>
        <w:pageBreakBefore w:val="0"/>
        <w:widowControl/>
        <w:kinsoku/>
        <w:wordWrap/>
        <w:overflowPunct w:val="0"/>
        <w:topLinePunct w:val="0"/>
        <w:autoSpaceDE w:val="0"/>
        <w:autoSpaceDN w:val="0"/>
        <w:bidi w:val="0"/>
        <w:adjustRightInd w:val="0"/>
        <w:snapToGrid w:val="0"/>
        <w:spacing w:line="240" w:lineRule="auto"/>
        <w:ind w:left="1440" w:hanging="1440"/>
        <w:textAlignment w:val="baseline"/>
        <w:outlineLvl w:val="9"/>
        <w:rPr>
          <w:i/>
          <w:iCs/>
          <w:sz w:val="20"/>
          <w:szCs w:val="20"/>
          <w:highlight w:val="none"/>
        </w:rPr>
      </w:pPr>
      <w:r>
        <w:rPr>
          <w:i/>
          <w:iCs/>
          <w:sz w:val="20"/>
          <w:szCs w:val="20"/>
          <w:highlight w:val="none"/>
        </w:rPr>
        <w:t>Agreement:</w:t>
      </w:r>
    </w:p>
    <w:p>
      <w:pPr>
        <w:keepNext/>
        <w:keepLines/>
        <w:pageBreakBefore w:val="0"/>
        <w:widowControl/>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rFonts w:hint="eastAsia" w:eastAsiaTheme="minorEastAsia"/>
          <w:i/>
          <w:iCs/>
          <w:sz w:val="20"/>
          <w:szCs w:val="20"/>
          <w:lang w:val="en-US" w:eastAsia="ko-KR"/>
        </w:rPr>
        <w:t>For positioning purposes, with regards to the UL SRS transmission power, support at least the following</w:t>
      </w:r>
      <w:r>
        <w:rPr>
          <w:i/>
          <w:iCs/>
          <w:sz w:val="20"/>
          <w:szCs w:val="20"/>
          <w:lang w:eastAsia="ko-KR"/>
        </w:rPr>
        <w:t xml:space="preserve"> in addition to the existing Rel-15 behaviour:</w:t>
      </w:r>
    </w:p>
    <w:p>
      <w:pPr>
        <w:keepNext/>
        <w:keepLines/>
        <w:pageBreakBefore w:val="0"/>
        <w:widowControl/>
        <w:numPr>
          <w:ilvl w:val="0"/>
          <w:numId w:val="10"/>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 xml:space="preserve">Support configuring a DL reference signal of a neighbouring cell to be used as DL path loss reference for the purpose of SRS power control.  </w:t>
      </w:r>
    </w:p>
    <w:p>
      <w:pPr>
        <w:keepNext/>
        <w:keepLines/>
        <w:pageBreakBefore w:val="0"/>
        <w:widowControl/>
        <w:numPr>
          <w:ilvl w:val="1"/>
          <w:numId w:val="10"/>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 xml:space="preserve">FFS: Which reference signals can be used (e.g. a CSI-RS, or a SSB, or DL PRS). </w:t>
      </w:r>
    </w:p>
    <w:p>
      <w:pPr>
        <w:keepNext/>
        <w:keepLines/>
        <w:pageBreakBefore w:val="0"/>
        <w:widowControl/>
        <w:numPr>
          <w:ilvl w:val="0"/>
          <w:numId w:val="10"/>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Study further the UE configuration signalling and procedure.</w:t>
      </w:r>
    </w:p>
    <w:p>
      <w:pPr>
        <w:keepNext/>
        <w:keepLines/>
        <w:pageBreakBefore w:val="0"/>
        <w:widowControl/>
        <w:numPr>
          <w:ilvl w:val="0"/>
          <w:numId w:val="10"/>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FFS on a fallback procedure if the UE is not able to obtain the pathloss reference.</w:t>
      </w:r>
    </w:p>
    <w:p>
      <w:pPr>
        <w:keepNext/>
        <w:keepLines/>
        <w:pageBreakBefore w:val="0"/>
        <w:widowControl/>
        <w:numPr>
          <w:ilvl w:val="0"/>
          <w:numId w:val="10"/>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FFS on number of measurements for pathloss.</w:t>
      </w:r>
    </w:p>
    <w:p>
      <w:pPr>
        <w:widowControl w:val="0"/>
        <w:snapToGrid w:val="0"/>
        <w:spacing w:after="0"/>
        <w:textAlignment w:val="center"/>
        <w:rPr>
          <w:rFonts w:hint="eastAsia" w:eastAsiaTheme="minorEastAsia"/>
          <w:sz w:val="20"/>
          <w:szCs w:val="22"/>
          <w:lang w:val="en-US" w:eastAsia="zh-CN"/>
        </w:rPr>
      </w:pPr>
      <w:r>
        <w:rPr>
          <w:rFonts w:hint="eastAsia" w:eastAsiaTheme="minorEastAsia"/>
          <w:sz w:val="20"/>
          <w:szCs w:val="22"/>
          <w:lang w:val="en-US" w:eastAsia="zh-CN"/>
        </w:rPr>
        <w:t xml:space="preserve">To detect the DL reference signal of a neighbouring cell as DL path loss reference, some configuration information must be known in advance by the target UE. The information can include the type of RS to indicate whether it is DL PRS, a kind of CSI-RS or SSB, its sequence ID, sequence generation information, resource allocation and transmission power. This configuration can be configured from the LCS server as kind of assistance data, which is the easiest way with least specification modification, or it can also be configured by the serving cells with enhancement of inter-cell information exchange.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Proposal 4:Neighbouring cells</w:t>
      </w:r>
      <w:r>
        <w:rPr>
          <w:rFonts w:hint="default" w:eastAsiaTheme="minorEastAsia"/>
          <w:b/>
          <w:i/>
          <w:iCs/>
          <w:sz w:val="20"/>
          <w:szCs w:val="22"/>
          <w:lang w:val="en-US" w:eastAsia="zh-CN"/>
        </w:rPr>
        <w:t>’</w:t>
      </w:r>
      <w:r>
        <w:rPr>
          <w:rFonts w:hint="eastAsia" w:eastAsiaTheme="minorEastAsia"/>
          <w:b/>
          <w:i/>
          <w:iCs/>
          <w:sz w:val="20"/>
          <w:szCs w:val="22"/>
          <w:lang w:val="en-US" w:eastAsia="zh-CN"/>
        </w:rPr>
        <w:t xml:space="preserve"> DL path loss RS for positioning should be configured to UE either by LMF or serving gNB.</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The general idea is that the UE may use beam sweeping mode to transmit UL SRS for positioning, and different beam to different direction of course can target to different cells. The transmission power of each beam is related to its targeting cell, naturally different beam can use different transmission power since their target cell can be at different distance. Transmission power is decided according to the cell</w:t>
      </w:r>
      <w:r>
        <w:rPr>
          <w:rFonts w:hint="default" w:eastAsiaTheme="minorEastAsia"/>
          <w:sz w:val="20"/>
          <w:szCs w:val="22"/>
          <w:lang w:val="en-US" w:eastAsia="zh-CN"/>
        </w:rPr>
        <w:t>’</w:t>
      </w:r>
      <w:r>
        <w:rPr>
          <w:rFonts w:hint="eastAsia" w:eastAsiaTheme="minorEastAsia"/>
          <w:sz w:val="20"/>
          <w:szCs w:val="22"/>
          <w:lang w:val="en-US" w:eastAsia="zh-CN"/>
        </w:rPr>
        <w:t xml:space="preserve">s path loss RS receiving power, then the mapping between PL RS and SRS beam should be constructed. Since it is already agreed that staggered pattern should be realized within one resource and most likely that a SRS beam for positioning is corresponding to one SRS resource.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b/>
          <w:i/>
          <w:iCs/>
          <w:sz w:val="20"/>
          <w:szCs w:val="22"/>
          <w:lang w:val="en-US" w:eastAsia="zh-CN"/>
        </w:rPr>
      </w:pPr>
      <w:r>
        <w:rPr>
          <w:rFonts w:hint="eastAsia" w:eastAsiaTheme="minorEastAsia"/>
          <w:b/>
          <w:i/>
          <w:iCs/>
          <w:sz w:val="20"/>
          <w:szCs w:val="22"/>
          <w:lang w:val="en-US" w:eastAsia="zh-CN"/>
        </w:rPr>
        <w:t>Proposal 5:The transmission power should be configured per SRS resource for positioning.</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Proposal 6: Path loss RS should be configured per SRS resource for positioning.</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Another problem is how to choose the neighbouring cells</w:t>
      </w:r>
      <w:r>
        <w:rPr>
          <w:rFonts w:hint="default" w:eastAsiaTheme="minorEastAsia"/>
          <w:sz w:val="20"/>
          <w:szCs w:val="22"/>
          <w:lang w:val="en-US" w:eastAsia="zh-CN"/>
        </w:rPr>
        <w:t>’</w:t>
      </w:r>
      <w:r>
        <w:rPr>
          <w:rFonts w:hint="eastAsia" w:eastAsiaTheme="minorEastAsia"/>
          <w:sz w:val="20"/>
          <w:szCs w:val="22"/>
          <w:lang w:val="en-US" w:eastAsia="zh-CN"/>
        </w:rPr>
        <w:t xml:space="preserve"> path loss RS for a positioning session, to send all the PL RS of  all the neighbouring cells should clearly not be a choice. RRM measurements always exist for a active UE, and it can be used as kind of reference for neighbouring PL RS. This work can be done either by serving gNB or LMF.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Proposal 7:Neighbouring cells</w:t>
      </w:r>
      <w:r>
        <w:rPr>
          <w:rFonts w:hint="default" w:eastAsiaTheme="minorEastAsia"/>
          <w:b/>
          <w:i/>
          <w:iCs/>
          <w:sz w:val="20"/>
          <w:szCs w:val="22"/>
          <w:lang w:val="en-US" w:eastAsia="zh-CN"/>
        </w:rPr>
        <w:t>’</w:t>
      </w:r>
      <w:r>
        <w:rPr>
          <w:rFonts w:hint="eastAsia" w:eastAsiaTheme="minorEastAsia"/>
          <w:b/>
          <w:i/>
          <w:iCs/>
          <w:sz w:val="20"/>
          <w:szCs w:val="22"/>
          <w:lang w:val="en-US" w:eastAsia="zh-CN"/>
        </w:rPr>
        <w:t xml:space="preserve"> PL RS for positioning should be selected by serving gNB or LMF.</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sz w:val="20"/>
          <w:szCs w:val="22"/>
          <w:lang w:val="en-US" w:eastAsia="zh-CN"/>
        </w:rPr>
      </w:pPr>
      <w:r>
        <w:rPr>
          <w:rFonts w:hint="eastAsia" w:eastAsiaTheme="minorEastAsia"/>
          <w:sz w:val="20"/>
          <w:szCs w:val="22"/>
          <w:lang w:val="en-US" w:eastAsia="zh-CN"/>
        </w:rPr>
        <w:t>The whole procedure is as figure 3, first, the SRS for positioning with some recommended PL RS are configured. But at the beginning, the gNB do not know which SRS resource is aiming at which cell. A couple of recommended PL RSs from all the possible neighbouring cells should be configured. But not all of them can be actually detected, for those who can be detected, the UE has a general idea of its direction and its origin gNB. The UE need to do the mapping between SRS resource and its target cell. For the first round of beam sweeping, the UE can adjust each beam</w:t>
      </w:r>
      <w:r>
        <w:rPr>
          <w:rFonts w:hint="default" w:eastAsiaTheme="minorEastAsia"/>
          <w:sz w:val="20"/>
          <w:szCs w:val="22"/>
          <w:lang w:val="en-US" w:eastAsia="zh-CN"/>
        </w:rPr>
        <w:t>’</w:t>
      </w:r>
      <w:r>
        <w:rPr>
          <w:rFonts w:hint="eastAsia" w:eastAsiaTheme="minorEastAsia"/>
          <w:sz w:val="20"/>
          <w:szCs w:val="22"/>
          <w:lang w:val="en-US" w:eastAsia="zh-CN"/>
        </w:rPr>
        <w:t>s power or direction according to the information of PL RS transmitting power from that direction. Then, UE can report this kind of mapping between the SRS resources and PL RS(neighbour cells). Then the neighbouring cells can detect the SRS and reconfigure the transmission power, this kind of information need to be transmitted to the serving cell. Then, with the mapping, it can configure different transmission power and certain PL RS as spatial relation information to different SRS resource, noting that now PL RS con be configured per SRS resource. When all these information are configured back to UE, the UE can modify each resource</w:t>
      </w:r>
      <w:r>
        <w:rPr>
          <w:rFonts w:hint="default" w:eastAsiaTheme="minorEastAsia"/>
          <w:sz w:val="20"/>
          <w:szCs w:val="22"/>
          <w:lang w:val="en-US" w:eastAsia="zh-CN"/>
        </w:rPr>
        <w:t>’</w:t>
      </w:r>
      <w:r>
        <w:rPr>
          <w:rFonts w:hint="eastAsia" w:eastAsiaTheme="minorEastAsia"/>
          <w:sz w:val="20"/>
          <w:szCs w:val="22"/>
          <w:lang w:val="en-US" w:eastAsia="zh-CN"/>
        </w:rPr>
        <w:t xml:space="preserve">s transmission power or transmission direction according to spatial relation.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jc w:val="center"/>
        <w:textAlignment w:val="auto"/>
        <w:outlineLvl w:val="9"/>
        <w:rPr>
          <w:rFonts w:hint="default" w:eastAsiaTheme="minorEastAsia"/>
          <w:sz w:val="20"/>
          <w:szCs w:val="22"/>
          <w:lang w:val="en-US" w:eastAsia="zh-CN"/>
        </w:rPr>
      </w:pPr>
      <w:r>
        <w:drawing>
          <wp:inline distT="0" distB="0" distL="114300" distR="114300">
            <wp:extent cx="4547235" cy="4808855"/>
            <wp:effectExtent l="0" t="0" r="5715" b="1079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9"/>
                    <a:stretch>
                      <a:fillRect/>
                    </a:stretch>
                  </pic:blipFill>
                  <pic:spPr>
                    <a:xfrm>
                      <a:off x="0" y="0"/>
                      <a:ext cx="4547235" cy="480885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b/>
          <w:i/>
          <w:iCs/>
          <w:sz w:val="20"/>
          <w:szCs w:val="22"/>
          <w:lang w:val="en-US" w:eastAsia="zh-CN"/>
        </w:rPr>
      </w:pPr>
      <w:r>
        <w:rPr>
          <w:rFonts w:hint="eastAsia" w:eastAsiaTheme="minorEastAsia"/>
          <w:b/>
          <w:i/>
          <w:iCs/>
          <w:sz w:val="20"/>
          <w:szCs w:val="22"/>
          <w:lang w:val="en-US" w:eastAsia="zh-CN"/>
        </w:rPr>
        <w:t>Proposal 8:Only reported PL RS can be configured as spatial relation information.</w:t>
      </w:r>
    </w:p>
    <w:p>
      <w:pPr>
        <w:pStyle w:val="2"/>
        <w:tabs>
          <w:tab w:val="left" w:pos="450"/>
          <w:tab w:val="clear" w:pos="612"/>
        </w:tabs>
        <w:ind w:hanging="612"/>
      </w:pPr>
      <w:r>
        <w:t>Conclusion</w:t>
      </w:r>
    </w:p>
    <w:p>
      <w:pPr>
        <w:pageBreakBefore w:val="0"/>
        <w:kinsoku/>
        <w:wordWrap/>
        <w:topLinePunct w:val="0"/>
        <w:bidi w:val="0"/>
        <w:snapToGrid w:val="0"/>
        <w:spacing w:after="120"/>
        <w:rPr>
          <w:rFonts w:hint="eastAsia" w:eastAsiaTheme="minorEastAsia"/>
          <w:sz w:val="20"/>
          <w:lang w:val="en-US" w:eastAsia="zh-CN"/>
        </w:rPr>
      </w:pPr>
      <w:r>
        <w:rPr>
          <w:rFonts w:hint="eastAsia" w:eastAsiaTheme="minorEastAsia"/>
          <w:sz w:val="20"/>
          <w:lang w:val="en-US" w:eastAsia="zh-CN"/>
        </w:rPr>
        <w:t>Based on our study, the following proposals are proposed:</w:t>
      </w:r>
    </w:p>
    <w:p>
      <w:pPr>
        <w:pStyle w:val="14"/>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outlineLvl w:val="9"/>
        <w:rPr>
          <w:rFonts w:hint="eastAsia" w:cs="Times New Roman"/>
          <w:b/>
          <w:bCs/>
          <w:i/>
          <w:iCs/>
          <w:sz w:val="20"/>
          <w:szCs w:val="20"/>
          <w:lang w:val="en-US" w:eastAsia="zh-CN" w:bidi="ar-SA"/>
        </w:rPr>
      </w:pPr>
      <w:r>
        <w:rPr>
          <w:rFonts w:hint="eastAsia" w:cs="Times New Roman"/>
          <w:b/>
          <w:bCs/>
          <w:i/>
          <w:iCs/>
          <w:sz w:val="20"/>
          <w:szCs w:val="20"/>
          <w:lang w:val="en-US" w:eastAsia="zh-CN" w:bidi="ar-SA"/>
        </w:rPr>
        <w:t xml:space="preserve">Proposal 1: Introduce a new usage, i.e. </w:t>
      </w:r>
      <w:r>
        <w:rPr>
          <w:rFonts w:hint="default" w:cs="Times New Roman"/>
          <w:b/>
          <w:bCs/>
          <w:i/>
          <w:iCs/>
          <w:sz w:val="20"/>
          <w:szCs w:val="20"/>
          <w:lang w:val="en-US" w:eastAsia="zh-CN" w:bidi="ar-SA"/>
        </w:rPr>
        <w:t>‘</w:t>
      </w:r>
      <w:r>
        <w:rPr>
          <w:rFonts w:hint="eastAsia" w:cs="Times New Roman"/>
          <w:b/>
          <w:bCs/>
          <w:i/>
          <w:iCs/>
          <w:sz w:val="20"/>
          <w:szCs w:val="20"/>
          <w:lang w:val="en-US" w:eastAsia="zh-CN" w:bidi="ar-SA"/>
        </w:rPr>
        <w:t>positioning</w:t>
      </w:r>
      <w:r>
        <w:rPr>
          <w:rFonts w:hint="default" w:cs="Times New Roman"/>
          <w:b/>
          <w:bCs/>
          <w:i/>
          <w:iCs/>
          <w:sz w:val="20"/>
          <w:szCs w:val="20"/>
          <w:lang w:val="en-US" w:eastAsia="zh-CN" w:bidi="ar-SA"/>
        </w:rPr>
        <w:t>’</w:t>
      </w:r>
      <w:r>
        <w:rPr>
          <w:rFonts w:hint="eastAsia" w:cs="Times New Roman"/>
          <w:b/>
          <w:bCs/>
          <w:i/>
          <w:iCs/>
          <w:sz w:val="20"/>
          <w:szCs w:val="20"/>
          <w:lang w:val="en-US" w:eastAsia="zh-CN" w:bidi="ar-SA"/>
        </w:rPr>
        <w:t xml:space="preserve"> per SRS resource set.</w:t>
      </w:r>
    </w:p>
    <w:p>
      <w:pPr>
        <w:keepNext w:val="0"/>
        <w:keepLines w:val="0"/>
        <w:pageBreakBefore w:val="0"/>
        <w:widowControl/>
        <w:kinsoku/>
        <w:wordWrap/>
        <w:topLinePunct w:val="0"/>
        <w:bidi w:val="0"/>
        <w:adjustRightInd w:val="0"/>
        <w:snapToGrid w:val="0"/>
        <w:spacing w:before="181" w:beforeLines="50" w:after="181" w:afterLines="50" w:line="240" w:lineRule="auto"/>
        <w:outlineLvl w:val="9"/>
        <w:rPr>
          <w:rFonts w:hint="eastAsia" w:eastAsia="宋体"/>
          <w:b/>
          <w:bCs/>
          <w:i/>
          <w:iCs/>
          <w:sz w:val="20"/>
          <w:szCs w:val="20"/>
          <w:lang w:val="en-US" w:eastAsia="zh-CN"/>
        </w:rPr>
      </w:pPr>
      <w:r>
        <w:rPr>
          <w:rFonts w:hint="eastAsia"/>
          <w:b/>
          <w:bCs/>
          <w:i/>
          <w:iCs/>
          <w:sz w:val="20"/>
          <w:szCs w:val="20"/>
          <w:lang w:val="en-US" w:eastAsia="zh-CN"/>
        </w:rPr>
        <w:t xml:space="preserve">Proposal 2: </w:t>
      </w:r>
      <w:r>
        <w:rPr>
          <w:b/>
          <w:bCs/>
          <w:i/>
          <w:iCs/>
          <w:sz w:val="20"/>
          <w:szCs w:val="20"/>
        </w:rPr>
        <w:t>SRS is configured within the active UL BWP</w:t>
      </w:r>
      <w:r>
        <w:rPr>
          <w:rFonts w:hint="eastAsia" w:eastAsia="宋体"/>
          <w:b/>
          <w:bCs/>
          <w:i/>
          <w:iCs/>
          <w:sz w:val="20"/>
          <w:szCs w:val="20"/>
          <w:lang w:val="en-US" w:eastAsia="zh-CN"/>
        </w:rPr>
        <w:t>.</w:t>
      </w:r>
    </w:p>
    <w:p>
      <w:pPr>
        <w:overflowPunct/>
        <w:autoSpaceDE/>
        <w:autoSpaceDN/>
        <w:snapToGrid w:val="0"/>
        <w:spacing w:afterLines="50" w:line="264" w:lineRule="auto"/>
        <w:textAlignment w:val="auto"/>
        <w:rPr>
          <w:rFonts w:hint="eastAsia" w:eastAsiaTheme="minorEastAsia"/>
          <w:b/>
          <w:bCs w:val="0"/>
          <w:i/>
          <w:iCs/>
          <w:sz w:val="20"/>
          <w:szCs w:val="22"/>
          <w:lang w:val="en-US" w:eastAsia="zh-CN"/>
        </w:rPr>
      </w:pPr>
      <w:r>
        <w:rPr>
          <w:rFonts w:hint="eastAsia" w:eastAsiaTheme="minorEastAsia"/>
          <w:b/>
          <w:bCs w:val="0"/>
          <w:i/>
          <w:iCs/>
          <w:sz w:val="20"/>
          <w:szCs w:val="22"/>
          <w:lang w:val="en-US" w:eastAsia="zh-CN"/>
        </w:rPr>
        <w:t>Proposal 3:Use PRACH to get multiple TAs estimation of neighbour cells.</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Proposal 4:Neighbouring cells</w:t>
      </w:r>
      <w:r>
        <w:rPr>
          <w:rFonts w:hint="default" w:eastAsiaTheme="minorEastAsia"/>
          <w:b/>
          <w:i/>
          <w:iCs/>
          <w:sz w:val="20"/>
          <w:szCs w:val="22"/>
          <w:lang w:val="en-US" w:eastAsia="zh-CN"/>
        </w:rPr>
        <w:t>’</w:t>
      </w:r>
      <w:r>
        <w:rPr>
          <w:rFonts w:hint="eastAsia" w:eastAsiaTheme="minorEastAsia"/>
          <w:b/>
          <w:i/>
          <w:iCs/>
          <w:sz w:val="20"/>
          <w:szCs w:val="22"/>
          <w:lang w:val="en-US" w:eastAsia="zh-CN"/>
        </w:rPr>
        <w:t xml:space="preserve"> DL path loss RS for positioning should be configured to UE either by LMF or serving gNB.</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b/>
          <w:i/>
          <w:iCs/>
          <w:sz w:val="20"/>
          <w:szCs w:val="22"/>
          <w:lang w:val="en-US" w:eastAsia="zh-CN"/>
        </w:rPr>
      </w:pPr>
      <w:r>
        <w:rPr>
          <w:rFonts w:hint="eastAsia" w:eastAsiaTheme="minorEastAsia"/>
          <w:b/>
          <w:i/>
          <w:iCs/>
          <w:sz w:val="20"/>
          <w:szCs w:val="22"/>
          <w:lang w:val="en-US" w:eastAsia="zh-CN"/>
        </w:rPr>
        <w:t>Proposal 5:The transmission power should be configured per SRS resource for positioning.</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Proposal 6: Path loss RS should be configured per SRS resource for positioning.</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Proposal 7:Neighbouring cells</w:t>
      </w:r>
      <w:r>
        <w:rPr>
          <w:rFonts w:hint="default" w:eastAsiaTheme="minorEastAsia"/>
          <w:b/>
          <w:i/>
          <w:iCs/>
          <w:sz w:val="20"/>
          <w:szCs w:val="22"/>
          <w:lang w:val="en-US" w:eastAsia="zh-CN"/>
        </w:rPr>
        <w:t>’</w:t>
      </w:r>
      <w:r>
        <w:rPr>
          <w:rFonts w:hint="eastAsia" w:eastAsiaTheme="minorEastAsia"/>
          <w:b/>
          <w:i/>
          <w:iCs/>
          <w:sz w:val="20"/>
          <w:szCs w:val="22"/>
          <w:lang w:val="en-US" w:eastAsia="zh-CN"/>
        </w:rPr>
        <w:t xml:space="preserve"> PL RS for positioning should be selected by serving gNB or LMF.</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iCs/>
          <w:sz w:val="20"/>
          <w:szCs w:val="22"/>
          <w:lang w:val="en-US" w:eastAsia="zh-CN"/>
        </w:rPr>
      </w:pPr>
      <w:r>
        <w:rPr>
          <w:rFonts w:hint="eastAsia" w:eastAsiaTheme="minorEastAsia"/>
          <w:b/>
          <w:i/>
          <w:iCs/>
          <w:sz w:val="20"/>
          <w:szCs w:val="22"/>
          <w:lang w:val="en-US" w:eastAsia="zh-CN"/>
        </w:rPr>
        <w:t>Proposal 8:Only reported PL RS can be configured as spatial relation information.</w:t>
      </w:r>
    </w:p>
    <w:p>
      <w:pPr>
        <w:pStyle w:val="2"/>
        <w:tabs>
          <w:tab w:val="left" w:pos="450"/>
          <w:tab w:val="clear" w:pos="612"/>
        </w:tabs>
        <w:ind w:hanging="612"/>
      </w:pPr>
      <w:r>
        <w:t>References</w:t>
      </w:r>
    </w:p>
    <w:p>
      <w:pPr>
        <w:pStyle w:val="126"/>
        <w:numPr>
          <w:ilvl w:val="0"/>
          <w:numId w:val="11"/>
        </w:numPr>
        <w:snapToGrid w:val="0"/>
        <w:rPr>
          <w:sz w:val="20"/>
          <w:szCs w:val="20"/>
          <w:lang w:val="en-GB"/>
        </w:rPr>
      </w:pPr>
      <w:r>
        <w:rPr>
          <w:rFonts w:hint="eastAsia"/>
          <w:sz w:val="20"/>
          <w:szCs w:val="20"/>
        </w:rPr>
        <w:t>Chairman notes of RAN1#96</w:t>
      </w:r>
      <w:r>
        <w:rPr>
          <w:rFonts w:hint="eastAsia"/>
          <w:sz w:val="20"/>
          <w:szCs w:val="20"/>
          <w:lang w:val="en-US" w:eastAsia="zh-CN"/>
        </w:rPr>
        <w:t>bis</w:t>
      </w:r>
      <w:r>
        <w:rPr>
          <w:rFonts w:hint="eastAsia"/>
          <w:sz w:val="20"/>
          <w:szCs w:val="20"/>
        </w:rPr>
        <w:t xml:space="preserve"> meeting</w:t>
      </w:r>
    </w:p>
    <w:p>
      <w:pPr>
        <w:pStyle w:val="126"/>
        <w:numPr>
          <w:ilvl w:val="0"/>
          <w:numId w:val="11"/>
        </w:numPr>
        <w:snapToGrid w:val="0"/>
        <w:rPr>
          <w:sz w:val="20"/>
          <w:szCs w:val="20"/>
          <w:lang w:val="en-GB"/>
        </w:rPr>
      </w:pPr>
      <w:r>
        <w:rPr>
          <w:rFonts w:hint="eastAsia" w:ascii="Times New Roman" w:hAnsi="Times New Roman" w:eastAsia="宋体" w:cs="Times New Roman"/>
          <w:b w:val="0"/>
          <w:bCs w:val="0"/>
          <w:sz w:val="20"/>
          <w:szCs w:val="22"/>
          <w:lang w:val="en-US" w:eastAsia="zh-CN"/>
        </w:rPr>
        <w:t>http://howltestuffworks.blogspot.com/2014/07/timing-advance-and-time-alignment-timer.htm</w:t>
      </w:r>
      <w:r>
        <w:rPr>
          <w:rFonts w:hint="eastAsia" w:cs="Times New Roman"/>
          <w:b w:val="0"/>
          <w:bCs w:val="0"/>
          <w:sz w:val="20"/>
          <w:szCs w:val="22"/>
          <w:lang w:val="en-US" w:eastAsia="zh-CN"/>
        </w:rPr>
        <w:t>l</w:t>
      </w:r>
    </w:p>
    <w:p>
      <w:pPr>
        <w:pStyle w:val="14"/>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t>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93495D"/>
    <w:multiLevelType w:val="singleLevel"/>
    <w:tmpl w:val="DD93495D"/>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4">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6">
    <w:nsid w:val="4B0963C4"/>
    <w:multiLevelType w:val="multilevel"/>
    <w:tmpl w:val="4B0963C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706B111C"/>
    <w:multiLevelType w:val="multilevel"/>
    <w:tmpl w:val="706B111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0AF2933"/>
    <w:multiLevelType w:val="multilevel"/>
    <w:tmpl w:val="70AF29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
  </w:num>
  <w:num w:numId="3">
    <w:abstractNumId w:val="10"/>
  </w:num>
  <w:num w:numId="4">
    <w:abstractNumId w:val="5"/>
  </w:num>
  <w:num w:numId="5">
    <w:abstractNumId w:val="7"/>
  </w:num>
  <w:num w:numId="6">
    <w:abstractNumId w:val="3"/>
  </w:num>
  <w:num w:numId="7">
    <w:abstractNumId w:val="4"/>
  </w:num>
  <w:num w:numId="8">
    <w:abstractNumId w:val="9"/>
  </w:num>
  <w:num w:numId="9">
    <w:abstractNumId w:val="6"/>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documentProtection w:enforcement="0"/>
  <w:defaultTabStop w:val="720"/>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143"/>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3F92"/>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12A074D"/>
    <w:rsid w:val="01400369"/>
    <w:rsid w:val="023F038C"/>
    <w:rsid w:val="0269688F"/>
    <w:rsid w:val="0288086A"/>
    <w:rsid w:val="02CF7F8E"/>
    <w:rsid w:val="02D56662"/>
    <w:rsid w:val="02F91C61"/>
    <w:rsid w:val="034314F3"/>
    <w:rsid w:val="035A2D91"/>
    <w:rsid w:val="03BF4D7D"/>
    <w:rsid w:val="03E11197"/>
    <w:rsid w:val="03F3554F"/>
    <w:rsid w:val="03F36C24"/>
    <w:rsid w:val="03FA589A"/>
    <w:rsid w:val="040E37F0"/>
    <w:rsid w:val="0471637A"/>
    <w:rsid w:val="047D6D1D"/>
    <w:rsid w:val="04BD3046"/>
    <w:rsid w:val="04E222CA"/>
    <w:rsid w:val="04E23B19"/>
    <w:rsid w:val="05273492"/>
    <w:rsid w:val="055F7F29"/>
    <w:rsid w:val="056F2326"/>
    <w:rsid w:val="05C27C8C"/>
    <w:rsid w:val="05E427B2"/>
    <w:rsid w:val="06134263"/>
    <w:rsid w:val="063A38BA"/>
    <w:rsid w:val="06545225"/>
    <w:rsid w:val="065F0AFE"/>
    <w:rsid w:val="06A62BA1"/>
    <w:rsid w:val="06D734E2"/>
    <w:rsid w:val="06F74976"/>
    <w:rsid w:val="06FE340B"/>
    <w:rsid w:val="0717277A"/>
    <w:rsid w:val="075173ED"/>
    <w:rsid w:val="076B4EDA"/>
    <w:rsid w:val="07757D07"/>
    <w:rsid w:val="07825A77"/>
    <w:rsid w:val="07B77DA0"/>
    <w:rsid w:val="07E94368"/>
    <w:rsid w:val="087C1F80"/>
    <w:rsid w:val="08B61EB5"/>
    <w:rsid w:val="09251C31"/>
    <w:rsid w:val="09735A12"/>
    <w:rsid w:val="097A5551"/>
    <w:rsid w:val="09855BE2"/>
    <w:rsid w:val="09B32EC2"/>
    <w:rsid w:val="09F020FF"/>
    <w:rsid w:val="0A36207A"/>
    <w:rsid w:val="0AE442C3"/>
    <w:rsid w:val="0AEC32DF"/>
    <w:rsid w:val="0B0D4E56"/>
    <w:rsid w:val="0B3423AE"/>
    <w:rsid w:val="0B3B565D"/>
    <w:rsid w:val="0B8A0BE3"/>
    <w:rsid w:val="0B966EC9"/>
    <w:rsid w:val="0BA16115"/>
    <w:rsid w:val="0BB21BB1"/>
    <w:rsid w:val="0C353BED"/>
    <w:rsid w:val="0C376A21"/>
    <w:rsid w:val="0C4D3004"/>
    <w:rsid w:val="0CA56F24"/>
    <w:rsid w:val="0CA84E01"/>
    <w:rsid w:val="0CB44256"/>
    <w:rsid w:val="0CCB66FC"/>
    <w:rsid w:val="0CF93852"/>
    <w:rsid w:val="0D1321BC"/>
    <w:rsid w:val="0DD5274D"/>
    <w:rsid w:val="0E0C48A6"/>
    <w:rsid w:val="0E0E2A94"/>
    <w:rsid w:val="0E1951E4"/>
    <w:rsid w:val="0E7640A8"/>
    <w:rsid w:val="0EC02BE6"/>
    <w:rsid w:val="0F061F46"/>
    <w:rsid w:val="0F433F3F"/>
    <w:rsid w:val="0F512AE4"/>
    <w:rsid w:val="0F821EDD"/>
    <w:rsid w:val="0F974689"/>
    <w:rsid w:val="0F9D7E0A"/>
    <w:rsid w:val="0FBE1CB2"/>
    <w:rsid w:val="0FD14118"/>
    <w:rsid w:val="0FEF58CE"/>
    <w:rsid w:val="0FFC35AE"/>
    <w:rsid w:val="100C1557"/>
    <w:rsid w:val="10206C98"/>
    <w:rsid w:val="107D33D6"/>
    <w:rsid w:val="10AD0F99"/>
    <w:rsid w:val="10CB6F40"/>
    <w:rsid w:val="10DB530B"/>
    <w:rsid w:val="10E66C24"/>
    <w:rsid w:val="10EB6FCC"/>
    <w:rsid w:val="10FB0B18"/>
    <w:rsid w:val="11833D25"/>
    <w:rsid w:val="11A75BA8"/>
    <w:rsid w:val="11AC3D53"/>
    <w:rsid w:val="11B5413C"/>
    <w:rsid w:val="11E96EC9"/>
    <w:rsid w:val="11F20572"/>
    <w:rsid w:val="11F652A8"/>
    <w:rsid w:val="1211513C"/>
    <w:rsid w:val="12225B65"/>
    <w:rsid w:val="12A04A8C"/>
    <w:rsid w:val="12C30776"/>
    <w:rsid w:val="130D6539"/>
    <w:rsid w:val="13196527"/>
    <w:rsid w:val="131C406C"/>
    <w:rsid w:val="131E1AD6"/>
    <w:rsid w:val="138A7A95"/>
    <w:rsid w:val="138C44D9"/>
    <w:rsid w:val="13AB0981"/>
    <w:rsid w:val="13C83130"/>
    <w:rsid w:val="13CC6AC3"/>
    <w:rsid w:val="13D25C2F"/>
    <w:rsid w:val="13E83435"/>
    <w:rsid w:val="14597E11"/>
    <w:rsid w:val="1482587A"/>
    <w:rsid w:val="14AA4239"/>
    <w:rsid w:val="14C75338"/>
    <w:rsid w:val="14E17706"/>
    <w:rsid w:val="14EE5BE4"/>
    <w:rsid w:val="14FA466D"/>
    <w:rsid w:val="14FD15E3"/>
    <w:rsid w:val="1528363E"/>
    <w:rsid w:val="15346082"/>
    <w:rsid w:val="155A6753"/>
    <w:rsid w:val="15993FD3"/>
    <w:rsid w:val="16091F83"/>
    <w:rsid w:val="161B1EE1"/>
    <w:rsid w:val="166B05BC"/>
    <w:rsid w:val="16720049"/>
    <w:rsid w:val="16977C20"/>
    <w:rsid w:val="1699424F"/>
    <w:rsid w:val="17151156"/>
    <w:rsid w:val="172D61FD"/>
    <w:rsid w:val="177D0887"/>
    <w:rsid w:val="17896645"/>
    <w:rsid w:val="17E611D0"/>
    <w:rsid w:val="18097DA2"/>
    <w:rsid w:val="180B1CB1"/>
    <w:rsid w:val="18210FE9"/>
    <w:rsid w:val="18BB1670"/>
    <w:rsid w:val="18D71E2D"/>
    <w:rsid w:val="18F17CD4"/>
    <w:rsid w:val="193405F9"/>
    <w:rsid w:val="195C4F0C"/>
    <w:rsid w:val="198759D0"/>
    <w:rsid w:val="199A440E"/>
    <w:rsid w:val="19F56019"/>
    <w:rsid w:val="1A553D43"/>
    <w:rsid w:val="1A563B1D"/>
    <w:rsid w:val="1A611342"/>
    <w:rsid w:val="1AB63435"/>
    <w:rsid w:val="1AEA71DE"/>
    <w:rsid w:val="1B552071"/>
    <w:rsid w:val="1B81710F"/>
    <w:rsid w:val="1B82251F"/>
    <w:rsid w:val="1BA27934"/>
    <w:rsid w:val="1BEA1D8D"/>
    <w:rsid w:val="1C0750D6"/>
    <w:rsid w:val="1C384EAA"/>
    <w:rsid w:val="1C3F72FF"/>
    <w:rsid w:val="1C964AE7"/>
    <w:rsid w:val="1C99574D"/>
    <w:rsid w:val="1CC21ABE"/>
    <w:rsid w:val="1CEF435C"/>
    <w:rsid w:val="1D1362B7"/>
    <w:rsid w:val="1D335699"/>
    <w:rsid w:val="1D612A42"/>
    <w:rsid w:val="1D814C43"/>
    <w:rsid w:val="1D8B0FBF"/>
    <w:rsid w:val="1DC20AB7"/>
    <w:rsid w:val="1E3F2038"/>
    <w:rsid w:val="1E42620B"/>
    <w:rsid w:val="1E5B7F42"/>
    <w:rsid w:val="1EC00D0E"/>
    <w:rsid w:val="1F0459A1"/>
    <w:rsid w:val="1F087BE7"/>
    <w:rsid w:val="1F3B6850"/>
    <w:rsid w:val="1F4E569D"/>
    <w:rsid w:val="1FA56F65"/>
    <w:rsid w:val="1FC442F1"/>
    <w:rsid w:val="201B41F0"/>
    <w:rsid w:val="20232AEC"/>
    <w:rsid w:val="206609C6"/>
    <w:rsid w:val="20726272"/>
    <w:rsid w:val="20844ACD"/>
    <w:rsid w:val="20890208"/>
    <w:rsid w:val="20A50C21"/>
    <w:rsid w:val="20A804CC"/>
    <w:rsid w:val="2133281F"/>
    <w:rsid w:val="213E14BD"/>
    <w:rsid w:val="21580F84"/>
    <w:rsid w:val="216C7513"/>
    <w:rsid w:val="21A2291A"/>
    <w:rsid w:val="21A60491"/>
    <w:rsid w:val="22465106"/>
    <w:rsid w:val="226203F1"/>
    <w:rsid w:val="226B01B0"/>
    <w:rsid w:val="22705D1D"/>
    <w:rsid w:val="227A2231"/>
    <w:rsid w:val="22BA06F8"/>
    <w:rsid w:val="22E8238B"/>
    <w:rsid w:val="230541AD"/>
    <w:rsid w:val="23375015"/>
    <w:rsid w:val="235D19B9"/>
    <w:rsid w:val="23B03966"/>
    <w:rsid w:val="23CD19CB"/>
    <w:rsid w:val="23F1239B"/>
    <w:rsid w:val="23F14901"/>
    <w:rsid w:val="24E739CE"/>
    <w:rsid w:val="24F55F51"/>
    <w:rsid w:val="250545EF"/>
    <w:rsid w:val="250A61E7"/>
    <w:rsid w:val="251F3396"/>
    <w:rsid w:val="25262FF7"/>
    <w:rsid w:val="254A702B"/>
    <w:rsid w:val="255502F2"/>
    <w:rsid w:val="259A09AD"/>
    <w:rsid w:val="26506FDA"/>
    <w:rsid w:val="265905AA"/>
    <w:rsid w:val="26903F1E"/>
    <w:rsid w:val="26972AF0"/>
    <w:rsid w:val="26AF0FA6"/>
    <w:rsid w:val="26D57437"/>
    <w:rsid w:val="26D636E3"/>
    <w:rsid w:val="26D801CD"/>
    <w:rsid w:val="26DD1394"/>
    <w:rsid w:val="2716729D"/>
    <w:rsid w:val="27305CA3"/>
    <w:rsid w:val="273A5DA0"/>
    <w:rsid w:val="273F044A"/>
    <w:rsid w:val="276203F1"/>
    <w:rsid w:val="27640833"/>
    <w:rsid w:val="276A0AEF"/>
    <w:rsid w:val="276E0D72"/>
    <w:rsid w:val="278D4EC6"/>
    <w:rsid w:val="27AA279F"/>
    <w:rsid w:val="27C51579"/>
    <w:rsid w:val="27D529CE"/>
    <w:rsid w:val="27EE6360"/>
    <w:rsid w:val="28024573"/>
    <w:rsid w:val="280D2622"/>
    <w:rsid w:val="28352E2F"/>
    <w:rsid w:val="283F2875"/>
    <w:rsid w:val="28925FAE"/>
    <w:rsid w:val="28EA68B4"/>
    <w:rsid w:val="28F33755"/>
    <w:rsid w:val="294C1BC9"/>
    <w:rsid w:val="29B02469"/>
    <w:rsid w:val="29BB2026"/>
    <w:rsid w:val="2A400449"/>
    <w:rsid w:val="2A476F4B"/>
    <w:rsid w:val="2A4C0381"/>
    <w:rsid w:val="2A607EB6"/>
    <w:rsid w:val="2A9024CA"/>
    <w:rsid w:val="2AC6341B"/>
    <w:rsid w:val="2B0760A2"/>
    <w:rsid w:val="2B165FD3"/>
    <w:rsid w:val="2B424B73"/>
    <w:rsid w:val="2B4D3058"/>
    <w:rsid w:val="2B5456EA"/>
    <w:rsid w:val="2B747FBC"/>
    <w:rsid w:val="2B852A53"/>
    <w:rsid w:val="2C2366DE"/>
    <w:rsid w:val="2C71254F"/>
    <w:rsid w:val="2C902BF0"/>
    <w:rsid w:val="2C9A2640"/>
    <w:rsid w:val="2CE07732"/>
    <w:rsid w:val="2CE82407"/>
    <w:rsid w:val="2D0F710B"/>
    <w:rsid w:val="2D192BD5"/>
    <w:rsid w:val="2D2D6D56"/>
    <w:rsid w:val="2D354290"/>
    <w:rsid w:val="2D373F13"/>
    <w:rsid w:val="2D6A1973"/>
    <w:rsid w:val="2D753490"/>
    <w:rsid w:val="2D7E0488"/>
    <w:rsid w:val="2DCE4550"/>
    <w:rsid w:val="2E340FF9"/>
    <w:rsid w:val="2E49644E"/>
    <w:rsid w:val="2E6E7587"/>
    <w:rsid w:val="2E7D6426"/>
    <w:rsid w:val="2E890753"/>
    <w:rsid w:val="2EC13FC7"/>
    <w:rsid w:val="2EEF3E46"/>
    <w:rsid w:val="2EF87CF1"/>
    <w:rsid w:val="2EFF7E86"/>
    <w:rsid w:val="2F117B7C"/>
    <w:rsid w:val="30122C9F"/>
    <w:rsid w:val="301A73E7"/>
    <w:rsid w:val="30203302"/>
    <w:rsid w:val="30560DEB"/>
    <w:rsid w:val="30905F37"/>
    <w:rsid w:val="309E73AA"/>
    <w:rsid w:val="30C24060"/>
    <w:rsid w:val="30CC76F2"/>
    <w:rsid w:val="30D03380"/>
    <w:rsid w:val="30EE3E66"/>
    <w:rsid w:val="31E40892"/>
    <w:rsid w:val="32425F45"/>
    <w:rsid w:val="32536F0B"/>
    <w:rsid w:val="3257279C"/>
    <w:rsid w:val="32782EB5"/>
    <w:rsid w:val="3284071D"/>
    <w:rsid w:val="32A62664"/>
    <w:rsid w:val="32CB7A81"/>
    <w:rsid w:val="32FE73A9"/>
    <w:rsid w:val="33050CA1"/>
    <w:rsid w:val="333E1B82"/>
    <w:rsid w:val="33510E4C"/>
    <w:rsid w:val="338E17D6"/>
    <w:rsid w:val="33F80A7C"/>
    <w:rsid w:val="34333D1C"/>
    <w:rsid w:val="343A3A12"/>
    <w:rsid w:val="344E09D0"/>
    <w:rsid w:val="3482784E"/>
    <w:rsid w:val="34940E12"/>
    <w:rsid w:val="34A3647B"/>
    <w:rsid w:val="34C46954"/>
    <w:rsid w:val="34D37DB2"/>
    <w:rsid w:val="34E90214"/>
    <w:rsid w:val="35011698"/>
    <w:rsid w:val="35141047"/>
    <w:rsid w:val="35180A32"/>
    <w:rsid w:val="3554536F"/>
    <w:rsid w:val="358402AB"/>
    <w:rsid w:val="359567C4"/>
    <w:rsid w:val="35981AAD"/>
    <w:rsid w:val="359E0372"/>
    <w:rsid w:val="35CB282B"/>
    <w:rsid w:val="35D02726"/>
    <w:rsid w:val="35D54C83"/>
    <w:rsid w:val="35DE4B10"/>
    <w:rsid w:val="36096F27"/>
    <w:rsid w:val="36A04622"/>
    <w:rsid w:val="36B62FFE"/>
    <w:rsid w:val="36F916B9"/>
    <w:rsid w:val="3725502E"/>
    <w:rsid w:val="37264F35"/>
    <w:rsid w:val="37590B4E"/>
    <w:rsid w:val="378E34C8"/>
    <w:rsid w:val="383F42AF"/>
    <w:rsid w:val="386D1686"/>
    <w:rsid w:val="387971FC"/>
    <w:rsid w:val="38A86975"/>
    <w:rsid w:val="39140F75"/>
    <w:rsid w:val="391625CC"/>
    <w:rsid w:val="39D14550"/>
    <w:rsid w:val="39D40A5E"/>
    <w:rsid w:val="39EE619C"/>
    <w:rsid w:val="3A5A37F4"/>
    <w:rsid w:val="3A9A0587"/>
    <w:rsid w:val="3ACE770D"/>
    <w:rsid w:val="3ACF184A"/>
    <w:rsid w:val="3ADA4A92"/>
    <w:rsid w:val="3B4C52CF"/>
    <w:rsid w:val="3BBD77CB"/>
    <w:rsid w:val="3BCB55AD"/>
    <w:rsid w:val="3BEA4FCE"/>
    <w:rsid w:val="3C2705E0"/>
    <w:rsid w:val="3C7F3A1A"/>
    <w:rsid w:val="3CB52021"/>
    <w:rsid w:val="3D0867A5"/>
    <w:rsid w:val="3D123C30"/>
    <w:rsid w:val="3D9212EA"/>
    <w:rsid w:val="3D9E759F"/>
    <w:rsid w:val="3E1031B0"/>
    <w:rsid w:val="3E752A5F"/>
    <w:rsid w:val="3E7C5F11"/>
    <w:rsid w:val="3E861D88"/>
    <w:rsid w:val="3ED830D8"/>
    <w:rsid w:val="3EDB4974"/>
    <w:rsid w:val="3FB13684"/>
    <w:rsid w:val="3FBD08F4"/>
    <w:rsid w:val="3FC34AB4"/>
    <w:rsid w:val="3FF1461A"/>
    <w:rsid w:val="40806B30"/>
    <w:rsid w:val="409810E7"/>
    <w:rsid w:val="40A35FFF"/>
    <w:rsid w:val="40C413F9"/>
    <w:rsid w:val="411B04A1"/>
    <w:rsid w:val="412008D4"/>
    <w:rsid w:val="412F7E1B"/>
    <w:rsid w:val="41444A56"/>
    <w:rsid w:val="41AD6EFD"/>
    <w:rsid w:val="41F37F4D"/>
    <w:rsid w:val="42044F00"/>
    <w:rsid w:val="42160EDB"/>
    <w:rsid w:val="424871C8"/>
    <w:rsid w:val="42507DAD"/>
    <w:rsid w:val="42660EA5"/>
    <w:rsid w:val="42750B3B"/>
    <w:rsid w:val="42A04671"/>
    <w:rsid w:val="42D4569E"/>
    <w:rsid w:val="42D947C3"/>
    <w:rsid w:val="42F378CB"/>
    <w:rsid w:val="42FA49BF"/>
    <w:rsid w:val="43E63A0D"/>
    <w:rsid w:val="43ED2271"/>
    <w:rsid w:val="44161D74"/>
    <w:rsid w:val="442566BD"/>
    <w:rsid w:val="443545C3"/>
    <w:rsid w:val="4438416A"/>
    <w:rsid w:val="44830D6C"/>
    <w:rsid w:val="44B425EB"/>
    <w:rsid w:val="44C31E2B"/>
    <w:rsid w:val="450C1383"/>
    <w:rsid w:val="450D7405"/>
    <w:rsid w:val="45104F29"/>
    <w:rsid w:val="45165FB0"/>
    <w:rsid w:val="452828B5"/>
    <w:rsid w:val="45E6424A"/>
    <w:rsid w:val="4623252E"/>
    <w:rsid w:val="46A62584"/>
    <w:rsid w:val="46A870F6"/>
    <w:rsid w:val="46CF2BD2"/>
    <w:rsid w:val="47425583"/>
    <w:rsid w:val="47D92098"/>
    <w:rsid w:val="47FB08BD"/>
    <w:rsid w:val="48097CC8"/>
    <w:rsid w:val="48465BDE"/>
    <w:rsid w:val="48657C65"/>
    <w:rsid w:val="48836F69"/>
    <w:rsid w:val="48D3084E"/>
    <w:rsid w:val="49072A6A"/>
    <w:rsid w:val="491979AA"/>
    <w:rsid w:val="493A4AA6"/>
    <w:rsid w:val="49695898"/>
    <w:rsid w:val="49997807"/>
    <w:rsid w:val="49B11E42"/>
    <w:rsid w:val="49E056FA"/>
    <w:rsid w:val="49F3049D"/>
    <w:rsid w:val="4A88676A"/>
    <w:rsid w:val="4A916B3F"/>
    <w:rsid w:val="4A98729A"/>
    <w:rsid w:val="4AC7560F"/>
    <w:rsid w:val="4ACE7722"/>
    <w:rsid w:val="4B040003"/>
    <w:rsid w:val="4B1568F7"/>
    <w:rsid w:val="4B735132"/>
    <w:rsid w:val="4B933FB5"/>
    <w:rsid w:val="4BA14B89"/>
    <w:rsid w:val="4BAE02E9"/>
    <w:rsid w:val="4BB11F07"/>
    <w:rsid w:val="4BCA79AB"/>
    <w:rsid w:val="4BE16EAE"/>
    <w:rsid w:val="4BFC3517"/>
    <w:rsid w:val="4C365A46"/>
    <w:rsid w:val="4C9E6485"/>
    <w:rsid w:val="4CEE62B7"/>
    <w:rsid w:val="4D516DC4"/>
    <w:rsid w:val="4D66718D"/>
    <w:rsid w:val="4D894399"/>
    <w:rsid w:val="4D8A19DE"/>
    <w:rsid w:val="4DB95690"/>
    <w:rsid w:val="4DC24B0B"/>
    <w:rsid w:val="4DF01BD0"/>
    <w:rsid w:val="4DFD54D3"/>
    <w:rsid w:val="4E146A2D"/>
    <w:rsid w:val="4E1B29C4"/>
    <w:rsid w:val="4E274D75"/>
    <w:rsid w:val="4E3E3682"/>
    <w:rsid w:val="4EB023C9"/>
    <w:rsid w:val="4ECD039A"/>
    <w:rsid w:val="4F3C271A"/>
    <w:rsid w:val="4F7675FF"/>
    <w:rsid w:val="4F913248"/>
    <w:rsid w:val="4FB52F70"/>
    <w:rsid w:val="4FC34178"/>
    <w:rsid w:val="4FF93C17"/>
    <w:rsid w:val="506C02B1"/>
    <w:rsid w:val="506D6C28"/>
    <w:rsid w:val="508F4E8C"/>
    <w:rsid w:val="509D0C9B"/>
    <w:rsid w:val="50CB4E27"/>
    <w:rsid w:val="50D728A4"/>
    <w:rsid w:val="5133165F"/>
    <w:rsid w:val="513874FA"/>
    <w:rsid w:val="51B82B30"/>
    <w:rsid w:val="51CB14D4"/>
    <w:rsid w:val="51E464F5"/>
    <w:rsid w:val="52222767"/>
    <w:rsid w:val="52881251"/>
    <w:rsid w:val="528D09F0"/>
    <w:rsid w:val="532D0AA6"/>
    <w:rsid w:val="535149E3"/>
    <w:rsid w:val="53575C78"/>
    <w:rsid w:val="537816A2"/>
    <w:rsid w:val="53E2002C"/>
    <w:rsid w:val="548E36FB"/>
    <w:rsid w:val="549D4A24"/>
    <w:rsid w:val="54F10CE9"/>
    <w:rsid w:val="556E0623"/>
    <w:rsid w:val="55D627FF"/>
    <w:rsid w:val="55E324E4"/>
    <w:rsid w:val="56105D10"/>
    <w:rsid w:val="56433752"/>
    <w:rsid w:val="564E7D5E"/>
    <w:rsid w:val="56981D68"/>
    <w:rsid w:val="569A309B"/>
    <w:rsid w:val="569B5AFA"/>
    <w:rsid w:val="56AB1B4D"/>
    <w:rsid w:val="56D72E03"/>
    <w:rsid w:val="56DC7FF2"/>
    <w:rsid w:val="56F71733"/>
    <w:rsid w:val="570B7366"/>
    <w:rsid w:val="573C6972"/>
    <w:rsid w:val="57511DCF"/>
    <w:rsid w:val="57A713C5"/>
    <w:rsid w:val="57BE52EA"/>
    <w:rsid w:val="57EF0395"/>
    <w:rsid w:val="57FA16D1"/>
    <w:rsid w:val="581C6A4B"/>
    <w:rsid w:val="58346E83"/>
    <w:rsid w:val="58630573"/>
    <w:rsid w:val="586A4293"/>
    <w:rsid w:val="58A55CAF"/>
    <w:rsid w:val="58C02EA9"/>
    <w:rsid w:val="58C954F7"/>
    <w:rsid w:val="58E871E0"/>
    <w:rsid w:val="58F14725"/>
    <w:rsid w:val="58F858AA"/>
    <w:rsid w:val="59194463"/>
    <w:rsid w:val="593E6F66"/>
    <w:rsid w:val="59741536"/>
    <w:rsid w:val="59E13AB0"/>
    <w:rsid w:val="5A4126B6"/>
    <w:rsid w:val="5B0608A4"/>
    <w:rsid w:val="5B5F18DD"/>
    <w:rsid w:val="5B657684"/>
    <w:rsid w:val="5B90527F"/>
    <w:rsid w:val="5B953D5C"/>
    <w:rsid w:val="5BBE2AD5"/>
    <w:rsid w:val="5BE717E9"/>
    <w:rsid w:val="5BF3281A"/>
    <w:rsid w:val="5C06741E"/>
    <w:rsid w:val="5C0B2A0C"/>
    <w:rsid w:val="5C166AC8"/>
    <w:rsid w:val="5C407B49"/>
    <w:rsid w:val="5C763CE1"/>
    <w:rsid w:val="5C766C4A"/>
    <w:rsid w:val="5C7811E8"/>
    <w:rsid w:val="5CDC5626"/>
    <w:rsid w:val="5CF57A9E"/>
    <w:rsid w:val="5D397258"/>
    <w:rsid w:val="5D501017"/>
    <w:rsid w:val="5DD47A98"/>
    <w:rsid w:val="5E170E1C"/>
    <w:rsid w:val="5E315456"/>
    <w:rsid w:val="5EC72F7B"/>
    <w:rsid w:val="5ECD1C76"/>
    <w:rsid w:val="5EFC575E"/>
    <w:rsid w:val="5F4231EF"/>
    <w:rsid w:val="5F54370A"/>
    <w:rsid w:val="5F682518"/>
    <w:rsid w:val="5F7A3598"/>
    <w:rsid w:val="5F811E92"/>
    <w:rsid w:val="5FE34BFA"/>
    <w:rsid w:val="5FE9192F"/>
    <w:rsid w:val="5FEF59F1"/>
    <w:rsid w:val="6034476A"/>
    <w:rsid w:val="604B398D"/>
    <w:rsid w:val="60B32BC0"/>
    <w:rsid w:val="60C064D3"/>
    <w:rsid w:val="613B3C82"/>
    <w:rsid w:val="615722E3"/>
    <w:rsid w:val="621020F3"/>
    <w:rsid w:val="624C487C"/>
    <w:rsid w:val="62B95518"/>
    <w:rsid w:val="62F00414"/>
    <w:rsid w:val="62F37BF4"/>
    <w:rsid w:val="63005C2C"/>
    <w:rsid w:val="635D52DB"/>
    <w:rsid w:val="63FF4A8E"/>
    <w:rsid w:val="64055C29"/>
    <w:rsid w:val="640B1344"/>
    <w:rsid w:val="640B1F89"/>
    <w:rsid w:val="645430D9"/>
    <w:rsid w:val="646B3D6E"/>
    <w:rsid w:val="64786062"/>
    <w:rsid w:val="64C913C0"/>
    <w:rsid w:val="64E75F6D"/>
    <w:rsid w:val="654319AF"/>
    <w:rsid w:val="65F82EA1"/>
    <w:rsid w:val="663F1CA8"/>
    <w:rsid w:val="664A21F5"/>
    <w:rsid w:val="665174CE"/>
    <w:rsid w:val="6664588F"/>
    <w:rsid w:val="66775D88"/>
    <w:rsid w:val="66B768D8"/>
    <w:rsid w:val="66B85C0F"/>
    <w:rsid w:val="66BB0BDC"/>
    <w:rsid w:val="66C829A4"/>
    <w:rsid w:val="66EC020C"/>
    <w:rsid w:val="66F64244"/>
    <w:rsid w:val="67391535"/>
    <w:rsid w:val="676E5820"/>
    <w:rsid w:val="67D20A8E"/>
    <w:rsid w:val="68026DDA"/>
    <w:rsid w:val="683624FC"/>
    <w:rsid w:val="68416C4D"/>
    <w:rsid w:val="6855099E"/>
    <w:rsid w:val="6891110F"/>
    <w:rsid w:val="68DD19AC"/>
    <w:rsid w:val="68EF2641"/>
    <w:rsid w:val="68F45734"/>
    <w:rsid w:val="68F94975"/>
    <w:rsid w:val="692D3A23"/>
    <w:rsid w:val="693A4AE6"/>
    <w:rsid w:val="6946264D"/>
    <w:rsid w:val="695B5759"/>
    <w:rsid w:val="695C2B7F"/>
    <w:rsid w:val="698D2330"/>
    <w:rsid w:val="69AE15E7"/>
    <w:rsid w:val="69D36BF1"/>
    <w:rsid w:val="69FA150A"/>
    <w:rsid w:val="6A383C24"/>
    <w:rsid w:val="6AAA7465"/>
    <w:rsid w:val="6AF44EC2"/>
    <w:rsid w:val="6B81035E"/>
    <w:rsid w:val="6BB22514"/>
    <w:rsid w:val="6C3B3E30"/>
    <w:rsid w:val="6C9A0EF4"/>
    <w:rsid w:val="6D114D78"/>
    <w:rsid w:val="6D2E3F2F"/>
    <w:rsid w:val="6D4C705F"/>
    <w:rsid w:val="6D594031"/>
    <w:rsid w:val="6DB7158A"/>
    <w:rsid w:val="6DBE706B"/>
    <w:rsid w:val="6DE7762B"/>
    <w:rsid w:val="6DFF0DB9"/>
    <w:rsid w:val="6E470773"/>
    <w:rsid w:val="6E590AB8"/>
    <w:rsid w:val="6E737B96"/>
    <w:rsid w:val="6E9505C7"/>
    <w:rsid w:val="6ED773B1"/>
    <w:rsid w:val="6F3B5685"/>
    <w:rsid w:val="6F72645F"/>
    <w:rsid w:val="6FDE5742"/>
    <w:rsid w:val="700556DA"/>
    <w:rsid w:val="703C3CFB"/>
    <w:rsid w:val="70D14465"/>
    <w:rsid w:val="71504343"/>
    <w:rsid w:val="71DB63BE"/>
    <w:rsid w:val="71E54EEE"/>
    <w:rsid w:val="7225137C"/>
    <w:rsid w:val="722F297B"/>
    <w:rsid w:val="727E7F67"/>
    <w:rsid w:val="731F187D"/>
    <w:rsid w:val="73770109"/>
    <w:rsid w:val="73BA09E1"/>
    <w:rsid w:val="73C734DE"/>
    <w:rsid w:val="73DC575A"/>
    <w:rsid w:val="73E76A24"/>
    <w:rsid w:val="744F55F9"/>
    <w:rsid w:val="747674F2"/>
    <w:rsid w:val="748E1E66"/>
    <w:rsid w:val="75175F0D"/>
    <w:rsid w:val="7525537B"/>
    <w:rsid w:val="752D4B3A"/>
    <w:rsid w:val="757F6DE2"/>
    <w:rsid w:val="760102EA"/>
    <w:rsid w:val="76305CC2"/>
    <w:rsid w:val="763D62CA"/>
    <w:rsid w:val="764D3861"/>
    <w:rsid w:val="76524C31"/>
    <w:rsid w:val="765A641A"/>
    <w:rsid w:val="767E608D"/>
    <w:rsid w:val="768761A2"/>
    <w:rsid w:val="768C04F8"/>
    <w:rsid w:val="76EB4324"/>
    <w:rsid w:val="76F203FC"/>
    <w:rsid w:val="771D5351"/>
    <w:rsid w:val="77453705"/>
    <w:rsid w:val="77720CF0"/>
    <w:rsid w:val="77985615"/>
    <w:rsid w:val="77BA518F"/>
    <w:rsid w:val="77BB4F79"/>
    <w:rsid w:val="785964E4"/>
    <w:rsid w:val="78D2280F"/>
    <w:rsid w:val="78D25085"/>
    <w:rsid w:val="791D7CF2"/>
    <w:rsid w:val="792148B1"/>
    <w:rsid w:val="79352B64"/>
    <w:rsid w:val="79377C70"/>
    <w:rsid w:val="79473300"/>
    <w:rsid w:val="7959199E"/>
    <w:rsid w:val="79633F17"/>
    <w:rsid w:val="79CA09B0"/>
    <w:rsid w:val="79D03DA2"/>
    <w:rsid w:val="79F36062"/>
    <w:rsid w:val="79FD3E8A"/>
    <w:rsid w:val="7A0563BA"/>
    <w:rsid w:val="7A260344"/>
    <w:rsid w:val="7A481DD3"/>
    <w:rsid w:val="7A565BB2"/>
    <w:rsid w:val="7A582F7A"/>
    <w:rsid w:val="7A874C31"/>
    <w:rsid w:val="7ACC24AB"/>
    <w:rsid w:val="7AE6075D"/>
    <w:rsid w:val="7AEB3D7E"/>
    <w:rsid w:val="7B633B89"/>
    <w:rsid w:val="7BB66EFF"/>
    <w:rsid w:val="7BBA3594"/>
    <w:rsid w:val="7BBA4EA9"/>
    <w:rsid w:val="7BF1730F"/>
    <w:rsid w:val="7BF844E8"/>
    <w:rsid w:val="7BF9211A"/>
    <w:rsid w:val="7C077139"/>
    <w:rsid w:val="7CAA38DC"/>
    <w:rsid w:val="7CAD018E"/>
    <w:rsid w:val="7D157361"/>
    <w:rsid w:val="7D4A732D"/>
    <w:rsid w:val="7D633546"/>
    <w:rsid w:val="7DB93F63"/>
    <w:rsid w:val="7DBD5EEB"/>
    <w:rsid w:val="7DE91632"/>
    <w:rsid w:val="7E375473"/>
    <w:rsid w:val="7E4A2BD0"/>
    <w:rsid w:val="7E4B11B1"/>
    <w:rsid w:val="7E6E1F3C"/>
    <w:rsid w:val="7E811F86"/>
    <w:rsid w:val="7EAD1996"/>
    <w:rsid w:val="7EC05525"/>
    <w:rsid w:val="7EEE74BB"/>
    <w:rsid w:val="7F1A79B4"/>
    <w:rsid w:val="7F1D7E5A"/>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basedOn w:val="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5">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List 2"/>
    <w:basedOn w:val="19"/>
    <w:qFormat/>
    <w:uiPriority w:val="0"/>
    <w:pPr>
      <w:ind w:left="851"/>
    </w:pPr>
    <w:rPr>
      <w:lang w:eastAsia="ja-JP"/>
    </w:rPr>
  </w:style>
  <w:style w:type="paragraph" w:styleId="19">
    <w:name w:val="List"/>
    <w:basedOn w:val="1"/>
    <w:qFormat/>
    <w:uiPriority w:val="0"/>
    <w:pPr>
      <w:ind w:left="283" w:hanging="283"/>
    </w:pPr>
  </w:style>
  <w:style w:type="paragraph" w:styleId="20">
    <w:name w:val="Balloon Text"/>
    <w:basedOn w:val="1"/>
    <w:link w:val="38"/>
    <w:unhideWhenUsed/>
    <w:qFormat/>
    <w:uiPriority w:val="99"/>
    <w:pPr>
      <w:spacing w:after="0"/>
    </w:pPr>
    <w:rPr>
      <w:rFonts w:ascii="Tahoma" w:hAnsi="Tahoma" w:cs="Tahoma"/>
      <w:sz w:val="16"/>
      <w:szCs w:val="16"/>
    </w:rPr>
  </w:style>
  <w:style w:type="paragraph" w:styleId="21">
    <w:name w:val="footer"/>
    <w:basedOn w:val="1"/>
    <w:link w:val="40"/>
    <w:unhideWhenUsed/>
    <w:qFormat/>
    <w:uiPriority w:val="99"/>
    <w:pPr>
      <w:tabs>
        <w:tab w:val="center" w:pos="4513"/>
        <w:tab w:val="right" w:pos="9026"/>
      </w:tabs>
      <w:snapToGrid w:val="0"/>
    </w:pPr>
  </w:style>
  <w:style w:type="paragraph" w:styleId="22">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4">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6">
    <w:name w:val="page number"/>
    <w:basedOn w:val="25"/>
    <w:unhideWhenUsed/>
    <w:qFormat/>
    <w:uiPriority w:val="99"/>
  </w:style>
  <w:style w:type="character" w:styleId="27">
    <w:name w:val="FollowedHyperlink"/>
    <w:basedOn w:val="25"/>
    <w:qFormat/>
    <w:uiPriority w:val="0"/>
    <w:rPr>
      <w:color w:val="800080"/>
      <w:u w:val="single"/>
    </w:rPr>
  </w:style>
  <w:style w:type="character" w:styleId="28">
    <w:name w:val="Hyperlink"/>
    <w:basedOn w:val="25"/>
    <w:unhideWhenUsed/>
    <w:qFormat/>
    <w:uiPriority w:val="99"/>
    <w:rPr>
      <w:color w:val="0000FF"/>
      <w:u w:val="single"/>
    </w:rPr>
  </w:style>
  <w:style w:type="character" w:styleId="29">
    <w:name w:val="annotation reference"/>
    <w:basedOn w:val="25"/>
    <w:unhideWhenUsed/>
    <w:qFormat/>
    <w:uiPriority w:val="0"/>
    <w:rPr>
      <w:sz w:val="16"/>
      <w:szCs w:val="16"/>
    </w:rPr>
  </w:style>
  <w:style w:type="character" w:styleId="30">
    <w:name w:val="footnote reference"/>
    <w:basedOn w:val="25"/>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5"/>
    <w:link w:val="2"/>
    <w:qFormat/>
    <w:uiPriority w:val="0"/>
    <w:rPr>
      <w:rFonts w:ascii="Arial" w:hAnsi="Arial"/>
      <w:b/>
      <w:sz w:val="32"/>
      <w:szCs w:val="32"/>
    </w:rPr>
  </w:style>
  <w:style w:type="character" w:customStyle="1" w:styleId="34">
    <w:name w:val="Header Char"/>
    <w:basedOn w:val="25"/>
    <w:link w:val="22"/>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5"/>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5"/>
    <w:link w:val="20"/>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5"/>
    <w:link w:val="21"/>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5"/>
    <w:link w:val="41"/>
    <w:qFormat/>
    <w:uiPriority w:val="0"/>
    <w:rPr>
      <w:rFonts w:ascii="Arial" w:hAnsi="Arial" w:eastAsia="MS Mincho"/>
      <w:szCs w:val="24"/>
      <w:lang w:val="en-GB" w:eastAsia="en-GB" w:bidi="ar-SA"/>
    </w:rPr>
  </w:style>
  <w:style w:type="paragraph" w:customStyle="1" w:styleId="43">
    <w:name w:val="B1"/>
    <w:basedOn w:val="19"/>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5"/>
    <w:link w:val="43"/>
    <w:qFormat/>
    <w:uiPriority w:val="0"/>
    <w:rPr>
      <w:rFonts w:eastAsia="MS Mincho"/>
      <w:lang w:val="en-GB" w:eastAsia="en-US" w:bidi="ar-SA"/>
    </w:rPr>
  </w:style>
  <w:style w:type="paragraph" w:customStyle="1" w:styleId="45">
    <w:name w:val="Style Numbered (Latin) Bold Before:  0 cm Hanging:  063 cm"/>
    <w:next w:val="19"/>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5"/>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8"/>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5"/>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5"/>
    <w:link w:val="53"/>
    <w:qFormat/>
    <w:uiPriority w:val="0"/>
    <w:rPr>
      <w:rFonts w:ascii="Arial" w:hAnsi="Arial"/>
      <w:b/>
      <w:sz w:val="18"/>
      <w:lang w:val="en-GB" w:eastAsia="ja-JP" w:bidi="ar-SA"/>
    </w:rPr>
  </w:style>
  <w:style w:type="character" w:customStyle="1" w:styleId="56">
    <w:name w:val="msoins"/>
    <w:basedOn w:val="25"/>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5"/>
    <w:link w:val="57"/>
    <w:qFormat/>
    <w:uiPriority w:val="0"/>
    <w:rPr>
      <w:rFonts w:ascii="Arial" w:hAnsi="Arial"/>
      <w:lang w:val="en-US" w:eastAsia="en-US" w:bidi="ar-SA"/>
    </w:rPr>
  </w:style>
  <w:style w:type="character" w:customStyle="1" w:styleId="59">
    <w:name w:val="Caption Char"/>
    <w:basedOn w:val="25"/>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5"/>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5"/>
    <w:qFormat/>
    <w:uiPriority w:val="0"/>
    <w:rPr>
      <w:lang w:val="en-GB" w:eastAsia="en-US" w:bidi="ar-SA"/>
    </w:rPr>
  </w:style>
  <w:style w:type="character" w:customStyle="1" w:styleId="70">
    <w:name w:val="B1 Char"/>
    <w:basedOn w:val="25"/>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5"/>
    <w:link w:val="71"/>
    <w:qFormat/>
    <w:uiPriority w:val="0"/>
    <w:rPr>
      <w:rFonts w:ascii="Courier New" w:hAnsi="Courier New" w:eastAsia="宋体"/>
      <w:sz w:val="16"/>
      <w:lang w:val="en-GB" w:eastAsia="ja-JP" w:bidi="ar-SA"/>
    </w:rPr>
  </w:style>
  <w:style w:type="character" w:customStyle="1" w:styleId="73">
    <w:name w:val="Heading 4 Char"/>
    <w:basedOn w:val="25"/>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5"/>
    <w:semiHidden/>
    <w:qFormat/>
    <w:uiPriority w:val="99"/>
    <w:rPr>
      <w:color w:val="808080"/>
    </w:rPr>
  </w:style>
  <w:style w:type="character" w:customStyle="1" w:styleId="79">
    <w:name w:val="Heading 8 Char"/>
    <w:basedOn w:val="25"/>
    <w:link w:val="9"/>
    <w:qFormat/>
    <w:uiPriority w:val="0"/>
    <w:rPr>
      <w:rFonts w:ascii="Arial" w:hAnsi="Arial" w:eastAsia="宋体"/>
      <w:kern w:val="2"/>
      <w:sz w:val="21"/>
      <w:szCs w:val="24"/>
    </w:rPr>
  </w:style>
  <w:style w:type="character" w:customStyle="1" w:styleId="80">
    <w:name w:val="Heading 9 Char"/>
    <w:basedOn w:val="25"/>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5"/>
    <w:qFormat/>
    <w:uiPriority w:val="0"/>
    <w:rPr>
      <w:rFonts w:eastAsia="Times New Roman"/>
    </w:rPr>
  </w:style>
  <w:style w:type="character" w:customStyle="1" w:styleId="86">
    <w:name w:val="MTEquationSection"/>
    <w:basedOn w:val="25"/>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5"/>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5"/>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5"/>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5"/>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5"/>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 w:type="paragraph" w:customStyle="1" w:styleId="126">
    <w:name w:val="No Spacing1"/>
    <w:qFormat/>
    <w:uiPriority w:val="1"/>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C511E-3D67-417A-9225-7FB2FF8C1F9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1969</Words>
  <Characters>11226</Characters>
  <Lines>93</Lines>
  <Paragraphs>26</Paragraphs>
  <TotalTime>1</TotalTime>
  <ScaleCrop>false</ScaleCrop>
  <LinksUpToDate>false</LinksUpToDate>
  <CharactersWithSpaces>13169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2019-08-16T07:50:11Z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