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06918D0E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0B3FB5">
        <w:rPr>
          <w:rFonts w:ascii="Arial" w:hAnsi="Arial" w:cs="Arial"/>
          <w:b/>
          <w:bCs/>
          <w:sz w:val="24"/>
        </w:rPr>
        <w:t>7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0B3FB5">
        <w:rPr>
          <w:rFonts w:ascii="Arial" w:hAnsi="Arial" w:cs="Arial"/>
          <w:b/>
          <w:bCs/>
          <w:sz w:val="24"/>
        </w:rPr>
        <w:tab/>
      </w:r>
      <w:r w:rsidR="004D6A99" w:rsidRPr="004D6A99">
        <w:rPr>
          <w:rFonts w:ascii="Arial" w:hAnsi="Arial" w:cs="Arial"/>
          <w:b/>
          <w:bCs/>
          <w:sz w:val="24"/>
        </w:rPr>
        <w:t>R1-</w:t>
      </w:r>
      <w:r w:rsidR="0013672F" w:rsidRPr="004D6A99">
        <w:rPr>
          <w:rFonts w:ascii="Arial" w:hAnsi="Arial" w:cs="Arial"/>
          <w:b/>
          <w:bCs/>
          <w:sz w:val="24"/>
        </w:rPr>
        <w:t>19</w:t>
      </w:r>
      <w:r w:rsidR="00797068">
        <w:rPr>
          <w:rFonts w:ascii="Arial" w:hAnsi="Arial" w:cs="Arial"/>
          <w:b/>
          <w:bCs/>
          <w:sz w:val="24"/>
        </w:rPr>
        <w:t>07467</w:t>
      </w:r>
      <w:r w:rsidR="0013672F" w:rsidRPr="00A2299C">
        <w:rPr>
          <w:b/>
          <w:bCs/>
          <w:sz w:val="28"/>
          <w:szCs w:val="24"/>
        </w:rPr>
        <w:t xml:space="preserve">  </w:t>
      </w:r>
    </w:p>
    <w:p w14:paraId="56A15566" w14:textId="54667B3A" w:rsidR="004607C3" w:rsidRPr="00A2299C" w:rsidRDefault="00770E80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Reno</w:t>
      </w:r>
      <w:r w:rsidR="008C1CCF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8C1CCF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13</w:t>
      </w:r>
      <w:r w:rsidRPr="00770E80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17</w:t>
      </w:r>
      <w:r w:rsidRPr="00770E80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, </w:t>
      </w:r>
      <w:r w:rsidR="008C1CCF" w:rsidRPr="00C00997">
        <w:rPr>
          <w:rFonts w:ascii="Arial" w:hAnsi="Arial" w:cs="Arial"/>
          <w:b/>
          <w:bCs/>
          <w:sz w:val="24"/>
        </w:rPr>
        <w:t>2019</w:t>
      </w:r>
      <w:r w:rsidR="008C1CCF">
        <w:rPr>
          <w:rFonts w:ascii="Arial" w:hAnsi="Arial" w:cs="Arial"/>
          <w:b/>
          <w:bCs/>
          <w:sz w:val="24"/>
        </w:rPr>
        <w:tab/>
      </w:r>
      <w:r w:rsidR="0005577C">
        <w:rPr>
          <w:rFonts w:ascii="Arial" w:hAnsi="Arial" w:cs="Arial"/>
          <w:b/>
          <w:bCs/>
          <w:sz w:val="24"/>
        </w:rPr>
        <w:tab/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1ABC9368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4E2930">
        <w:rPr>
          <w:rFonts w:ascii="Arial" w:hAnsi="Arial" w:cs="Arial"/>
          <w:b/>
          <w:sz w:val="22"/>
        </w:rPr>
        <w:t>7.2.</w:t>
      </w:r>
      <w:r w:rsidR="008D28CA">
        <w:rPr>
          <w:rFonts w:ascii="Arial" w:hAnsi="Arial" w:cs="Arial"/>
          <w:b/>
          <w:sz w:val="22"/>
        </w:rPr>
        <w:t>9.1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5D5085BA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5C3EF1">
        <w:rPr>
          <w:rFonts w:ascii="Arial" w:hAnsi="Arial" w:cs="Arial"/>
          <w:b/>
          <w:sz w:val="22"/>
        </w:rPr>
        <w:t>Go-To-Sleep Signal</w:t>
      </w:r>
      <w:r w:rsidR="000810DA">
        <w:rPr>
          <w:rFonts w:ascii="Arial" w:hAnsi="Arial" w:cs="Arial"/>
          <w:b/>
          <w:sz w:val="22"/>
        </w:rPr>
        <w:t>l</w:t>
      </w:r>
      <w:r w:rsidR="005C3EF1">
        <w:rPr>
          <w:rFonts w:ascii="Arial" w:hAnsi="Arial" w:cs="Arial"/>
          <w:b/>
          <w:sz w:val="22"/>
        </w:rPr>
        <w:t>ing for Power Savings</w:t>
      </w:r>
      <w:r w:rsidR="004E2930">
        <w:rPr>
          <w:rFonts w:ascii="Arial" w:hAnsi="Arial" w:cs="Arial"/>
          <w:b/>
          <w:sz w:val="22"/>
        </w:rPr>
        <w:t xml:space="preserve"> 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656C0F5" w:rsidR="004607C3" w:rsidRPr="000D37D3" w:rsidRDefault="005D20F1" w:rsidP="008873A5">
      <w:pPr>
        <w:pStyle w:val="Heading1"/>
      </w:pPr>
      <w:r w:rsidRPr="000D37D3">
        <w:t>Introduction</w:t>
      </w:r>
    </w:p>
    <w:p w14:paraId="3B58CF76" w14:textId="3C30B484" w:rsidR="00770E80" w:rsidRDefault="00EF1127" w:rsidP="00770E80">
      <w:pPr>
        <w:spacing w:before="120" w:after="120"/>
        <w:jc w:val="both"/>
        <w:rPr>
          <w:sz w:val="22"/>
          <w:szCs w:val="22"/>
          <w:lang w:eastAsia="ko-KR"/>
        </w:rPr>
      </w:pPr>
      <w:r w:rsidRPr="00BB4ADD">
        <w:rPr>
          <w:rFonts w:eastAsia="Batang"/>
          <w:sz w:val="22"/>
          <w:szCs w:val="22"/>
          <w:lang w:eastAsia="ko-KR"/>
        </w:rPr>
        <w:t>T</w:t>
      </w:r>
      <w:r w:rsidR="001A5BE4" w:rsidRPr="00BB4ADD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5C3EF1" w:rsidRPr="00BB4ADD">
        <w:rPr>
          <w:sz w:val="22"/>
          <w:szCs w:val="22"/>
          <w:lang w:eastAsia="ko-KR"/>
        </w:rPr>
        <w:t xml:space="preserve">were made in the RAN1 #96bis meeting </w:t>
      </w:r>
      <w:r w:rsidR="005C3EF1" w:rsidRPr="00BB4ADD">
        <w:rPr>
          <w:sz w:val="22"/>
          <w:szCs w:val="22"/>
          <w:lang w:eastAsia="ko-KR"/>
        </w:rPr>
        <w:fldChar w:fldCharType="begin"/>
      </w:r>
      <w:r w:rsidR="005C3EF1" w:rsidRPr="00BB4ADD">
        <w:rPr>
          <w:sz w:val="22"/>
          <w:szCs w:val="22"/>
          <w:lang w:eastAsia="ko-KR"/>
        </w:rPr>
        <w:instrText xml:space="preserve"> REF _Ref7768110 \r \h </w:instrText>
      </w:r>
      <w:r w:rsidR="00BB4ADD">
        <w:rPr>
          <w:sz w:val="22"/>
          <w:szCs w:val="22"/>
          <w:lang w:eastAsia="ko-KR"/>
        </w:rPr>
        <w:instrText xml:space="preserve"> \* MERGEFORMAT </w:instrText>
      </w:r>
      <w:r w:rsidR="005C3EF1" w:rsidRPr="00BB4ADD">
        <w:rPr>
          <w:sz w:val="22"/>
          <w:szCs w:val="22"/>
          <w:lang w:eastAsia="ko-KR"/>
        </w:rPr>
      </w:r>
      <w:r w:rsidR="005C3EF1" w:rsidRPr="00BB4ADD">
        <w:rPr>
          <w:sz w:val="22"/>
          <w:szCs w:val="22"/>
          <w:lang w:eastAsia="ko-KR"/>
        </w:rPr>
        <w:fldChar w:fldCharType="separate"/>
      </w:r>
      <w:r w:rsidR="005C3EF1" w:rsidRPr="00BB4ADD">
        <w:rPr>
          <w:sz w:val="22"/>
          <w:szCs w:val="22"/>
          <w:lang w:eastAsia="ko-KR"/>
        </w:rPr>
        <w:t>[</w:t>
      </w:r>
      <w:r w:rsidR="0077242F">
        <w:rPr>
          <w:sz w:val="22"/>
          <w:szCs w:val="22"/>
          <w:lang w:eastAsia="ko-KR"/>
        </w:rPr>
        <w:t>1</w:t>
      </w:r>
      <w:r w:rsidR="005C3EF1" w:rsidRPr="00BB4ADD">
        <w:rPr>
          <w:sz w:val="22"/>
          <w:szCs w:val="22"/>
          <w:lang w:eastAsia="ko-KR"/>
        </w:rPr>
        <w:t>]</w:t>
      </w:r>
      <w:r w:rsidR="005C3EF1" w:rsidRPr="00BB4ADD">
        <w:rPr>
          <w:sz w:val="22"/>
          <w:szCs w:val="22"/>
          <w:lang w:eastAsia="ko-KR"/>
        </w:rPr>
        <w:fldChar w:fldCharType="end"/>
      </w:r>
      <w:r w:rsidR="00BB4ADD" w:rsidRPr="00BB4ADD">
        <w:rPr>
          <w:sz w:val="22"/>
          <w:szCs w:val="22"/>
          <w:lang w:eastAsia="ko-KR"/>
        </w:rPr>
        <w:t xml:space="preserve"> on </w:t>
      </w:r>
      <w:r w:rsidR="00BB4ADD" w:rsidRPr="00BB4ADD">
        <w:rPr>
          <w:sz w:val="22"/>
          <w:szCs w:val="22"/>
        </w:rPr>
        <w:t>PDCCH-based power saving signal/channel</w:t>
      </w:r>
      <w:r w:rsidR="005C3EF1" w:rsidRPr="00BB4ADD">
        <w:rPr>
          <w:sz w:val="22"/>
          <w:szCs w:val="22"/>
          <w:lang w:eastAsia="ko-KR"/>
        </w:rPr>
        <w:t>.</w:t>
      </w:r>
    </w:p>
    <w:p w14:paraId="670B1072" w14:textId="77777777" w:rsidR="00BB4ADD" w:rsidRPr="00BB4ADD" w:rsidRDefault="00BB4ADD" w:rsidP="00BB4ADD">
      <w:pPr>
        <w:spacing w:before="120" w:after="120"/>
        <w:jc w:val="both"/>
        <w:rPr>
          <w:b/>
          <w:i/>
          <w:sz w:val="22"/>
          <w:szCs w:val="22"/>
          <w:lang w:eastAsia="ko-KR"/>
        </w:rPr>
      </w:pPr>
      <w:r w:rsidRPr="00BB4ADD">
        <w:rPr>
          <w:b/>
          <w:i/>
          <w:sz w:val="22"/>
          <w:szCs w:val="22"/>
          <w:highlight w:val="green"/>
          <w:lang w:eastAsia="ko-KR"/>
        </w:rPr>
        <w:t>Agreements:</w:t>
      </w:r>
    </w:p>
    <w:p w14:paraId="2E82D762" w14:textId="77777777" w:rsidR="00BB4ADD" w:rsidRPr="00BB4ADD" w:rsidRDefault="00BB4ADD" w:rsidP="00BB4ADD">
      <w:pPr>
        <w:numPr>
          <w:ilvl w:val="0"/>
          <w:numId w:val="35"/>
        </w:numPr>
        <w:spacing w:before="120" w:after="120"/>
        <w:jc w:val="both"/>
        <w:rPr>
          <w:i/>
          <w:sz w:val="22"/>
          <w:szCs w:val="22"/>
          <w:lang w:eastAsia="ko-KR"/>
        </w:rPr>
      </w:pPr>
      <w:r w:rsidRPr="00BB4ADD">
        <w:rPr>
          <w:i/>
          <w:sz w:val="22"/>
          <w:szCs w:val="22"/>
          <w:lang w:eastAsia="ko-KR"/>
        </w:rPr>
        <w:t xml:space="preserve">The PDCCH-based power saving signal/channel is UE-specifically configured.   </w:t>
      </w:r>
    </w:p>
    <w:p w14:paraId="6C8D88A4" w14:textId="77777777" w:rsidR="00BB4ADD" w:rsidRPr="00BB4ADD" w:rsidRDefault="00BB4ADD" w:rsidP="00BB4ADD">
      <w:pPr>
        <w:numPr>
          <w:ilvl w:val="0"/>
          <w:numId w:val="35"/>
        </w:numPr>
        <w:spacing w:before="120" w:after="120"/>
        <w:jc w:val="both"/>
        <w:rPr>
          <w:i/>
          <w:sz w:val="22"/>
          <w:szCs w:val="22"/>
          <w:lang w:eastAsia="ko-KR"/>
        </w:rPr>
      </w:pPr>
      <w:r w:rsidRPr="00BB4ADD">
        <w:rPr>
          <w:i/>
          <w:sz w:val="22"/>
          <w:szCs w:val="22"/>
          <w:lang w:eastAsia="ko-KR"/>
        </w:rPr>
        <w:t>The DCI format(s) contain information for (including potential down-selection, which may or may not depend on power saving techniques/scenarios):</w:t>
      </w:r>
    </w:p>
    <w:p w14:paraId="0CBFE4B5" w14:textId="77777777" w:rsidR="00BB4ADD" w:rsidRPr="00BB4ADD" w:rsidRDefault="00BB4ADD" w:rsidP="00BB4ADD">
      <w:pPr>
        <w:numPr>
          <w:ilvl w:val="1"/>
          <w:numId w:val="35"/>
        </w:numPr>
        <w:spacing w:before="120" w:after="120"/>
        <w:jc w:val="both"/>
        <w:rPr>
          <w:i/>
          <w:sz w:val="22"/>
          <w:szCs w:val="22"/>
          <w:lang w:eastAsia="ko-KR"/>
        </w:rPr>
      </w:pPr>
      <w:r w:rsidRPr="00BB4ADD">
        <w:rPr>
          <w:i/>
          <w:sz w:val="22"/>
          <w:szCs w:val="22"/>
          <w:lang w:eastAsia="ko-KR"/>
        </w:rPr>
        <w:t xml:space="preserve">Alt 1: triggering a single UE only </w:t>
      </w:r>
    </w:p>
    <w:p w14:paraId="38B5A13C" w14:textId="77777777" w:rsidR="00BB4ADD" w:rsidRPr="00BB4ADD" w:rsidRDefault="00BB4ADD" w:rsidP="00BB4ADD">
      <w:pPr>
        <w:numPr>
          <w:ilvl w:val="1"/>
          <w:numId w:val="35"/>
        </w:numPr>
        <w:spacing w:before="120" w:after="120"/>
        <w:jc w:val="both"/>
        <w:rPr>
          <w:i/>
          <w:sz w:val="22"/>
          <w:szCs w:val="22"/>
          <w:lang w:eastAsia="ko-KR"/>
        </w:rPr>
      </w:pPr>
      <w:r w:rsidRPr="00BB4ADD">
        <w:rPr>
          <w:i/>
          <w:sz w:val="22"/>
          <w:szCs w:val="22"/>
          <w:lang w:eastAsia="ko-KR"/>
        </w:rPr>
        <w:t xml:space="preserve">Alt 2: triggering UE(s) within a group </w:t>
      </w:r>
    </w:p>
    <w:p w14:paraId="2AF75E74" w14:textId="77777777" w:rsidR="00BB4ADD" w:rsidRPr="00BB4ADD" w:rsidRDefault="00BB4ADD" w:rsidP="00BB4ADD">
      <w:pPr>
        <w:numPr>
          <w:ilvl w:val="2"/>
          <w:numId w:val="35"/>
        </w:numPr>
        <w:spacing w:before="120" w:after="120"/>
        <w:jc w:val="both"/>
        <w:rPr>
          <w:i/>
          <w:sz w:val="22"/>
          <w:szCs w:val="22"/>
          <w:lang w:eastAsia="ko-KR"/>
        </w:rPr>
      </w:pPr>
      <w:r w:rsidRPr="00BB4ADD">
        <w:rPr>
          <w:i/>
          <w:sz w:val="22"/>
          <w:szCs w:val="22"/>
          <w:lang w:eastAsia="ko-KR"/>
        </w:rPr>
        <w:t>FFS whether to always trigger all UEs in a group or a subset of it</w:t>
      </w:r>
    </w:p>
    <w:p w14:paraId="6EEF51F1" w14:textId="77777777" w:rsidR="00BB4ADD" w:rsidRPr="00BB4ADD" w:rsidRDefault="00BB4ADD" w:rsidP="00BB4ADD">
      <w:pPr>
        <w:numPr>
          <w:ilvl w:val="1"/>
          <w:numId w:val="35"/>
        </w:numPr>
        <w:spacing w:before="120" w:after="120"/>
        <w:jc w:val="both"/>
        <w:rPr>
          <w:i/>
          <w:sz w:val="22"/>
          <w:szCs w:val="22"/>
          <w:lang w:eastAsia="ko-KR"/>
        </w:rPr>
      </w:pPr>
      <w:r w:rsidRPr="00BB4ADD">
        <w:rPr>
          <w:i/>
          <w:sz w:val="22"/>
          <w:szCs w:val="22"/>
          <w:lang w:eastAsia="ko-KR"/>
        </w:rPr>
        <w:t xml:space="preserve">Alt 3: Alt 1 &amp; Alt 2 </w:t>
      </w:r>
    </w:p>
    <w:p w14:paraId="1A897C76" w14:textId="77777777" w:rsidR="00BB4ADD" w:rsidRDefault="00BB4ADD" w:rsidP="00770E80">
      <w:pPr>
        <w:spacing w:before="120" w:after="120"/>
        <w:jc w:val="both"/>
        <w:rPr>
          <w:sz w:val="22"/>
          <w:szCs w:val="22"/>
          <w:lang w:eastAsia="ko-KR"/>
        </w:rPr>
      </w:pPr>
    </w:p>
    <w:p w14:paraId="28DBA9BC" w14:textId="283341C4" w:rsidR="00BB4ADD" w:rsidRPr="00BB4ADD" w:rsidRDefault="00BB4ADD" w:rsidP="00770E80">
      <w:pPr>
        <w:spacing w:before="120" w:after="120"/>
        <w:jc w:val="both"/>
        <w:rPr>
          <w:b/>
          <w:i/>
          <w:sz w:val="22"/>
          <w:szCs w:val="22"/>
        </w:rPr>
      </w:pPr>
      <w:r w:rsidRPr="00BB4ADD">
        <w:rPr>
          <w:b/>
          <w:i/>
          <w:sz w:val="22"/>
          <w:szCs w:val="22"/>
          <w:highlight w:val="green"/>
          <w:lang w:eastAsia="ko-KR"/>
        </w:rPr>
        <w:t>Agreements</w:t>
      </w:r>
      <w:r>
        <w:rPr>
          <w:b/>
          <w:i/>
          <w:sz w:val="22"/>
          <w:szCs w:val="22"/>
          <w:highlight w:val="green"/>
          <w:lang w:eastAsia="ko-KR"/>
        </w:rPr>
        <w:t>:</w:t>
      </w:r>
    </w:p>
    <w:p w14:paraId="54387223" w14:textId="77777777" w:rsidR="00BB4ADD" w:rsidRPr="00BB4ADD" w:rsidRDefault="00BB4ADD" w:rsidP="00BB4ADD">
      <w:p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>Possible candidates of DCI format design for the PDCCH-based power saving signal/channel (including potential down-selection, which may or may not depend on power saving techniques/scenarios):</w:t>
      </w:r>
    </w:p>
    <w:p w14:paraId="147F9909" w14:textId="77777777" w:rsidR="00BB4ADD" w:rsidRPr="00BB4ADD" w:rsidRDefault="00BB4ADD" w:rsidP="00BB4ADD">
      <w:pPr>
        <w:numPr>
          <w:ilvl w:val="0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 xml:space="preserve">New DCI format(s) </w:t>
      </w:r>
    </w:p>
    <w:p w14:paraId="7E1EAC75" w14:textId="77777777" w:rsidR="00BB4ADD" w:rsidRPr="00BB4ADD" w:rsidRDefault="00BB4ADD" w:rsidP="00BB4ADD">
      <w:pPr>
        <w:numPr>
          <w:ilvl w:val="1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>The size of new DCI format may or may not be the same size as the existing DCI size</w:t>
      </w:r>
    </w:p>
    <w:p w14:paraId="79CAFB90" w14:textId="77777777" w:rsidR="00BB4ADD" w:rsidRPr="00BB4ADD" w:rsidRDefault="00BB4ADD" w:rsidP="00BB4ADD">
      <w:pPr>
        <w:numPr>
          <w:ilvl w:val="0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 xml:space="preserve">Enhancement of existing DCI. </w:t>
      </w:r>
      <w:proofErr w:type="gramStart"/>
      <w:r w:rsidRPr="00BB4ADD">
        <w:rPr>
          <w:i/>
          <w:sz w:val="22"/>
          <w:szCs w:val="22"/>
        </w:rPr>
        <w:t>E.g.,:</w:t>
      </w:r>
      <w:proofErr w:type="gramEnd"/>
    </w:p>
    <w:p w14:paraId="7B21B546" w14:textId="77777777" w:rsidR="00BB4ADD" w:rsidRPr="00BB4ADD" w:rsidRDefault="00BB4ADD" w:rsidP="00BB4ADD">
      <w:pPr>
        <w:numPr>
          <w:ilvl w:val="1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>Additional new field(s)</w:t>
      </w:r>
    </w:p>
    <w:p w14:paraId="57344945" w14:textId="77777777" w:rsidR="00BB4ADD" w:rsidRPr="00BB4ADD" w:rsidRDefault="00BB4ADD" w:rsidP="00BB4ADD">
      <w:pPr>
        <w:numPr>
          <w:ilvl w:val="1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>Using the existing DCI format for the power saving purpose</w:t>
      </w:r>
    </w:p>
    <w:p w14:paraId="0BEBCC3D" w14:textId="77777777" w:rsidR="00BB4ADD" w:rsidRPr="00BB4ADD" w:rsidRDefault="00BB4ADD" w:rsidP="00BB4ADD">
      <w:pPr>
        <w:numPr>
          <w:ilvl w:val="2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>Re-purpose field(s) in the DCI</w:t>
      </w:r>
    </w:p>
    <w:p w14:paraId="7006F069" w14:textId="77777777" w:rsidR="00BB4ADD" w:rsidRPr="00BB4ADD" w:rsidRDefault="00BB4ADD" w:rsidP="00BB4ADD">
      <w:pPr>
        <w:numPr>
          <w:ilvl w:val="2"/>
          <w:numId w:val="34"/>
        </w:numPr>
        <w:tabs>
          <w:tab w:val="left" w:pos="720"/>
        </w:tabs>
        <w:rPr>
          <w:i/>
          <w:sz w:val="22"/>
          <w:szCs w:val="22"/>
        </w:rPr>
      </w:pPr>
      <w:r w:rsidRPr="00BB4ADD">
        <w:rPr>
          <w:i/>
          <w:sz w:val="22"/>
          <w:szCs w:val="22"/>
        </w:rPr>
        <w:t xml:space="preserve">The detection of existing DCI format as the indication for the power saving technique </w:t>
      </w:r>
    </w:p>
    <w:p w14:paraId="5EB5A20A" w14:textId="03ADDCB6" w:rsidR="00770E80" w:rsidRDefault="00770E80" w:rsidP="00ED218B">
      <w:pPr>
        <w:tabs>
          <w:tab w:val="left" w:pos="720"/>
        </w:tabs>
        <w:rPr>
          <w:sz w:val="22"/>
          <w:szCs w:val="22"/>
        </w:rPr>
      </w:pPr>
    </w:p>
    <w:p w14:paraId="3525B25F" w14:textId="68F958CB" w:rsidR="00485C27" w:rsidRPr="00A2299C" w:rsidRDefault="009F7FC7" w:rsidP="00ED218B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sz w:val="22"/>
          <w:szCs w:val="22"/>
        </w:rPr>
        <w:t xml:space="preserve">In this contribution we discuss aspects of Go-To-Sleep (GTS) indication within the scope of the above agreements. </w:t>
      </w:r>
    </w:p>
    <w:p w14:paraId="153558C7" w14:textId="77777777" w:rsidR="004607C3" w:rsidRDefault="004607C3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A9B9572" w14:textId="4C8D7385" w:rsidR="005D20F1" w:rsidRDefault="007C6943" w:rsidP="008873A5">
      <w:pPr>
        <w:pStyle w:val="Heading1"/>
      </w:pPr>
      <w:r w:rsidRPr="000D37D3">
        <w:t>Discussion</w:t>
      </w:r>
    </w:p>
    <w:p w14:paraId="0B1BEE5D" w14:textId="71222AA2" w:rsidR="009F7FC7" w:rsidRDefault="009F7FC7" w:rsidP="009F7FC7">
      <w:pPr>
        <w:tabs>
          <w:tab w:val="left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The GTS signal/channel is understood to be an indication sent to the UE to </w:t>
      </w:r>
      <w:proofErr w:type="gramStart"/>
      <w:r>
        <w:rPr>
          <w:sz w:val="22"/>
          <w:szCs w:val="22"/>
        </w:rPr>
        <w:t>enter</w:t>
      </w:r>
      <w:r w:rsidR="0077242F">
        <w:rPr>
          <w:sz w:val="22"/>
          <w:szCs w:val="22"/>
        </w:rPr>
        <w:t xml:space="preserve"> into</w:t>
      </w:r>
      <w:proofErr w:type="gramEnd"/>
      <w:r>
        <w:rPr>
          <w:sz w:val="22"/>
          <w:szCs w:val="22"/>
        </w:rPr>
        <w:t xml:space="preserve"> micro-sleep </w:t>
      </w:r>
      <w:r w:rsidR="00134DD1">
        <w:rPr>
          <w:sz w:val="22"/>
          <w:szCs w:val="22"/>
        </w:rPr>
        <w:t xml:space="preserve">during a </w:t>
      </w:r>
      <w:proofErr w:type="spellStart"/>
      <w:r w:rsidR="00134DD1">
        <w:rPr>
          <w:sz w:val="22"/>
          <w:szCs w:val="22"/>
        </w:rPr>
        <w:t>cDRX</w:t>
      </w:r>
      <w:proofErr w:type="spellEnd"/>
      <w:r w:rsidR="00134DD1">
        <w:rPr>
          <w:sz w:val="22"/>
          <w:szCs w:val="22"/>
        </w:rPr>
        <w:t xml:space="preserve"> cycle. On receiving the signal/channel, the UE may sleep before </w:t>
      </w:r>
      <w:r>
        <w:rPr>
          <w:sz w:val="22"/>
          <w:szCs w:val="22"/>
        </w:rPr>
        <w:t xml:space="preserve">DRX </w:t>
      </w:r>
      <w:proofErr w:type="spellStart"/>
      <w:r w:rsidR="007A5B20">
        <w:rPr>
          <w:i/>
          <w:sz w:val="22"/>
          <w:szCs w:val="22"/>
        </w:rPr>
        <w:t>i</w:t>
      </w:r>
      <w:r w:rsidRPr="001C71B1">
        <w:rPr>
          <w:i/>
          <w:sz w:val="22"/>
          <w:szCs w:val="22"/>
        </w:rPr>
        <w:t>nactivityTimer</w:t>
      </w:r>
      <w:proofErr w:type="spellEnd"/>
      <w:r>
        <w:rPr>
          <w:sz w:val="22"/>
          <w:szCs w:val="22"/>
        </w:rPr>
        <w:t xml:space="preserve"> expire</w:t>
      </w:r>
      <w:r w:rsidR="00134DD1">
        <w:rPr>
          <w:sz w:val="22"/>
          <w:szCs w:val="22"/>
        </w:rPr>
        <w:t>s</w:t>
      </w:r>
      <w:r>
        <w:rPr>
          <w:sz w:val="22"/>
          <w:szCs w:val="22"/>
        </w:rPr>
        <w:t>.</w:t>
      </w:r>
      <w:r w:rsidR="00134DD1">
        <w:rPr>
          <w:sz w:val="22"/>
          <w:szCs w:val="22"/>
        </w:rPr>
        <w:t xml:space="preserve"> We discuss various aspects of design for </w:t>
      </w:r>
      <w:commentRangeStart w:id="0"/>
      <w:commentRangeEnd w:id="0"/>
      <w:r w:rsidR="00134DD1">
        <w:rPr>
          <w:sz w:val="22"/>
          <w:szCs w:val="22"/>
        </w:rPr>
        <w:t xml:space="preserve">a </w:t>
      </w:r>
      <w:r w:rsidR="0077242F">
        <w:rPr>
          <w:sz w:val="22"/>
          <w:szCs w:val="22"/>
        </w:rPr>
        <w:t>PDCCH-</w:t>
      </w:r>
      <w:r w:rsidR="00134DD1">
        <w:rPr>
          <w:sz w:val="22"/>
          <w:szCs w:val="22"/>
        </w:rPr>
        <w:t xml:space="preserve">based </w:t>
      </w:r>
      <w:r w:rsidR="0077242F">
        <w:rPr>
          <w:sz w:val="22"/>
          <w:szCs w:val="22"/>
        </w:rPr>
        <w:t>GTS-</w:t>
      </w:r>
      <w:r w:rsidR="00134DD1">
        <w:rPr>
          <w:sz w:val="22"/>
          <w:szCs w:val="22"/>
        </w:rPr>
        <w:t>indication.</w:t>
      </w:r>
      <w:r w:rsidR="00334B00">
        <w:rPr>
          <w:sz w:val="22"/>
          <w:szCs w:val="22"/>
        </w:rPr>
        <w:t xml:space="preserve"> Figure 1 shows the concept of GTS indication wherein the UE receives a GTS indication from the </w:t>
      </w:r>
      <w:proofErr w:type="spellStart"/>
      <w:r w:rsidR="00334B00">
        <w:rPr>
          <w:sz w:val="22"/>
          <w:szCs w:val="22"/>
        </w:rPr>
        <w:t>gNB</w:t>
      </w:r>
      <w:proofErr w:type="spellEnd"/>
      <w:r w:rsidR="00334B00">
        <w:rPr>
          <w:sz w:val="22"/>
          <w:szCs w:val="22"/>
        </w:rPr>
        <w:t xml:space="preserve"> in its </w:t>
      </w:r>
      <w:proofErr w:type="spellStart"/>
      <w:r w:rsidR="007A5B20" w:rsidRPr="007A5B20">
        <w:rPr>
          <w:i/>
          <w:sz w:val="22"/>
          <w:szCs w:val="22"/>
        </w:rPr>
        <w:t>i</w:t>
      </w:r>
      <w:r w:rsidR="00334B00" w:rsidRPr="007A5B20">
        <w:rPr>
          <w:i/>
          <w:sz w:val="22"/>
          <w:szCs w:val="22"/>
        </w:rPr>
        <w:t>nactivityTimer</w:t>
      </w:r>
      <w:proofErr w:type="spellEnd"/>
      <w:r w:rsidR="00334B00">
        <w:rPr>
          <w:sz w:val="22"/>
          <w:szCs w:val="22"/>
        </w:rPr>
        <w:t xml:space="preserve"> duration and goes to sleep before the timer expires.</w:t>
      </w:r>
    </w:p>
    <w:p w14:paraId="4CEC529E" w14:textId="3C4E1558" w:rsidR="008F4B61" w:rsidRDefault="008F4B61" w:rsidP="009F7FC7">
      <w:pPr>
        <w:tabs>
          <w:tab w:val="left" w:pos="720"/>
        </w:tabs>
        <w:rPr>
          <w:sz w:val="22"/>
          <w:szCs w:val="22"/>
        </w:rPr>
      </w:pPr>
    </w:p>
    <w:p w14:paraId="1A959694" w14:textId="23345F01" w:rsidR="0096755A" w:rsidRDefault="00DB511A" w:rsidP="00DB511A">
      <w:pPr>
        <w:tabs>
          <w:tab w:val="left" w:pos="720"/>
        </w:tabs>
        <w:jc w:val="center"/>
      </w:pPr>
      <w:r>
        <w:object w:dxaOrig="6263" w:dyaOrig="3834" w14:anchorId="521571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25pt;height:191.7pt" o:ole="">
            <v:imagedata r:id="rId11" o:title=""/>
          </v:shape>
          <o:OLEObject Type="Embed" ProgID="Visio.Drawing.15" ShapeID="_x0000_i1025" DrawAspect="Content" ObjectID="_1618436593" r:id="rId12"/>
        </w:object>
      </w:r>
    </w:p>
    <w:p w14:paraId="2B2D6FDF" w14:textId="77777777" w:rsidR="00DB511A" w:rsidRDefault="00DB511A" w:rsidP="00DB511A">
      <w:pPr>
        <w:tabs>
          <w:tab w:val="left" w:pos="720"/>
        </w:tabs>
        <w:jc w:val="center"/>
        <w:rPr>
          <w:sz w:val="22"/>
          <w:szCs w:val="22"/>
        </w:rPr>
      </w:pPr>
    </w:p>
    <w:p w14:paraId="2711A2B3" w14:textId="64AAE6BA" w:rsidR="0096755A" w:rsidRPr="0096755A" w:rsidRDefault="0096755A" w:rsidP="0096755A">
      <w:pPr>
        <w:pStyle w:val="Caption"/>
        <w:jc w:val="center"/>
        <w:rPr>
          <w:rFonts w:eastAsia="Batang"/>
          <w:b/>
          <w:i w:val="0"/>
          <w:color w:val="000000" w:themeColor="text1"/>
          <w:sz w:val="22"/>
          <w:szCs w:val="22"/>
          <w:lang w:val="en-US" w:eastAsia="ko-KR"/>
        </w:rPr>
      </w:pPr>
      <w:bookmarkStart w:id="1" w:name="_Ref957435"/>
      <w:r w:rsidRPr="005F2C48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begin"/>
      </w:r>
      <w:r w:rsidRPr="005F2C48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5F2C48">
        <w:rPr>
          <w:b/>
          <w:i w:val="0"/>
          <w:color w:val="000000" w:themeColor="text1"/>
          <w:sz w:val="22"/>
          <w:szCs w:val="22"/>
        </w:rPr>
        <w:fldChar w:fldCharType="separate"/>
      </w:r>
      <w:r w:rsidRPr="005F2C48">
        <w:rPr>
          <w:b/>
          <w:i w:val="0"/>
          <w:noProof/>
          <w:color w:val="000000" w:themeColor="text1"/>
          <w:sz w:val="22"/>
          <w:szCs w:val="22"/>
        </w:rPr>
        <w:t>1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end"/>
      </w:r>
      <w:bookmarkEnd w:id="1"/>
      <w:r>
        <w:rPr>
          <w:b/>
          <w:i w:val="0"/>
          <w:color w:val="000000" w:themeColor="text1"/>
          <w:sz w:val="22"/>
          <w:szCs w:val="22"/>
        </w:rPr>
        <w:t xml:space="preserve"> UE goes to sleep on receiving a GTS indication </w:t>
      </w:r>
      <w:r w:rsidR="00B04690">
        <w:rPr>
          <w:b/>
          <w:i w:val="0"/>
          <w:color w:val="000000" w:themeColor="text1"/>
          <w:sz w:val="22"/>
          <w:szCs w:val="22"/>
        </w:rPr>
        <w:t>before the</w:t>
      </w:r>
      <w:r>
        <w:rPr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B511A">
        <w:rPr>
          <w:b/>
          <w:color w:val="000000" w:themeColor="text1"/>
          <w:sz w:val="22"/>
          <w:szCs w:val="22"/>
        </w:rPr>
        <w:t>inactivityTimer</w:t>
      </w:r>
      <w:proofErr w:type="spellEnd"/>
      <w:r>
        <w:rPr>
          <w:b/>
          <w:i w:val="0"/>
          <w:color w:val="000000" w:themeColor="text1"/>
          <w:sz w:val="22"/>
          <w:szCs w:val="22"/>
        </w:rPr>
        <w:t xml:space="preserve"> </w:t>
      </w:r>
      <w:r w:rsidR="00B04690">
        <w:rPr>
          <w:b/>
          <w:i w:val="0"/>
          <w:color w:val="000000" w:themeColor="text1"/>
          <w:sz w:val="22"/>
          <w:szCs w:val="22"/>
        </w:rPr>
        <w:t>expires</w:t>
      </w:r>
    </w:p>
    <w:p w14:paraId="01F9E3CE" w14:textId="5E1EDE9C" w:rsidR="008F4B61" w:rsidRDefault="008F4B61" w:rsidP="009F7FC7">
      <w:pPr>
        <w:tabs>
          <w:tab w:val="left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may send a GTS indication to a UE when it does not have DL data to transmit to the UE. As the DRX configuration is UE specific and the traffic to a UE is dependent o</w:t>
      </w:r>
      <w:r w:rsidR="00B017B9">
        <w:rPr>
          <w:sz w:val="22"/>
          <w:szCs w:val="22"/>
        </w:rPr>
        <w:t>n</w:t>
      </w:r>
      <w:r>
        <w:rPr>
          <w:sz w:val="22"/>
          <w:szCs w:val="22"/>
        </w:rPr>
        <w:t xml:space="preserve"> its application, a UE-specific GTS indication </w:t>
      </w:r>
      <w:r w:rsidR="00DB511A">
        <w:rPr>
          <w:sz w:val="22"/>
          <w:szCs w:val="22"/>
        </w:rPr>
        <w:t>can be more</w:t>
      </w:r>
      <w:r>
        <w:rPr>
          <w:sz w:val="22"/>
          <w:szCs w:val="22"/>
        </w:rPr>
        <w:t xml:space="preserve"> </w:t>
      </w:r>
      <w:r w:rsidR="00DB511A">
        <w:rPr>
          <w:sz w:val="22"/>
          <w:szCs w:val="22"/>
        </w:rPr>
        <w:t>advantageous than a group common GTS indication</w:t>
      </w:r>
      <w:r>
        <w:rPr>
          <w:sz w:val="22"/>
          <w:szCs w:val="22"/>
        </w:rPr>
        <w:t>.</w:t>
      </w:r>
    </w:p>
    <w:p w14:paraId="4C963D32" w14:textId="78583B47" w:rsidR="00B017B9" w:rsidRDefault="00B017B9" w:rsidP="009F7FC7">
      <w:pPr>
        <w:tabs>
          <w:tab w:val="left" w:pos="720"/>
        </w:tabs>
        <w:rPr>
          <w:sz w:val="22"/>
          <w:szCs w:val="22"/>
        </w:rPr>
      </w:pPr>
    </w:p>
    <w:p w14:paraId="67E6E56D" w14:textId="427BB904" w:rsidR="00B017B9" w:rsidRPr="002E5481" w:rsidRDefault="00B017B9" w:rsidP="009F7FC7">
      <w:pPr>
        <w:tabs>
          <w:tab w:val="left" w:pos="720"/>
        </w:tabs>
        <w:rPr>
          <w:b/>
          <w:i/>
          <w:sz w:val="22"/>
          <w:szCs w:val="22"/>
        </w:rPr>
      </w:pPr>
      <w:r w:rsidRPr="002E5481">
        <w:rPr>
          <w:b/>
          <w:i/>
          <w:sz w:val="22"/>
          <w:szCs w:val="22"/>
        </w:rPr>
        <w:t>Proposal 1: UE-specific GTS indication is beneficial as it can be tailored to the UE’s traffic and DRX configuration.</w:t>
      </w:r>
    </w:p>
    <w:p w14:paraId="1F7595CA" w14:textId="6BB7F04A" w:rsidR="00B017B9" w:rsidRDefault="00B017B9" w:rsidP="00496406">
      <w:pPr>
        <w:tabs>
          <w:tab w:val="left" w:pos="720"/>
        </w:tabs>
        <w:spacing w:after="120"/>
        <w:rPr>
          <w:sz w:val="22"/>
          <w:szCs w:val="22"/>
        </w:rPr>
      </w:pPr>
    </w:p>
    <w:p w14:paraId="0D43CF4C" w14:textId="75DE18BB" w:rsidR="00496406" w:rsidRDefault="00334B00" w:rsidP="00496406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It would be beneficial to reuse an existing DCI with no modification</w:t>
      </w:r>
      <w:r w:rsidR="003971DE">
        <w:rPr>
          <w:rFonts w:eastAsia="Batang"/>
          <w:sz w:val="22"/>
          <w:szCs w:val="22"/>
          <w:lang w:val="en-US" w:eastAsia="ko-KR"/>
        </w:rPr>
        <w:t>s</w:t>
      </w:r>
      <w:r>
        <w:rPr>
          <w:rFonts w:eastAsia="Batang"/>
          <w:sz w:val="22"/>
          <w:szCs w:val="22"/>
          <w:lang w:val="en-US" w:eastAsia="ko-KR"/>
        </w:rPr>
        <w:t xml:space="preserve"> or with minimal additional fields to indicate the GTS. For example, format 1_1 based DCI may provide a GTS indication in the DL grant</w:t>
      </w:r>
      <w:r w:rsidR="007D6E9B">
        <w:rPr>
          <w:rFonts w:eastAsia="Batang"/>
          <w:sz w:val="22"/>
          <w:szCs w:val="22"/>
          <w:lang w:val="en-US" w:eastAsia="ko-KR"/>
        </w:rPr>
        <w:t xml:space="preserve"> with</w:t>
      </w:r>
      <w:r w:rsidR="00CF325F">
        <w:rPr>
          <w:rFonts w:eastAsia="Batang"/>
          <w:sz w:val="22"/>
          <w:szCs w:val="22"/>
          <w:lang w:val="en-US" w:eastAsia="ko-KR"/>
        </w:rPr>
        <w:t xml:space="preserve"> e</w:t>
      </w:r>
      <w:r>
        <w:rPr>
          <w:rFonts w:eastAsia="Batang"/>
          <w:sz w:val="22"/>
          <w:szCs w:val="22"/>
          <w:lang w:val="en-US" w:eastAsia="ko-KR"/>
        </w:rPr>
        <w:t>ither an additional field</w:t>
      </w:r>
      <w:r w:rsidR="00496406">
        <w:rPr>
          <w:rFonts w:eastAsia="Batang"/>
          <w:sz w:val="22"/>
          <w:szCs w:val="22"/>
          <w:lang w:val="en-US" w:eastAsia="ko-KR"/>
        </w:rPr>
        <w:t xml:space="preserve">, e.g. “GTS”, </w:t>
      </w:r>
      <w:r>
        <w:rPr>
          <w:rFonts w:eastAsia="Batang"/>
          <w:sz w:val="22"/>
          <w:szCs w:val="22"/>
          <w:lang w:val="en-US" w:eastAsia="ko-KR"/>
        </w:rPr>
        <w:t xml:space="preserve">introduced in the DCI or the existing </w:t>
      </w:r>
      <w:r w:rsidR="00CF325F">
        <w:rPr>
          <w:rFonts w:eastAsia="Batang"/>
          <w:sz w:val="22"/>
          <w:szCs w:val="22"/>
          <w:lang w:val="en-US" w:eastAsia="ko-KR"/>
        </w:rPr>
        <w:t xml:space="preserve">unused bit(s). For example, </w:t>
      </w:r>
      <w:r w:rsidR="00496406">
        <w:rPr>
          <w:rFonts w:eastAsia="Batang"/>
          <w:sz w:val="22"/>
          <w:szCs w:val="22"/>
          <w:lang w:val="en-US" w:eastAsia="ko-KR"/>
        </w:rPr>
        <w:t xml:space="preserve">the </w:t>
      </w:r>
      <w:r w:rsidR="00CF325F">
        <w:rPr>
          <w:rFonts w:eastAsia="Batang"/>
          <w:sz w:val="22"/>
          <w:szCs w:val="22"/>
          <w:lang w:val="en-US" w:eastAsia="ko-KR"/>
        </w:rPr>
        <w:t xml:space="preserve">bit(s) of </w:t>
      </w:r>
      <w:r w:rsidR="00604A92">
        <w:rPr>
          <w:rFonts w:eastAsia="Batang"/>
          <w:sz w:val="22"/>
          <w:szCs w:val="22"/>
          <w:lang w:val="en-US" w:eastAsia="ko-KR"/>
        </w:rPr>
        <w:t xml:space="preserve">‘bandwidth part indicator’ (BWPI) </w:t>
      </w:r>
      <w:r>
        <w:rPr>
          <w:rFonts w:eastAsia="Batang"/>
          <w:sz w:val="22"/>
          <w:szCs w:val="22"/>
          <w:lang w:val="en-US" w:eastAsia="ko-KR"/>
        </w:rPr>
        <w:t xml:space="preserve">field may be re-purposed to indicate the GTS </w:t>
      </w:r>
      <w:r w:rsidR="00CF325F">
        <w:rPr>
          <w:rFonts w:eastAsia="Batang"/>
          <w:sz w:val="22"/>
          <w:szCs w:val="22"/>
          <w:lang w:val="en-US" w:eastAsia="ko-KR"/>
        </w:rPr>
        <w:t xml:space="preserve">if </w:t>
      </w:r>
      <w:r w:rsidR="00604A92">
        <w:rPr>
          <w:rFonts w:eastAsia="Batang"/>
          <w:sz w:val="22"/>
          <w:szCs w:val="22"/>
          <w:lang w:val="en-US" w:eastAsia="ko-KR"/>
        </w:rPr>
        <w:t xml:space="preserve">there are extra unused </w:t>
      </w:r>
      <w:r w:rsidR="00CF325F">
        <w:rPr>
          <w:rFonts w:eastAsia="Batang"/>
          <w:sz w:val="22"/>
          <w:szCs w:val="22"/>
          <w:lang w:val="en-US" w:eastAsia="ko-KR"/>
        </w:rPr>
        <w:t>bit</w:t>
      </w:r>
      <w:r w:rsidR="00604A92">
        <w:rPr>
          <w:rFonts w:eastAsia="Batang"/>
          <w:sz w:val="22"/>
          <w:szCs w:val="22"/>
          <w:lang w:val="en-US" w:eastAsia="ko-KR"/>
        </w:rPr>
        <w:t>s of the BWPI field</w:t>
      </w:r>
      <w:r w:rsidR="00CF325F">
        <w:rPr>
          <w:rFonts w:eastAsia="Batang"/>
          <w:sz w:val="22"/>
          <w:szCs w:val="22"/>
          <w:lang w:val="en-US" w:eastAsia="ko-KR"/>
        </w:rPr>
        <w:t>, i.e. a repurposed field</w:t>
      </w:r>
      <w:r w:rsidR="004D76CA">
        <w:rPr>
          <w:rFonts w:eastAsia="Batang"/>
          <w:sz w:val="22"/>
          <w:szCs w:val="22"/>
          <w:lang w:val="en-US" w:eastAsia="ko-KR"/>
        </w:rPr>
        <w:t xml:space="preserve"> </w:t>
      </w:r>
      <w:r w:rsidR="00CF325F">
        <w:rPr>
          <w:rFonts w:eastAsia="Batang"/>
          <w:sz w:val="22"/>
          <w:szCs w:val="22"/>
          <w:lang w:val="en-US" w:eastAsia="ko-KR"/>
        </w:rPr>
        <w:t>“</w:t>
      </w:r>
      <w:r w:rsidR="004D76CA">
        <w:rPr>
          <w:rFonts w:eastAsia="Batang"/>
          <w:sz w:val="22"/>
          <w:szCs w:val="22"/>
          <w:lang w:val="en-US" w:eastAsia="ko-KR"/>
        </w:rPr>
        <w:t>GTS-BWPI</w:t>
      </w:r>
      <w:r w:rsidR="00CF325F">
        <w:rPr>
          <w:rFonts w:eastAsia="Batang"/>
          <w:sz w:val="22"/>
          <w:szCs w:val="22"/>
          <w:lang w:val="en-US" w:eastAsia="ko-KR"/>
        </w:rPr>
        <w:t>”</w:t>
      </w:r>
      <w:r w:rsidR="00604A92">
        <w:rPr>
          <w:rFonts w:eastAsia="Batang"/>
          <w:sz w:val="22"/>
          <w:szCs w:val="22"/>
          <w:lang w:val="en-US" w:eastAsia="ko-KR"/>
        </w:rPr>
        <w:t>.</w:t>
      </w:r>
      <w:r w:rsidR="004D76CA">
        <w:rPr>
          <w:rFonts w:eastAsia="Batang"/>
          <w:sz w:val="22"/>
          <w:szCs w:val="22"/>
          <w:lang w:val="en-US" w:eastAsia="ko-KR"/>
        </w:rPr>
        <w:t xml:space="preserve"> </w:t>
      </w:r>
    </w:p>
    <w:p w14:paraId="0A8A2838" w14:textId="458B54DF" w:rsidR="00B017B9" w:rsidRDefault="004D76CA" w:rsidP="00496406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When the UE identifies the </w:t>
      </w:r>
      <w:r w:rsidR="00496406">
        <w:rPr>
          <w:rFonts w:eastAsia="Batang"/>
          <w:sz w:val="22"/>
          <w:szCs w:val="22"/>
          <w:lang w:val="en-US" w:eastAsia="ko-KR"/>
        </w:rPr>
        <w:t>“GTS” or “</w:t>
      </w:r>
      <w:r>
        <w:rPr>
          <w:rFonts w:eastAsia="Batang"/>
          <w:sz w:val="22"/>
          <w:szCs w:val="22"/>
          <w:lang w:val="en-US" w:eastAsia="ko-KR"/>
        </w:rPr>
        <w:t>GTS-BWPS</w:t>
      </w:r>
      <w:r w:rsidR="00496406">
        <w:rPr>
          <w:rFonts w:eastAsia="Batang"/>
          <w:sz w:val="22"/>
          <w:szCs w:val="22"/>
          <w:lang w:val="en-US" w:eastAsia="ko-KR"/>
        </w:rPr>
        <w:t>”</w:t>
      </w:r>
      <w:r>
        <w:rPr>
          <w:rFonts w:eastAsia="Batang"/>
          <w:sz w:val="22"/>
          <w:szCs w:val="22"/>
          <w:lang w:val="en-US" w:eastAsia="ko-KR"/>
        </w:rPr>
        <w:t xml:space="preserve"> in the DCI, it may assume that the grant is for its current BWP and may go to sleep</w:t>
      </w:r>
      <w:r w:rsidR="005F2EB8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even </w:t>
      </w:r>
      <w:r w:rsidR="005F2EB8">
        <w:rPr>
          <w:rFonts w:eastAsia="Batang"/>
          <w:sz w:val="22"/>
          <w:szCs w:val="22"/>
          <w:lang w:val="en-US" w:eastAsia="ko-KR"/>
        </w:rPr>
        <w:t xml:space="preserve">if </w:t>
      </w:r>
      <w:r>
        <w:rPr>
          <w:rFonts w:eastAsia="Batang"/>
          <w:sz w:val="22"/>
          <w:szCs w:val="22"/>
          <w:lang w:val="en-US" w:eastAsia="ko-KR"/>
        </w:rPr>
        <w:t xml:space="preserve">its </w:t>
      </w:r>
      <w:proofErr w:type="spellStart"/>
      <w:r w:rsidR="0016417F" w:rsidRPr="0016417F">
        <w:rPr>
          <w:rFonts w:eastAsia="Batang"/>
          <w:i/>
          <w:sz w:val="22"/>
          <w:szCs w:val="22"/>
          <w:lang w:val="en-US" w:eastAsia="ko-KR"/>
        </w:rPr>
        <w:t>I</w:t>
      </w:r>
      <w:r w:rsidRPr="0016417F">
        <w:rPr>
          <w:rFonts w:eastAsia="Batang"/>
          <w:i/>
          <w:sz w:val="22"/>
          <w:szCs w:val="22"/>
          <w:lang w:val="en-US" w:eastAsia="ko-KR"/>
        </w:rPr>
        <w:t>nactivityTimer</w:t>
      </w:r>
      <w:proofErr w:type="spellEnd"/>
      <w:r>
        <w:rPr>
          <w:rFonts w:eastAsia="Batang"/>
          <w:sz w:val="22"/>
          <w:szCs w:val="22"/>
          <w:lang w:val="en-US" w:eastAsia="ko-KR"/>
        </w:rPr>
        <w:t xml:space="preserve"> is still running.</w:t>
      </w:r>
      <w:r w:rsidR="00FD23B1">
        <w:rPr>
          <w:rFonts w:eastAsia="Batang"/>
          <w:sz w:val="22"/>
          <w:szCs w:val="22"/>
          <w:lang w:val="en-US" w:eastAsia="ko-KR"/>
        </w:rPr>
        <w:t xml:space="preserve"> </w:t>
      </w:r>
      <w:r w:rsidR="00BB0723">
        <w:rPr>
          <w:rFonts w:eastAsia="Batang"/>
          <w:sz w:val="22"/>
          <w:szCs w:val="22"/>
          <w:lang w:val="en-US" w:eastAsia="ko-KR"/>
        </w:rPr>
        <w:t xml:space="preserve">The duration of sleep may be until the next ON Duration of the </w:t>
      </w:r>
      <w:proofErr w:type="spellStart"/>
      <w:r w:rsidR="00BB0723">
        <w:rPr>
          <w:rFonts w:eastAsia="Batang"/>
          <w:sz w:val="22"/>
          <w:szCs w:val="22"/>
          <w:lang w:val="en-US" w:eastAsia="ko-KR"/>
        </w:rPr>
        <w:t>cDRX</w:t>
      </w:r>
      <w:proofErr w:type="spellEnd"/>
      <w:r w:rsidR="00BB0723">
        <w:rPr>
          <w:rFonts w:eastAsia="Batang"/>
          <w:sz w:val="22"/>
          <w:szCs w:val="22"/>
          <w:lang w:val="en-US" w:eastAsia="ko-KR"/>
        </w:rPr>
        <w:t xml:space="preserve"> cycle or may be configured to the UE</w:t>
      </w:r>
      <w:r w:rsidR="005C5FA0">
        <w:rPr>
          <w:rFonts w:eastAsia="Batang"/>
          <w:sz w:val="22"/>
          <w:szCs w:val="22"/>
          <w:lang w:val="en-US" w:eastAsia="ko-KR"/>
        </w:rPr>
        <w:t xml:space="preserve"> by the </w:t>
      </w:r>
      <w:proofErr w:type="spellStart"/>
      <w:r w:rsidR="005C5FA0">
        <w:rPr>
          <w:rFonts w:eastAsia="Batang"/>
          <w:sz w:val="22"/>
          <w:szCs w:val="22"/>
          <w:lang w:val="en-US" w:eastAsia="ko-KR"/>
        </w:rPr>
        <w:t>gNB</w:t>
      </w:r>
      <w:proofErr w:type="spellEnd"/>
      <w:r w:rsidR="00BB0723">
        <w:rPr>
          <w:rFonts w:eastAsia="Batang"/>
          <w:sz w:val="22"/>
          <w:szCs w:val="22"/>
          <w:lang w:val="en-US" w:eastAsia="ko-KR"/>
        </w:rPr>
        <w:t>.</w:t>
      </w:r>
    </w:p>
    <w:p w14:paraId="7D8A0351" w14:textId="1139E150" w:rsidR="00D0176C" w:rsidRDefault="00D0176C" w:rsidP="00496406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</w:p>
    <w:p w14:paraId="33FDAEF5" w14:textId="2F02176D" w:rsidR="00496406" w:rsidRDefault="00D0176C" w:rsidP="00496406">
      <w:pPr>
        <w:tabs>
          <w:tab w:val="left" w:pos="720"/>
        </w:tabs>
        <w:spacing w:after="120"/>
        <w:rPr>
          <w:b/>
          <w:i/>
          <w:sz w:val="22"/>
          <w:szCs w:val="22"/>
        </w:rPr>
      </w:pPr>
      <w:r w:rsidRPr="002E5481">
        <w:rPr>
          <w:b/>
          <w:i/>
          <w:sz w:val="22"/>
          <w:szCs w:val="22"/>
        </w:rPr>
        <w:t xml:space="preserve">Proposal 2: </w:t>
      </w:r>
      <w:r w:rsidR="00496406">
        <w:rPr>
          <w:b/>
          <w:i/>
          <w:sz w:val="22"/>
          <w:szCs w:val="22"/>
        </w:rPr>
        <w:t>Reuse an existing DCI with no or minimal additional field(s) to ind</w:t>
      </w:r>
      <w:bookmarkStart w:id="2" w:name="_GoBack"/>
      <w:bookmarkEnd w:id="2"/>
      <w:r w:rsidR="00496406">
        <w:rPr>
          <w:b/>
          <w:i/>
          <w:sz w:val="22"/>
          <w:szCs w:val="22"/>
        </w:rPr>
        <w:t>icate GTS.</w:t>
      </w:r>
    </w:p>
    <w:p w14:paraId="090AE860" w14:textId="51CEB441" w:rsidR="00D0176C" w:rsidRPr="002E5481" w:rsidRDefault="00496406" w:rsidP="00496406">
      <w:pPr>
        <w:tabs>
          <w:tab w:val="left" w:pos="720"/>
        </w:tabs>
        <w:spacing w:after="1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3: </w:t>
      </w:r>
      <w:r w:rsidR="00D0176C" w:rsidRPr="002E5481">
        <w:rPr>
          <w:b/>
          <w:i/>
          <w:sz w:val="22"/>
          <w:szCs w:val="22"/>
        </w:rPr>
        <w:t>Consider repurposing existing fields in Rel.15 DCI formats to indicate GTS signalling in order to limit the signalling overhead.</w:t>
      </w:r>
    </w:p>
    <w:p w14:paraId="16D2908E" w14:textId="35A289E2" w:rsidR="00313332" w:rsidRPr="0096755A" w:rsidRDefault="00FD23B1" w:rsidP="00496406">
      <w:pPr>
        <w:spacing w:after="120"/>
      </w:pPr>
      <w:r>
        <w:t>The prior discussion is applicable when the GTS indication has a single information bit. If more information bits are required to indicate other information, such as duration of sleep</w:t>
      </w:r>
      <w:r w:rsidR="005029DA">
        <w:t>, then additional fields may be introduced in the DCI.</w:t>
      </w:r>
    </w:p>
    <w:p w14:paraId="2D4F2C86" w14:textId="77777777" w:rsidR="00B0381A" w:rsidRPr="003B6C54" w:rsidRDefault="00B0381A" w:rsidP="008C3773">
      <w:pPr>
        <w:rPr>
          <w:rFonts w:eastAsia="Batang"/>
          <w:sz w:val="22"/>
          <w:lang w:val="en-US" w:eastAsia="ko-KR"/>
        </w:rPr>
      </w:pPr>
    </w:p>
    <w:p w14:paraId="5C10EE21" w14:textId="77777777" w:rsidR="00065F7D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3. Conclusion</w:t>
      </w:r>
    </w:p>
    <w:p w14:paraId="6D0A9898" w14:textId="1E1C754A" w:rsidR="005D20F1" w:rsidRDefault="00065F7D" w:rsidP="0066729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>In</w:t>
      </w:r>
      <w:r w:rsidR="003336D9">
        <w:rPr>
          <w:rFonts w:eastAsia="Batang"/>
          <w:sz w:val="22"/>
          <w:szCs w:val="22"/>
          <w:lang w:val="en-US" w:eastAsia="ko-KR"/>
        </w:rPr>
        <w:t xml:space="preserve"> this contribution, we discussed</w:t>
      </w:r>
      <w:r w:rsidRPr="007371AC">
        <w:rPr>
          <w:rFonts w:eastAsia="Batang"/>
          <w:sz w:val="22"/>
          <w:szCs w:val="22"/>
          <w:lang w:val="en-US" w:eastAsia="ko-KR"/>
        </w:rPr>
        <w:t xml:space="preserve"> </w:t>
      </w:r>
      <w:r w:rsidR="003336D9">
        <w:rPr>
          <w:rFonts w:eastAsia="Batang"/>
          <w:sz w:val="22"/>
          <w:szCs w:val="22"/>
          <w:lang w:val="en-US" w:eastAsia="ko-KR"/>
        </w:rPr>
        <w:t>considerations for PDCCH based GTS indication</w:t>
      </w:r>
      <w:r w:rsidR="00C57B73">
        <w:rPr>
          <w:rFonts w:eastAsia="Batang"/>
          <w:sz w:val="22"/>
          <w:szCs w:val="22"/>
          <w:lang w:val="en-US" w:eastAsia="ko-KR"/>
        </w:rPr>
        <w:t xml:space="preserve"> and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580667">
        <w:rPr>
          <w:rFonts w:eastAsia="Batang"/>
          <w:sz w:val="22"/>
          <w:szCs w:val="22"/>
          <w:lang w:val="en-US" w:eastAsia="ko-KR"/>
        </w:rPr>
        <w:t>made the following proposals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62442F5B" w14:textId="735AE63D" w:rsidR="0066729B" w:rsidRDefault="0066729B" w:rsidP="0066729B">
      <w:pPr>
        <w:tabs>
          <w:tab w:val="left" w:pos="720"/>
        </w:tabs>
        <w:spacing w:after="120"/>
        <w:rPr>
          <w:b/>
          <w:i/>
          <w:sz w:val="22"/>
          <w:szCs w:val="22"/>
        </w:rPr>
      </w:pPr>
      <w:r w:rsidRPr="002E5481">
        <w:rPr>
          <w:b/>
          <w:i/>
          <w:sz w:val="22"/>
          <w:szCs w:val="22"/>
        </w:rPr>
        <w:t>Proposal 1: UE-specific GTS indication is beneficial as it can be tailored to the UE’s traffic and DRX configuration.</w:t>
      </w:r>
    </w:p>
    <w:p w14:paraId="452AF4F3" w14:textId="5D480559" w:rsidR="0066729B" w:rsidRDefault="0066729B" w:rsidP="0066729B">
      <w:pPr>
        <w:tabs>
          <w:tab w:val="left" w:pos="720"/>
        </w:tabs>
        <w:spacing w:after="120"/>
        <w:rPr>
          <w:b/>
          <w:i/>
          <w:sz w:val="22"/>
          <w:szCs w:val="22"/>
        </w:rPr>
      </w:pPr>
      <w:r w:rsidRPr="002E5481">
        <w:rPr>
          <w:b/>
          <w:i/>
          <w:sz w:val="22"/>
          <w:szCs w:val="22"/>
        </w:rPr>
        <w:t xml:space="preserve">Proposal 2: </w:t>
      </w:r>
      <w:r>
        <w:rPr>
          <w:b/>
          <w:i/>
          <w:sz w:val="22"/>
          <w:szCs w:val="22"/>
        </w:rPr>
        <w:t>Reuse an existing DCI with no or minimal additional field(s) to indicate GTS.</w:t>
      </w:r>
    </w:p>
    <w:p w14:paraId="1C03F229" w14:textId="77777777" w:rsidR="0066729B" w:rsidRPr="002E5481" w:rsidRDefault="0066729B" w:rsidP="0066729B">
      <w:pPr>
        <w:tabs>
          <w:tab w:val="left" w:pos="720"/>
        </w:tabs>
        <w:spacing w:after="1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3: </w:t>
      </w:r>
      <w:r w:rsidRPr="002E5481">
        <w:rPr>
          <w:b/>
          <w:i/>
          <w:sz w:val="22"/>
          <w:szCs w:val="22"/>
        </w:rPr>
        <w:t>Consider repurposing existing fields in Rel.15 DCI formats to indicate GTS signalling in order to limit the signalling overhead.</w:t>
      </w:r>
    </w:p>
    <w:p w14:paraId="1DC65388" w14:textId="6612F020" w:rsidR="00245C69" w:rsidRPr="0066729B" w:rsidRDefault="00245C69" w:rsidP="00A84753">
      <w:pPr>
        <w:rPr>
          <w:rFonts w:eastAsia="Batang"/>
          <w:b/>
          <w:i/>
          <w:sz w:val="22"/>
          <w:lang w:eastAsia="ko-KR"/>
        </w:rPr>
      </w:pPr>
    </w:p>
    <w:p w14:paraId="6DBE2B41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4. References</w:t>
      </w:r>
    </w:p>
    <w:p w14:paraId="7D56E810" w14:textId="54FE5ED7" w:rsidR="00835027" w:rsidRPr="006E4D85" w:rsidRDefault="00835027" w:rsidP="00835027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3" w:name="_Ref7768110"/>
      <w:bookmarkStart w:id="4" w:name="_Ref957942"/>
      <w:bookmarkStart w:id="5" w:name="_Ref449465801"/>
      <w:bookmarkStart w:id="6" w:name="_Ref471288964"/>
      <w:bookmarkStart w:id="7" w:name="_Ref494709157"/>
      <w:bookmarkStart w:id="8" w:name="_Ref493771047"/>
      <w:bookmarkStart w:id="9" w:name="_Ref494712756"/>
      <w:r>
        <w:rPr>
          <w:rFonts w:ascii="Times New Roman" w:hAnsi="Times New Roman" w:cs="Times New Roman"/>
          <w:sz w:val="22"/>
          <w:szCs w:val="22"/>
        </w:rPr>
        <w:t>Chairman Notes, TSG RAN WG1 RAN1 #9</w:t>
      </w:r>
      <w:r w:rsidR="00770E80">
        <w:rPr>
          <w:rFonts w:ascii="Times New Roman" w:hAnsi="Times New Roman" w:cs="Times New Roman"/>
          <w:sz w:val="22"/>
          <w:szCs w:val="22"/>
        </w:rPr>
        <w:t>6b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70E80">
        <w:rPr>
          <w:rFonts w:ascii="Times New Roman" w:hAnsi="Times New Roman" w:cs="Times New Roman"/>
          <w:sz w:val="22"/>
          <w:szCs w:val="22"/>
        </w:rPr>
        <w:t>Xi’an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70E80">
        <w:rPr>
          <w:rFonts w:ascii="Times New Roman" w:hAnsi="Times New Roman" w:cs="Times New Roman"/>
          <w:sz w:val="22"/>
          <w:szCs w:val="22"/>
        </w:rPr>
        <w:t>China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35027">
        <w:rPr>
          <w:rFonts w:ascii="Times New Roman" w:hAnsi="Times New Roman" w:cs="Times New Roman"/>
          <w:sz w:val="22"/>
          <w:szCs w:val="22"/>
        </w:rPr>
        <w:t xml:space="preserve"> </w:t>
      </w:r>
      <w:r w:rsidR="00FE3D0E">
        <w:rPr>
          <w:rFonts w:ascii="Times New Roman" w:hAnsi="Times New Roman" w:cs="Times New Roman"/>
          <w:sz w:val="22"/>
          <w:szCs w:val="22"/>
        </w:rPr>
        <w:t xml:space="preserve">April </w:t>
      </w:r>
      <w:r>
        <w:rPr>
          <w:rFonts w:ascii="Times New Roman" w:hAnsi="Times New Roman" w:cs="Times New Roman"/>
          <w:sz w:val="22"/>
          <w:szCs w:val="22"/>
        </w:rPr>
        <w:t>2019</w:t>
      </w:r>
      <w:bookmarkEnd w:id="3"/>
      <w:r w:rsidR="00DB511A">
        <w:rPr>
          <w:rFonts w:ascii="Times New Roman" w:hAnsi="Times New Roman" w:cs="Times New Roman"/>
          <w:sz w:val="22"/>
          <w:szCs w:val="22"/>
        </w:rPr>
        <w:t>.</w:t>
      </w:r>
    </w:p>
    <w:bookmarkEnd w:id="4"/>
    <w:bookmarkEnd w:id="5"/>
    <w:bookmarkEnd w:id="6"/>
    <w:bookmarkEnd w:id="7"/>
    <w:bookmarkEnd w:id="8"/>
    <w:bookmarkEnd w:id="9"/>
    <w:sectPr w:rsidR="00835027" w:rsidRPr="006E4D85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7C0DE" w14:textId="77777777" w:rsidR="00980D88" w:rsidRDefault="00980D88">
      <w:r>
        <w:separator/>
      </w:r>
    </w:p>
  </w:endnote>
  <w:endnote w:type="continuationSeparator" w:id="0">
    <w:p w14:paraId="4C52FE34" w14:textId="77777777" w:rsidR="00980D88" w:rsidRDefault="0098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0929D519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9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FD3503" w:rsidRDefault="00FD3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3E13B396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9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D3503" w:rsidRDefault="00FD3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996E" w14:textId="77777777" w:rsidR="00980D88" w:rsidRDefault="00980D88">
      <w:r>
        <w:separator/>
      </w:r>
    </w:p>
  </w:footnote>
  <w:footnote w:type="continuationSeparator" w:id="0">
    <w:p w14:paraId="23E2DBED" w14:textId="77777777" w:rsidR="00980D88" w:rsidRDefault="00980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9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87D22"/>
    <w:multiLevelType w:val="multilevel"/>
    <w:tmpl w:val="D018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9223B"/>
    <w:multiLevelType w:val="hybridMultilevel"/>
    <w:tmpl w:val="522A7506"/>
    <w:lvl w:ilvl="0" w:tplc="0972D288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756C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3A34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03A1E"/>
    <w:multiLevelType w:val="hybridMultilevel"/>
    <w:tmpl w:val="6380A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D0995"/>
    <w:multiLevelType w:val="hybridMultilevel"/>
    <w:tmpl w:val="EE5CDA1C"/>
    <w:lvl w:ilvl="0" w:tplc="1EC4CD4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6F6959A4"/>
    <w:multiLevelType w:val="hybridMultilevel"/>
    <w:tmpl w:val="BC081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3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1"/>
  </w:num>
  <w:num w:numId="3">
    <w:abstractNumId w:val="13"/>
  </w:num>
  <w:num w:numId="4">
    <w:abstractNumId w:val="6"/>
  </w:num>
  <w:num w:numId="5">
    <w:abstractNumId w:val="3"/>
  </w:num>
  <w:num w:numId="6">
    <w:abstractNumId w:val="30"/>
  </w:num>
  <w:num w:numId="7">
    <w:abstractNumId w:val="33"/>
  </w:num>
  <w:num w:numId="8">
    <w:abstractNumId w:val="9"/>
  </w:num>
  <w:num w:numId="9">
    <w:abstractNumId w:val="4"/>
  </w:num>
  <w:num w:numId="10">
    <w:abstractNumId w:val="17"/>
  </w:num>
  <w:num w:numId="11">
    <w:abstractNumId w:val="14"/>
  </w:num>
  <w:num w:numId="12">
    <w:abstractNumId w:val="16"/>
  </w:num>
  <w:num w:numId="13">
    <w:abstractNumId w:val="20"/>
  </w:num>
  <w:num w:numId="14">
    <w:abstractNumId w:val="25"/>
  </w:num>
  <w:num w:numId="15">
    <w:abstractNumId w:val="0"/>
  </w:num>
  <w:num w:numId="16">
    <w:abstractNumId w:val="23"/>
  </w:num>
  <w:num w:numId="17">
    <w:abstractNumId w:val="1"/>
  </w:num>
  <w:num w:numId="18">
    <w:abstractNumId w:val="5"/>
  </w:num>
  <w:num w:numId="19">
    <w:abstractNumId w:val="32"/>
  </w:num>
  <w:num w:numId="20">
    <w:abstractNumId w:val="26"/>
  </w:num>
  <w:num w:numId="21">
    <w:abstractNumId w:val="7"/>
  </w:num>
  <w:num w:numId="22">
    <w:abstractNumId w:val="8"/>
  </w:num>
  <w:num w:numId="23">
    <w:abstractNumId w:val="12"/>
  </w:num>
  <w:num w:numId="24">
    <w:abstractNumId w:val="22"/>
  </w:num>
  <w:num w:numId="25">
    <w:abstractNumId w:val="31"/>
  </w:num>
  <w:num w:numId="26">
    <w:abstractNumId w:val="19"/>
  </w:num>
  <w:num w:numId="27">
    <w:abstractNumId w:val="29"/>
  </w:num>
  <w:num w:numId="28">
    <w:abstractNumId w:val="18"/>
  </w:num>
  <w:num w:numId="29">
    <w:abstractNumId w:val="15"/>
  </w:num>
  <w:num w:numId="30">
    <w:abstractNumId w:val="24"/>
  </w:num>
  <w:num w:numId="31">
    <w:abstractNumId w:val="2"/>
  </w:num>
  <w:num w:numId="32">
    <w:abstractNumId w:val="11"/>
  </w:num>
  <w:num w:numId="33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>
    <w:abstractNumId w:val="10"/>
  </w:num>
  <w:num w:numId="3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639"/>
    <w:rsid w:val="0000527F"/>
    <w:rsid w:val="000104C8"/>
    <w:rsid w:val="0001366B"/>
    <w:rsid w:val="00022E5D"/>
    <w:rsid w:val="000319FD"/>
    <w:rsid w:val="00053E0E"/>
    <w:rsid w:val="000550E1"/>
    <w:rsid w:val="0005577C"/>
    <w:rsid w:val="0006095E"/>
    <w:rsid w:val="00062DF5"/>
    <w:rsid w:val="00065F7D"/>
    <w:rsid w:val="00066B51"/>
    <w:rsid w:val="000674FE"/>
    <w:rsid w:val="00073F85"/>
    <w:rsid w:val="000810DA"/>
    <w:rsid w:val="00091003"/>
    <w:rsid w:val="000950C5"/>
    <w:rsid w:val="000955F8"/>
    <w:rsid w:val="000A26C4"/>
    <w:rsid w:val="000B3FB5"/>
    <w:rsid w:val="000C40EF"/>
    <w:rsid w:val="000D00F4"/>
    <w:rsid w:val="000D27A6"/>
    <w:rsid w:val="000D37D3"/>
    <w:rsid w:val="000E49F8"/>
    <w:rsid w:val="000F2AFF"/>
    <w:rsid w:val="000F421F"/>
    <w:rsid w:val="00101070"/>
    <w:rsid w:val="00134DD1"/>
    <w:rsid w:val="0013672F"/>
    <w:rsid w:val="00140681"/>
    <w:rsid w:val="00153B57"/>
    <w:rsid w:val="0016417F"/>
    <w:rsid w:val="00164D6F"/>
    <w:rsid w:val="00172677"/>
    <w:rsid w:val="00180D93"/>
    <w:rsid w:val="001811F3"/>
    <w:rsid w:val="00185133"/>
    <w:rsid w:val="00187541"/>
    <w:rsid w:val="001A5BE4"/>
    <w:rsid w:val="001B03EA"/>
    <w:rsid w:val="001B2C52"/>
    <w:rsid w:val="001C71B1"/>
    <w:rsid w:val="001E18D6"/>
    <w:rsid w:val="001E3155"/>
    <w:rsid w:val="001E3B88"/>
    <w:rsid w:val="001F4117"/>
    <w:rsid w:val="002119E3"/>
    <w:rsid w:val="0021262E"/>
    <w:rsid w:val="00214FB9"/>
    <w:rsid w:val="00231627"/>
    <w:rsid w:val="00231AEA"/>
    <w:rsid w:val="002372D7"/>
    <w:rsid w:val="00245C69"/>
    <w:rsid w:val="0025363F"/>
    <w:rsid w:val="00263E95"/>
    <w:rsid w:val="00266C98"/>
    <w:rsid w:val="00275989"/>
    <w:rsid w:val="002B3C03"/>
    <w:rsid w:val="002B4189"/>
    <w:rsid w:val="002B728D"/>
    <w:rsid w:val="002D40BC"/>
    <w:rsid w:val="002E5481"/>
    <w:rsid w:val="002F2971"/>
    <w:rsid w:val="002F38FE"/>
    <w:rsid w:val="002F4A9B"/>
    <w:rsid w:val="00311110"/>
    <w:rsid w:val="00313332"/>
    <w:rsid w:val="00322338"/>
    <w:rsid w:val="003252F1"/>
    <w:rsid w:val="003336D9"/>
    <w:rsid w:val="00334B00"/>
    <w:rsid w:val="00335638"/>
    <w:rsid w:val="00342A22"/>
    <w:rsid w:val="0034698C"/>
    <w:rsid w:val="00352982"/>
    <w:rsid w:val="003567E2"/>
    <w:rsid w:val="00377439"/>
    <w:rsid w:val="003971DE"/>
    <w:rsid w:val="003B6C54"/>
    <w:rsid w:val="003C6CD9"/>
    <w:rsid w:val="003D77C4"/>
    <w:rsid w:val="003E1C7C"/>
    <w:rsid w:val="003E3C09"/>
    <w:rsid w:val="003F4847"/>
    <w:rsid w:val="003F7B17"/>
    <w:rsid w:val="0040602C"/>
    <w:rsid w:val="004214CF"/>
    <w:rsid w:val="004224C0"/>
    <w:rsid w:val="00424E3F"/>
    <w:rsid w:val="00427F95"/>
    <w:rsid w:val="00431779"/>
    <w:rsid w:val="0043276F"/>
    <w:rsid w:val="004453C1"/>
    <w:rsid w:val="00447234"/>
    <w:rsid w:val="004607C3"/>
    <w:rsid w:val="004778AF"/>
    <w:rsid w:val="00482389"/>
    <w:rsid w:val="004835C7"/>
    <w:rsid w:val="00483A74"/>
    <w:rsid w:val="00485C27"/>
    <w:rsid w:val="00496406"/>
    <w:rsid w:val="004A3FAE"/>
    <w:rsid w:val="004B3B97"/>
    <w:rsid w:val="004B547B"/>
    <w:rsid w:val="004C301F"/>
    <w:rsid w:val="004C38CC"/>
    <w:rsid w:val="004D6A99"/>
    <w:rsid w:val="004D76CA"/>
    <w:rsid w:val="004E2930"/>
    <w:rsid w:val="004E2EEE"/>
    <w:rsid w:val="004E6528"/>
    <w:rsid w:val="005029DA"/>
    <w:rsid w:val="005072FC"/>
    <w:rsid w:val="0053076A"/>
    <w:rsid w:val="00546B64"/>
    <w:rsid w:val="00554E84"/>
    <w:rsid w:val="00557B02"/>
    <w:rsid w:val="00570178"/>
    <w:rsid w:val="00580667"/>
    <w:rsid w:val="00591A33"/>
    <w:rsid w:val="005A05BE"/>
    <w:rsid w:val="005A1FAE"/>
    <w:rsid w:val="005A2572"/>
    <w:rsid w:val="005A43FF"/>
    <w:rsid w:val="005B2076"/>
    <w:rsid w:val="005B28BD"/>
    <w:rsid w:val="005B3314"/>
    <w:rsid w:val="005B4701"/>
    <w:rsid w:val="005C3384"/>
    <w:rsid w:val="005C3EF1"/>
    <w:rsid w:val="005C5FA0"/>
    <w:rsid w:val="005D0334"/>
    <w:rsid w:val="005D20F1"/>
    <w:rsid w:val="005D2D51"/>
    <w:rsid w:val="005D4BE2"/>
    <w:rsid w:val="005E1B36"/>
    <w:rsid w:val="005E7B83"/>
    <w:rsid w:val="005F2C48"/>
    <w:rsid w:val="005F2EB8"/>
    <w:rsid w:val="005F318B"/>
    <w:rsid w:val="00602F21"/>
    <w:rsid w:val="00604A92"/>
    <w:rsid w:val="0061417F"/>
    <w:rsid w:val="00614D21"/>
    <w:rsid w:val="006204C2"/>
    <w:rsid w:val="0062449A"/>
    <w:rsid w:val="00645A3D"/>
    <w:rsid w:val="0064615E"/>
    <w:rsid w:val="00665941"/>
    <w:rsid w:val="0066729B"/>
    <w:rsid w:val="006733DB"/>
    <w:rsid w:val="006758DE"/>
    <w:rsid w:val="00677A39"/>
    <w:rsid w:val="0069390B"/>
    <w:rsid w:val="00695505"/>
    <w:rsid w:val="006B1113"/>
    <w:rsid w:val="006B6D77"/>
    <w:rsid w:val="006E4D85"/>
    <w:rsid w:val="006F55A6"/>
    <w:rsid w:val="006F73F9"/>
    <w:rsid w:val="00715EF9"/>
    <w:rsid w:val="0072141F"/>
    <w:rsid w:val="00721DA7"/>
    <w:rsid w:val="00724391"/>
    <w:rsid w:val="00727C17"/>
    <w:rsid w:val="007371AC"/>
    <w:rsid w:val="0075483A"/>
    <w:rsid w:val="00770E80"/>
    <w:rsid w:val="0077242F"/>
    <w:rsid w:val="00790C82"/>
    <w:rsid w:val="00795985"/>
    <w:rsid w:val="0079648D"/>
    <w:rsid w:val="00797068"/>
    <w:rsid w:val="007A11D7"/>
    <w:rsid w:val="007A3330"/>
    <w:rsid w:val="007A5B20"/>
    <w:rsid w:val="007B2090"/>
    <w:rsid w:val="007B5072"/>
    <w:rsid w:val="007C6943"/>
    <w:rsid w:val="007D6E9B"/>
    <w:rsid w:val="007E3CA1"/>
    <w:rsid w:val="00801B7D"/>
    <w:rsid w:val="00804AC2"/>
    <w:rsid w:val="008127C1"/>
    <w:rsid w:val="008254B6"/>
    <w:rsid w:val="00832094"/>
    <w:rsid w:val="00833404"/>
    <w:rsid w:val="00834051"/>
    <w:rsid w:val="00835027"/>
    <w:rsid w:val="00837728"/>
    <w:rsid w:val="00842B97"/>
    <w:rsid w:val="00844F96"/>
    <w:rsid w:val="00861449"/>
    <w:rsid w:val="00876989"/>
    <w:rsid w:val="008873A5"/>
    <w:rsid w:val="008911D1"/>
    <w:rsid w:val="0089215D"/>
    <w:rsid w:val="008A2089"/>
    <w:rsid w:val="008B2885"/>
    <w:rsid w:val="008C1CCF"/>
    <w:rsid w:val="008C3773"/>
    <w:rsid w:val="008D28CA"/>
    <w:rsid w:val="008D4CEC"/>
    <w:rsid w:val="008E4BDE"/>
    <w:rsid w:val="008F4B61"/>
    <w:rsid w:val="00914FD3"/>
    <w:rsid w:val="00940ED3"/>
    <w:rsid w:val="00946429"/>
    <w:rsid w:val="0095582D"/>
    <w:rsid w:val="00957C45"/>
    <w:rsid w:val="0096755A"/>
    <w:rsid w:val="00980D88"/>
    <w:rsid w:val="009962C7"/>
    <w:rsid w:val="009A4F65"/>
    <w:rsid w:val="009B2E97"/>
    <w:rsid w:val="009C552F"/>
    <w:rsid w:val="009D5348"/>
    <w:rsid w:val="009E1109"/>
    <w:rsid w:val="009E1249"/>
    <w:rsid w:val="009F7FC7"/>
    <w:rsid w:val="00A2299C"/>
    <w:rsid w:val="00A23578"/>
    <w:rsid w:val="00A23793"/>
    <w:rsid w:val="00A237E1"/>
    <w:rsid w:val="00A361F7"/>
    <w:rsid w:val="00A46CBA"/>
    <w:rsid w:val="00A50949"/>
    <w:rsid w:val="00A55592"/>
    <w:rsid w:val="00A83382"/>
    <w:rsid w:val="00A84753"/>
    <w:rsid w:val="00A91310"/>
    <w:rsid w:val="00A921DF"/>
    <w:rsid w:val="00A92725"/>
    <w:rsid w:val="00A97A32"/>
    <w:rsid w:val="00A97DE8"/>
    <w:rsid w:val="00AA39C3"/>
    <w:rsid w:val="00AB36E6"/>
    <w:rsid w:val="00AB4813"/>
    <w:rsid w:val="00AE1547"/>
    <w:rsid w:val="00AE4A3B"/>
    <w:rsid w:val="00AF0FC0"/>
    <w:rsid w:val="00B017B9"/>
    <w:rsid w:val="00B0381A"/>
    <w:rsid w:val="00B0429F"/>
    <w:rsid w:val="00B04690"/>
    <w:rsid w:val="00B15573"/>
    <w:rsid w:val="00B2125D"/>
    <w:rsid w:val="00B243A9"/>
    <w:rsid w:val="00B25943"/>
    <w:rsid w:val="00B25D14"/>
    <w:rsid w:val="00B329B4"/>
    <w:rsid w:val="00B373B9"/>
    <w:rsid w:val="00B67BB0"/>
    <w:rsid w:val="00B77F6C"/>
    <w:rsid w:val="00B81A88"/>
    <w:rsid w:val="00B87ADF"/>
    <w:rsid w:val="00B91EAF"/>
    <w:rsid w:val="00B94E45"/>
    <w:rsid w:val="00BA2E58"/>
    <w:rsid w:val="00BA4C37"/>
    <w:rsid w:val="00BA784D"/>
    <w:rsid w:val="00BB0723"/>
    <w:rsid w:val="00BB4ADD"/>
    <w:rsid w:val="00BB5E8F"/>
    <w:rsid w:val="00BE169E"/>
    <w:rsid w:val="00BE67A0"/>
    <w:rsid w:val="00C14A24"/>
    <w:rsid w:val="00C43C21"/>
    <w:rsid w:val="00C5571A"/>
    <w:rsid w:val="00C57B73"/>
    <w:rsid w:val="00C71D9A"/>
    <w:rsid w:val="00C71F3C"/>
    <w:rsid w:val="00C946E7"/>
    <w:rsid w:val="00CA2985"/>
    <w:rsid w:val="00CA63AC"/>
    <w:rsid w:val="00CD0EC6"/>
    <w:rsid w:val="00CD77C0"/>
    <w:rsid w:val="00CE3A48"/>
    <w:rsid w:val="00CE58D7"/>
    <w:rsid w:val="00CF325F"/>
    <w:rsid w:val="00D011A3"/>
    <w:rsid w:val="00D0176C"/>
    <w:rsid w:val="00D10DF3"/>
    <w:rsid w:val="00D16F81"/>
    <w:rsid w:val="00D224B7"/>
    <w:rsid w:val="00D22657"/>
    <w:rsid w:val="00D26F3E"/>
    <w:rsid w:val="00D303B9"/>
    <w:rsid w:val="00D37558"/>
    <w:rsid w:val="00D649A6"/>
    <w:rsid w:val="00D6552D"/>
    <w:rsid w:val="00D8210A"/>
    <w:rsid w:val="00D84FF1"/>
    <w:rsid w:val="00D86BCC"/>
    <w:rsid w:val="00D90ABB"/>
    <w:rsid w:val="00D92C9C"/>
    <w:rsid w:val="00DA1039"/>
    <w:rsid w:val="00DB15C1"/>
    <w:rsid w:val="00DB511A"/>
    <w:rsid w:val="00DC044B"/>
    <w:rsid w:val="00DC4457"/>
    <w:rsid w:val="00DD63B9"/>
    <w:rsid w:val="00E0498C"/>
    <w:rsid w:val="00E31EB1"/>
    <w:rsid w:val="00E34FE4"/>
    <w:rsid w:val="00E36916"/>
    <w:rsid w:val="00E44CC6"/>
    <w:rsid w:val="00E51B20"/>
    <w:rsid w:val="00E61CDA"/>
    <w:rsid w:val="00E80548"/>
    <w:rsid w:val="00E8262A"/>
    <w:rsid w:val="00E85DED"/>
    <w:rsid w:val="00EA29BE"/>
    <w:rsid w:val="00EA50F2"/>
    <w:rsid w:val="00EA5108"/>
    <w:rsid w:val="00EB7CDB"/>
    <w:rsid w:val="00ED218B"/>
    <w:rsid w:val="00ED2F30"/>
    <w:rsid w:val="00EF1127"/>
    <w:rsid w:val="00EF142E"/>
    <w:rsid w:val="00EF4360"/>
    <w:rsid w:val="00F04F45"/>
    <w:rsid w:val="00F34A34"/>
    <w:rsid w:val="00F35FDC"/>
    <w:rsid w:val="00F44FBF"/>
    <w:rsid w:val="00F6026A"/>
    <w:rsid w:val="00F61E44"/>
    <w:rsid w:val="00F72B40"/>
    <w:rsid w:val="00F80282"/>
    <w:rsid w:val="00F87D63"/>
    <w:rsid w:val="00FB71E8"/>
    <w:rsid w:val="00FC0AF0"/>
    <w:rsid w:val="00FC1337"/>
    <w:rsid w:val="00FC73F7"/>
    <w:rsid w:val="00FD23B1"/>
    <w:rsid w:val="00FD3503"/>
    <w:rsid w:val="00FD58A3"/>
    <w:rsid w:val="00FE3D0E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8873A5"/>
    <w:pPr>
      <w:keepNext/>
      <w:numPr>
        <w:numId w:val="27"/>
      </w:numPr>
      <w:spacing w:after="240"/>
      <w:ind w:left="360" w:right="288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873A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5094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EB160CC-087D-41A1-8BC6-2618E8D57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99F177-E798-418C-859A-D5951EDE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Qing Li</cp:lastModifiedBy>
  <cp:revision>2</cp:revision>
  <cp:lastPrinted>2002-04-23T07:10:00Z</cp:lastPrinted>
  <dcterms:created xsi:type="dcterms:W3CDTF">2019-05-04T04:57:00Z</dcterms:created>
  <dcterms:modified xsi:type="dcterms:W3CDTF">2019-05-04T04:57:00Z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