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9D6E85E"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0B3FB5">
        <w:rPr>
          <w:rFonts w:ascii="Arial" w:hAnsi="Arial" w:cs="Arial"/>
          <w:b/>
          <w:bCs/>
          <w:sz w:val="24"/>
        </w:rPr>
        <w:t>7</w:t>
      </w:r>
      <w:r w:rsidRPr="00A2299C">
        <w:rPr>
          <w:rFonts w:ascii="Arial" w:hAnsi="Arial" w:cs="Arial"/>
          <w:b/>
          <w:bCs/>
          <w:sz w:val="24"/>
        </w:rPr>
        <w:tab/>
      </w:r>
      <w:r w:rsidR="00ED218B">
        <w:rPr>
          <w:rFonts w:ascii="Arial" w:hAnsi="Arial" w:cs="Arial"/>
          <w:b/>
          <w:bCs/>
          <w:sz w:val="24"/>
        </w:rPr>
        <w:tab/>
      </w:r>
      <w:r w:rsidR="000B3FB5">
        <w:rPr>
          <w:rFonts w:ascii="Arial" w:hAnsi="Arial" w:cs="Arial"/>
          <w:b/>
          <w:bCs/>
          <w:sz w:val="24"/>
        </w:rPr>
        <w:tab/>
      </w:r>
      <w:r w:rsidR="004D6A99" w:rsidRPr="004D6A99">
        <w:rPr>
          <w:rFonts w:ascii="Arial" w:hAnsi="Arial" w:cs="Arial"/>
          <w:b/>
          <w:bCs/>
          <w:sz w:val="24"/>
        </w:rPr>
        <w:t>R1-</w:t>
      </w:r>
      <w:r w:rsidR="0013672F" w:rsidRPr="004D6A99">
        <w:rPr>
          <w:rFonts w:ascii="Arial" w:hAnsi="Arial" w:cs="Arial"/>
          <w:b/>
          <w:bCs/>
          <w:sz w:val="24"/>
        </w:rPr>
        <w:t>19</w:t>
      </w:r>
      <w:r w:rsidR="0013672F">
        <w:rPr>
          <w:rFonts w:ascii="Arial" w:hAnsi="Arial" w:cs="Arial"/>
          <w:b/>
          <w:bCs/>
          <w:sz w:val="24"/>
        </w:rPr>
        <w:t>0</w:t>
      </w:r>
      <w:r w:rsidR="001C3709" w:rsidRPr="001C3709">
        <w:rPr>
          <w:rFonts w:ascii="Arial" w:hAnsi="Arial" w:cs="Arial"/>
          <w:b/>
          <w:bCs/>
          <w:sz w:val="24"/>
        </w:rPr>
        <w:t>7465</w:t>
      </w:r>
      <w:r w:rsidR="0013672F" w:rsidRPr="00A2299C">
        <w:rPr>
          <w:b/>
          <w:bCs/>
          <w:sz w:val="28"/>
          <w:szCs w:val="24"/>
        </w:rPr>
        <w:t xml:space="preserve">  </w:t>
      </w:r>
    </w:p>
    <w:p w14:paraId="56A15566" w14:textId="54667B3A" w:rsidR="004607C3" w:rsidRPr="00A2299C" w:rsidRDefault="00770E80" w:rsidP="00F6026A">
      <w:pPr>
        <w:pStyle w:val="Header"/>
        <w:tabs>
          <w:tab w:val="clear" w:pos="8306"/>
          <w:tab w:val="right" w:pos="9639"/>
        </w:tabs>
        <w:jc w:val="both"/>
        <w:rPr>
          <w:rFonts w:ascii="Arial" w:hAnsi="Arial" w:cs="Arial"/>
          <w:b/>
          <w:bCs/>
          <w:sz w:val="24"/>
        </w:rPr>
      </w:pPr>
      <w:r>
        <w:rPr>
          <w:rFonts w:ascii="Arial" w:hAnsi="Arial" w:cs="Arial"/>
          <w:b/>
          <w:bCs/>
          <w:sz w:val="24"/>
        </w:rPr>
        <w:t>Reno</w:t>
      </w:r>
      <w:r w:rsidR="008C1CCF" w:rsidRPr="00C00997">
        <w:rPr>
          <w:rFonts w:ascii="Arial" w:hAnsi="Arial" w:cs="Arial"/>
          <w:b/>
          <w:bCs/>
          <w:sz w:val="24"/>
        </w:rPr>
        <w:t xml:space="preserve">, </w:t>
      </w:r>
      <w:r>
        <w:rPr>
          <w:rFonts w:ascii="Arial" w:hAnsi="Arial" w:cs="Arial"/>
          <w:b/>
          <w:bCs/>
          <w:sz w:val="24"/>
        </w:rPr>
        <w:t>USA</w:t>
      </w:r>
      <w:r w:rsidR="008C1CCF" w:rsidRPr="00C00997">
        <w:rPr>
          <w:rFonts w:ascii="Arial" w:hAnsi="Arial" w:cs="Arial"/>
          <w:b/>
          <w:bCs/>
          <w:sz w:val="24"/>
        </w:rPr>
        <w:t xml:space="preserve">, </w:t>
      </w:r>
      <w:r>
        <w:rPr>
          <w:rFonts w:ascii="Arial" w:hAnsi="Arial" w:cs="Arial"/>
          <w:b/>
          <w:bCs/>
          <w:sz w:val="24"/>
        </w:rPr>
        <w:t>May 13</w:t>
      </w:r>
      <w:r w:rsidRPr="00770E80">
        <w:rPr>
          <w:rFonts w:ascii="Arial" w:hAnsi="Arial" w:cs="Arial"/>
          <w:b/>
          <w:bCs/>
          <w:sz w:val="24"/>
          <w:vertAlign w:val="superscript"/>
        </w:rPr>
        <w:t>th</w:t>
      </w:r>
      <w:r>
        <w:rPr>
          <w:rFonts w:ascii="Arial" w:hAnsi="Arial" w:cs="Arial"/>
          <w:b/>
          <w:bCs/>
          <w:sz w:val="24"/>
        </w:rPr>
        <w:t xml:space="preserve"> – 17</w:t>
      </w:r>
      <w:r w:rsidRPr="00770E80">
        <w:rPr>
          <w:rFonts w:ascii="Arial" w:hAnsi="Arial" w:cs="Arial"/>
          <w:b/>
          <w:bCs/>
          <w:sz w:val="24"/>
          <w:vertAlign w:val="superscript"/>
        </w:rPr>
        <w:t>th</w:t>
      </w:r>
      <w:r>
        <w:rPr>
          <w:rFonts w:ascii="Arial" w:hAnsi="Arial" w:cs="Arial"/>
          <w:b/>
          <w:bCs/>
          <w:sz w:val="24"/>
        </w:rPr>
        <w:t xml:space="preserve">, </w:t>
      </w:r>
      <w:r w:rsidR="008C1CCF" w:rsidRPr="00C00997">
        <w:rPr>
          <w:rFonts w:ascii="Arial" w:hAnsi="Arial" w:cs="Arial"/>
          <w:b/>
          <w:bCs/>
          <w:sz w:val="24"/>
        </w:rPr>
        <w:t>2019</w:t>
      </w:r>
      <w:r w:rsidR="008C1CCF">
        <w:rPr>
          <w:rFonts w:ascii="Arial" w:hAnsi="Arial" w:cs="Arial"/>
          <w:b/>
          <w:bCs/>
          <w:sz w:val="24"/>
        </w:rPr>
        <w:tab/>
      </w:r>
      <w:r w:rsidR="0005577C">
        <w:rPr>
          <w:rFonts w:ascii="Arial" w:hAnsi="Arial" w:cs="Arial"/>
          <w:b/>
          <w:bCs/>
          <w:sz w:val="24"/>
        </w:rPr>
        <w:tab/>
      </w:r>
    </w:p>
    <w:p w14:paraId="0656168E" w14:textId="77777777" w:rsidR="004607C3" w:rsidRPr="00A2299C" w:rsidRDefault="004607C3" w:rsidP="00A23578">
      <w:pPr>
        <w:jc w:val="both"/>
        <w:rPr>
          <w:rFonts w:ascii="Arial" w:hAnsi="Arial" w:cs="Arial"/>
          <w:sz w:val="22"/>
        </w:rPr>
      </w:pPr>
    </w:p>
    <w:p w14:paraId="2FABF9AA" w14:textId="1291E0F0"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4E2930">
        <w:rPr>
          <w:rFonts w:ascii="Arial" w:hAnsi="Arial" w:cs="Arial"/>
          <w:b/>
          <w:sz w:val="22"/>
        </w:rPr>
        <w:t>7.2.</w:t>
      </w:r>
      <w:r w:rsidR="007D0839">
        <w:rPr>
          <w:rFonts w:ascii="Arial" w:hAnsi="Arial" w:cs="Arial"/>
          <w:b/>
          <w:sz w:val="22"/>
        </w:rPr>
        <w:t>4</w:t>
      </w:r>
      <w:r w:rsidR="00770E80">
        <w:rPr>
          <w:rFonts w:ascii="Arial" w:hAnsi="Arial" w:cs="Arial"/>
          <w:b/>
          <w:sz w:val="22"/>
        </w:rPr>
        <w:t>.</w:t>
      </w:r>
      <w:r w:rsidR="007D0839">
        <w:rPr>
          <w:rFonts w:ascii="Arial" w:hAnsi="Arial" w:cs="Arial"/>
          <w:b/>
          <w:sz w:val="22"/>
        </w:rPr>
        <w:t>5</w:t>
      </w:r>
      <w:r w:rsidR="00ED218B">
        <w:rPr>
          <w:rFonts w:ascii="Arial" w:hAnsi="Arial" w:cs="Arial"/>
          <w:b/>
          <w:sz w:val="22"/>
        </w:rPr>
        <w:t xml:space="preserve"> </w:t>
      </w:r>
    </w:p>
    <w:p w14:paraId="7395AB72" w14:textId="06C0B67E"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7D0839" w:rsidRPr="00DF1B6B">
        <w:rPr>
          <w:rFonts w:ascii="Arial" w:hAnsi="Arial" w:cs="Arial"/>
          <w:b/>
          <w:sz w:val="22"/>
        </w:rPr>
        <w:t>Discussion on Sidelink Procedures</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656C0F5" w:rsidR="004607C3" w:rsidRPr="000D37D3" w:rsidRDefault="005D20F1" w:rsidP="008873A5">
      <w:pPr>
        <w:pStyle w:val="Heading1"/>
      </w:pPr>
      <w:r w:rsidRPr="000D37D3">
        <w:t>Introduction</w:t>
      </w:r>
    </w:p>
    <w:p w14:paraId="2365F8D5" w14:textId="41F761A8" w:rsidR="007D0839" w:rsidRPr="00C6683B" w:rsidRDefault="007D0839" w:rsidP="007D0839">
      <w:pPr>
        <w:spacing w:before="120" w:after="120"/>
        <w:jc w:val="both"/>
        <w:rPr>
          <w:rFonts w:eastAsia="Batang"/>
          <w:sz w:val="22"/>
          <w:szCs w:val="22"/>
          <w:lang w:val="en-US" w:eastAsia="ko-KR"/>
        </w:rPr>
      </w:pPr>
      <w:r w:rsidRPr="00C6683B">
        <w:rPr>
          <w:rFonts w:eastAsia="Batang"/>
          <w:sz w:val="22"/>
          <w:szCs w:val="22"/>
          <w:lang w:eastAsia="ko-KR"/>
        </w:rPr>
        <w:t>T</w:t>
      </w:r>
      <w:r w:rsidRPr="00C6683B">
        <w:rPr>
          <w:rFonts w:eastAsia="Batang"/>
          <w:sz w:val="22"/>
          <w:szCs w:val="22"/>
          <w:lang w:val="en-US" w:eastAsia="ko-KR"/>
        </w:rPr>
        <w:t xml:space="preserve">he following agreements </w:t>
      </w:r>
      <w:r w:rsidRPr="00C6683B">
        <w:rPr>
          <w:sz w:val="22"/>
          <w:szCs w:val="22"/>
          <w:lang w:eastAsia="ko-KR"/>
        </w:rPr>
        <w:t xml:space="preserve">were made on sidelink physical layer procedures in the </w:t>
      </w:r>
      <w:r w:rsidRPr="00C6683B">
        <w:rPr>
          <w:rFonts w:eastAsia="Batang"/>
          <w:sz w:val="22"/>
          <w:szCs w:val="22"/>
          <w:lang w:val="en-US" w:eastAsia="ko-KR"/>
        </w:rPr>
        <w:t>RAN1</w:t>
      </w:r>
      <w:r w:rsidRPr="00C6683B">
        <w:rPr>
          <w:sz w:val="22"/>
          <w:szCs w:val="22"/>
        </w:rPr>
        <w:t xml:space="preserve"> </w:t>
      </w:r>
      <w:r>
        <w:rPr>
          <w:rFonts w:eastAsia="Batang"/>
          <w:sz w:val="22"/>
          <w:szCs w:val="22"/>
          <w:lang w:val="en-US" w:eastAsia="ko-KR"/>
        </w:rPr>
        <w:t>#96</w:t>
      </w:r>
      <w:r w:rsidRPr="00C6683B">
        <w:rPr>
          <w:rFonts w:eastAsia="Batang"/>
          <w:sz w:val="22"/>
          <w:szCs w:val="22"/>
          <w:lang w:val="en-US" w:eastAsia="ko-KR"/>
        </w:rPr>
        <w:t xml:space="preserve"> meeting </w:t>
      </w:r>
      <w:r w:rsidRPr="00C6683B">
        <w:rPr>
          <w:rFonts w:eastAsia="Batang"/>
          <w:sz w:val="22"/>
          <w:szCs w:val="22"/>
          <w:lang w:val="en-US" w:eastAsia="ko-KR"/>
        </w:rPr>
        <w:fldChar w:fldCharType="begin"/>
      </w:r>
      <w:r w:rsidRPr="00C6683B">
        <w:rPr>
          <w:rFonts w:eastAsia="Batang"/>
          <w:sz w:val="22"/>
          <w:szCs w:val="22"/>
          <w:lang w:val="en-US" w:eastAsia="ko-KR"/>
        </w:rPr>
        <w:instrText xml:space="preserve"> REF _Ref494714909 \r \h </w:instrText>
      </w:r>
      <w:r>
        <w:rPr>
          <w:rFonts w:eastAsia="Batang"/>
          <w:sz w:val="22"/>
          <w:szCs w:val="22"/>
          <w:lang w:val="en-US" w:eastAsia="ko-KR"/>
        </w:rPr>
        <w:instrText xml:space="preserve"> \* MERGEFORMAT </w:instrText>
      </w:r>
      <w:r w:rsidRPr="00C6683B">
        <w:rPr>
          <w:rFonts w:eastAsia="Batang"/>
          <w:sz w:val="22"/>
          <w:szCs w:val="22"/>
          <w:lang w:val="en-US" w:eastAsia="ko-KR"/>
        </w:rPr>
      </w:r>
      <w:r w:rsidRPr="00C6683B">
        <w:rPr>
          <w:rFonts w:eastAsia="Batang"/>
          <w:sz w:val="22"/>
          <w:szCs w:val="22"/>
          <w:lang w:val="en-US" w:eastAsia="ko-KR"/>
        </w:rPr>
        <w:fldChar w:fldCharType="separate"/>
      </w:r>
      <w:r w:rsidRPr="00C6683B">
        <w:rPr>
          <w:rFonts w:eastAsia="Batang"/>
          <w:sz w:val="22"/>
          <w:szCs w:val="22"/>
          <w:lang w:val="en-US" w:eastAsia="ko-KR"/>
        </w:rPr>
        <w:t>[1]</w:t>
      </w:r>
      <w:r w:rsidRPr="00C6683B">
        <w:rPr>
          <w:rFonts w:eastAsia="Batang"/>
          <w:sz w:val="22"/>
          <w:szCs w:val="22"/>
          <w:lang w:val="en-US" w:eastAsia="ko-KR"/>
        </w:rPr>
        <w:fldChar w:fldCharType="end"/>
      </w:r>
      <w:r w:rsidRPr="00C6683B">
        <w:rPr>
          <w:sz w:val="22"/>
          <w:szCs w:val="22"/>
          <w:lang w:eastAsia="ko-KR"/>
        </w:rPr>
        <w:t>:</w:t>
      </w:r>
    </w:p>
    <w:p w14:paraId="51632C15" w14:textId="77777777" w:rsidR="007D0839" w:rsidRPr="00120E3F" w:rsidRDefault="007D0839" w:rsidP="00120E3F">
      <w:pPr>
        <w:spacing w:after="120"/>
        <w:rPr>
          <w:i/>
          <w:sz w:val="22"/>
          <w:lang w:val="en-US" w:eastAsia="x-none"/>
        </w:rPr>
      </w:pPr>
      <w:r w:rsidRPr="00120E3F">
        <w:rPr>
          <w:i/>
          <w:sz w:val="22"/>
          <w:highlight w:val="green"/>
          <w:lang w:val="en-US" w:eastAsia="x-none"/>
        </w:rPr>
        <w:t>Agreements</w:t>
      </w:r>
      <w:r w:rsidRPr="00120E3F">
        <w:rPr>
          <w:i/>
          <w:sz w:val="22"/>
          <w:lang w:val="en-US" w:eastAsia="x-none"/>
        </w:rPr>
        <w:t>:</w:t>
      </w:r>
    </w:p>
    <w:p w14:paraId="649F05F5" w14:textId="77777777" w:rsidR="007D0839" w:rsidRPr="00120E3F" w:rsidRDefault="007D0839" w:rsidP="00120E3F">
      <w:pPr>
        <w:numPr>
          <w:ilvl w:val="0"/>
          <w:numId w:val="34"/>
        </w:numPr>
        <w:spacing w:after="120"/>
        <w:rPr>
          <w:i/>
          <w:sz w:val="22"/>
        </w:rPr>
      </w:pPr>
      <w:r w:rsidRPr="00120E3F">
        <w:rPr>
          <w:i/>
          <w:sz w:val="22"/>
        </w:rPr>
        <w:t xml:space="preserve">In mode 1 for unicast and groupcast, it is supported for the transmitter UE via Uu link to report an indication to gNB to indicate the need for retransmission of a TB transmitted by the transmitter UE. </w:t>
      </w:r>
    </w:p>
    <w:p w14:paraId="43B46A29" w14:textId="77777777" w:rsidR="007D0839" w:rsidRPr="00120E3F" w:rsidRDefault="007D0839" w:rsidP="00120E3F">
      <w:pPr>
        <w:numPr>
          <w:ilvl w:val="1"/>
          <w:numId w:val="34"/>
        </w:numPr>
        <w:spacing w:after="120"/>
        <w:rPr>
          <w:i/>
          <w:sz w:val="22"/>
        </w:rPr>
      </w:pPr>
      <w:r w:rsidRPr="00120E3F">
        <w:rPr>
          <w:i/>
          <w:sz w:val="22"/>
        </w:rPr>
        <w:t>FFS the format of the indication, e.g., in the form of HARQ ACK/NACK, or in the form of SR/BSR, etc.</w:t>
      </w:r>
    </w:p>
    <w:p w14:paraId="7B597EC8" w14:textId="77777777" w:rsidR="007D0839" w:rsidRPr="00120E3F" w:rsidRDefault="007D0839" w:rsidP="00120E3F">
      <w:pPr>
        <w:numPr>
          <w:ilvl w:val="0"/>
          <w:numId w:val="34"/>
        </w:numPr>
        <w:spacing w:after="120"/>
        <w:rPr>
          <w:i/>
          <w:sz w:val="22"/>
        </w:rPr>
      </w:pPr>
      <w:r w:rsidRPr="00120E3F">
        <w:rPr>
          <w:i/>
          <w:sz w:val="22"/>
        </w:rPr>
        <w:t xml:space="preserve">RAN1 continues discussion on whether to support report from the receiver UE </w:t>
      </w:r>
    </w:p>
    <w:p w14:paraId="3361C155" w14:textId="77777777" w:rsidR="007D0839" w:rsidRPr="00120E3F" w:rsidRDefault="007D0839" w:rsidP="00120E3F">
      <w:pPr>
        <w:numPr>
          <w:ilvl w:val="1"/>
          <w:numId w:val="34"/>
        </w:numPr>
        <w:spacing w:after="120"/>
        <w:rPr>
          <w:i/>
          <w:sz w:val="22"/>
        </w:rPr>
      </w:pPr>
      <w:r w:rsidRPr="00120E3F">
        <w:rPr>
          <w:i/>
          <w:sz w:val="22"/>
        </w:rPr>
        <w:t>No inter-BS communication will be considered.</w:t>
      </w:r>
    </w:p>
    <w:p w14:paraId="40B37A00" w14:textId="77777777" w:rsidR="007D0839" w:rsidRPr="00120E3F" w:rsidRDefault="007D0839" w:rsidP="00120E3F">
      <w:pPr>
        <w:spacing w:after="120"/>
        <w:rPr>
          <w:i/>
          <w:sz w:val="22"/>
        </w:rPr>
      </w:pPr>
    </w:p>
    <w:p w14:paraId="405C2C97" w14:textId="77777777" w:rsidR="007D0839" w:rsidRPr="00120E3F" w:rsidRDefault="007D0839" w:rsidP="00120E3F">
      <w:pPr>
        <w:spacing w:after="120"/>
        <w:rPr>
          <w:i/>
          <w:sz w:val="22"/>
        </w:rPr>
      </w:pPr>
      <w:r w:rsidRPr="00120E3F">
        <w:rPr>
          <w:i/>
          <w:sz w:val="22"/>
          <w:highlight w:val="green"/>
        </w:rPr>
        <w:t>Agreements</w:t>
      </w:r>
      <w:r w:rsidRPr="00120E3F">
        <w:rPr>
          <w:i/>
          <w:sz w:val="22"/>
        </w:rPr>
        <w:t>:</w:t>
      </w:r>
    </w:p>
    <w:p w14:paraId="2B27677C" w14:textId="77777777" w:rsidR="007D0839" w:rsidRPr="00120E3F" w:rsidRDefault="007D0839" w:rsidP="00120E3F">
      <w:pPr>
        <w:numPr>
          <w:ilvl w:val="0"/>
          <w:numId w:val="35"/>
        </w:numPr>
        <w:spacing w:after="120"/>
        <w:rPr>
          <w:i/>
          <w:sz w:val="22"/>
        </w:rPr>
      </w:pPr>
      <w:r w:rsidRPr="00120E3F">
        <w:rPr>
          <w:i/>
          <w:sz w:val="22"/>
        </w:rPr>
        <w:t>Sidelink HARQ ACK/NACK report from UE to gNB is not supported in Rel-16.</w:t>
      </w:r>
    </w:p>
    <w:p w14:paraId="5EB5A20A" w14:textId="77777777" w:rsidR="00770E80" w:rsidRPr="00120E3F" w:rsidRDefault="00770E80" w:rsidP="00120E3F">
      <w:pPr>
        <w:tabs>
          <w:tab w:val="left" w:pos="720"/>
        </w:tabs>
        <w:spacing w:after="120"/>
        <w:rPr>
          <w:i/>
          <w:sz w:val="24"/>
          <w:szCs w:val="22"/>
        </w:rPr>
      </w:pPr>
    </w:p>
    <w:p w14:paraId="0D1D8CD7" w14:textId="77777777" w:rsidR="00CE051E" w:rsidRPr="00120E3F" w:rsidRDefault="00CE051E" w:rsidP="00120E3F">
      <w:pPr>
        <w:spacing w:after="120"/>
        <w:rPr>
          <w:i/>
          <w:sz w:val="22"/>
          <w:lang w:eastAsia="x-none"/>
        </w:rPr>
      </w:pPr>
      <w:r w:rsidRPr="00120E3F">
        <w:rPr>
          <w:i/>
          <w:sz w:val="22"/>
          <w:highlight w:val="green"/>
          <w:lang w:eastAsia="x-none"/>
        </w:rPr>
        <w:t>Agreements</w:t>
      </w:r>
      <w:r w:rsidRPr="00120E3F">
        <w:rPr>
          <w:i/>
          <w:sz w:val="22"/>
          <w:lang w:eastAsia="x-none"/>
        </w:rPr>
        <w:t>:</w:t>
      </w:r>
    </w:p>
    <w:p w14:paraId="41B0C03D" w14:textId="77777777" w:rsidR="00CE051E" w:rsidRPr="00120E3F" w:rsidRDefault="00CE051E" w:rsidP="00120E3F">
      <w:pPr>
        <w:numPr>
          <w:ilvl w:val="0"/>
          <w:numId w:val="36"/>
        </w:numPr>
        <w:spacing w:after="120"/>
        <w:rPr>
          <w:i/>
          <w:sz w:val="22"/>
        </w:rPr>
      </w:pPr>
      <w:r w:rsidRPr="00120E3F">
        <w:rPr>
          <w:i/>
          <w:sz w:val="22"/>
        </w:rPr>
        <w:t xml:space="preserve">For unicast RX UEs, SL-RSRP is reported to TX UE </w:t>
      </w:r>
    </w:p>
    <w:p w14:paraId="34CBBD7A" w14:textId="77777777" w:rsidR="00CE051E" w:rsidRPr="00120E3F" w:rsidRDefault="00CE051E" w:rsidP="00120E3F">
      <w:pPr>
        <w:numPr>
          <w:ilvl w:val="0"/>
          <w:numId w:val="36"/>
        </w:numPr>
        <w:spacing w:after="120"/>
        <w:rPr>
          <w:i/>
          <w:sz w:val="22"/>
        </w:rPr>
      </w:pPr>
      <w:r w:rsidRPr="00120E3F">
        <w:rPr>
          <w:rFonts w:hint="eastAsia"/>
          <w:i/>
          <w:sz w:val="22"/>
        </w:rPr>
        <w:t xml:space="preserve">For sidelink </w:t>
      </w:r>
      <w:r w:rsidRPr="00120E3F">
        <w:rPr>
          <w:i/>
          <w:sz w:val="22"/>
        </w:rPr>
        <w:t xml:space="preserve">open loop </w:t>
      </w:r>
      <w:r w:rsidRPr="00120E3F">
        <w:rPr>
          <w:rFonts w:hint="eastAsia"/>
          <w:i/>
          <w:sz w:val="22"/>
        </w:rPr>
        <w:t>power control</w:t>
      </w:r>
      <w:r w:rsidRPr="00120E3F">
        <w:rPr>
          <w:i/>
          <w:sz w:val="22"/>
        </w:rPr>
        <w:t xml:space="preserve"> for unicast for the TX UE</w:t>
      </w:r>
      <w:r w:rsidRPr="00120E3F">
        <w:rPr>
          <w:rFonts w:hint="eastAsia"/>
          <w:i/>
          <w:sz w:val="22"/>
        </w:rPr>
        <w:t>,</w:t>
      </w:r>
      <w:r w:rsidRPr="00120E3F">
        <w:rPr>
          <w:i/>
          <w:sz w:val="22"/>
        </w:rPr>
        <w:t xml:space="preserve"> TX UE derives pathloss estimation </w:t>
      </w:r>
    </w:p>
    <w:p w14:paraId="0730B895" w14:textId="77777777" w:rsidR="00CE051E" w:rsidRPr="00120E3F" w:rsidRDefault="00CE051E" w:rsidP="00120E3F">
      <w:pPr>
        <w:numPr>
          <w:ilvl w:val="1"/>
          <w:numId w:val="36"/>
        </w:numPr>
        <w:spacing w:after="120"/>
        <w:rPr>
          <w:i/>
          <w:sz w:val="22"/>
        </w:rPr>
      </w:pPr>
      <w:r w:rsidRPr="00120E3F">
        <w:rPr>
          <w:i/>
          <w:sz w:val="22"/>
        </w:rPr>
        <w:t xml:space="preserve">Revisit during the WI phase </w:t>
      </w:r>
      <w:proofErr w:type="spellStart"/>
      <w:r w:rsidRPr="00120E3F">
        <w:rPr>
          <w:i/>
          <w:sz w:val="22"/>
        </w:rPr>
        <w:t>w.r.t.</w:t>
      </w:r>
      <w:proofErr w:type="spellEnd"/>
      <w:r w:rsidRPr="00120E3F">
        <w:rPr>
          <w:i/>
          <w:sz w:val="22"/>
        </w:rPr>
        <w:t xml:space="preserve"> </w:t>
      </w:r>
      <w:proofErr w:type="gramStart"/>
      <w:r w:rsidRPr="00120E3F">
        <w:rPr>
          <w:i/>
          <w:sz w:val="22"/>
        </w:rPr>
        <w:t>whether or not</w:t>
      </w:r>
      <w:proofErr w:type="gramEnd"/>
      <w:r w:rsidRPr="00120E3F">
        <w:rPr>
          <w:i/>
          <w:sz w:val="22"/>
        </w:rPr>
        <w:t xml:space="preserve"> there is a need regarding how to handle pathloss estimation for OLPC before SL-RSRP is available for a RX UE </w:t>
      </w:r>
    </w:p>
    <w:p w14:paraId="6127FD0D" w14:textId="77777777" w:rsidR="00CE051E" w:rsidRPr="00120E3F" w:rsidRDefault="00CE051E" w:rsidP="00120E3F">
      <w:pPr>
        <w:spacing w:after="120"/>
        <w:rPr>
          <w:i/>
          <w:sz w:val="22"/>
          <w:highlight w:val="green"/>
        </w:rPr>
      </w:pPr>
    </w:p>
    <w:p w14:paraId="24CDBF0F" w14:textId="223B89F3" w:rsidR="00CE051E" w:rsidRPr="00120E3F" w:rsidRDefault="00CE051E" w:rsidP="00120E3F">
      <w:pPr>
        <w:spacing w:after="120"/>
        <w:rPr>
          <w:i/>
          <w:sz w:val="22"/>
        </w:rPr>
      </w:pPr>
      <w:r w:rsidRPr="00120E3F">
        <w:rPr>
          <w:i/>
          <w:sz w:val="22"/>
          <w:highlight w:val="green"/>
        </w:rPr>
        <w:t>Agreements</w:t>
      </w:r>
      <w:r w:rsidRPr="00120E3F">
        <w:rPr>
          <w:i/>
          <w:sz w:val="22"/>
        </w:rPr>
        <w:t>:</w:t>
      </w:r>
    </w:p>
    <w:p w14:paraId="04275927" w14:textId="77777777" w:rsidR="00CE051E" w:rsidRPr="00120E3F" w:rsidRDefault="00CE051E" w:rsidP="00120E3F">
      <w:pPr>
        <w:numPr>
          <w:ilvl w:val="0"/>
          <w:numId w:val="37"/>
        </w:numPr>
        <w:spacing w:after="120"/>
        <w:rPr>
          <w:i/>
          <w:sz w:val="22"/>
        </w:rPr>
      </w:pPr>
      <w:r w:rsidRPr="00120E3F">
        <w:rPr>
          <w:i/>
          <w:sz w:val="22"/>
        </w:rPr>
        <w:t>TPC commands for SL PC are not supported</w:t>
      </w:r>
    </w:p>
    <w:p w14:paraId="47695B24" w14:textId="77777777" w:rsidR="009F3BAD" w:rsidRDefault="009F3BAD" w:rsidP="00120E3F">
      <w:pPr>
        <w:tabs>
          <w:tab w:val="left" w:pos="720"/>
        </w:tabs>
        <w:spacing w:after="120"/>
        <w:rPr>
          <w:sz w:val="22"/>
          <w:szCs w:val="22"/>
        </w:rPr>
      </w:pPr>
    </w:p>
    <w:p w14:paraId="46B2FA47" w14:textId="32E573BC" w:rsidR="00F01FB9" w:rsidRPr="00C6683B" w:rsidRDefault="00F01FB9" w:rsidP="00120E3F">
      <w:pPr>
        <w:spacing w:after="120"/>
        <w:jc w:val="both"/>
        <w:rPr>
          <w:rFonts w:eastAsia="Batang"/>
          <w:sz w:val="22"/>
          <w:szCs w:val="22"/>
          <w:lang w:val="en-US" w:eastAsia="ko-KR"/>
        </w:rPr>
      </w:pPr>
      <w:r w:rsidRPr="00C6683B">
        <w:rPr>
          <w:rFonts w:eastAsia="Batang"/>
          <w:sz w:val="22"/>
          <w:szCs w:val="22"/>
          <w:lang w:eastAsia="ko-KR"/>
        </w:rPr>
        <w:t>T</w:t>
      </w:r>
      <w:r w:rsidRPr="00C6683B">
        <w:rPr>
          <w:rFonts w:eastAsia="Batang"/>
          <w:sz w:val="22"/>
          <w:szCs w:val="22"/>
          <w:lang w:val="en-US" w:eastAsia="ko-KR"/>
        </w:rPr>
        <w:t xml:space="preserve">he following agreements </w:t>
      </w:r>
      <w:r w:rsidRPr="00C6683B">
        <w:rPr>
          <w:sz w:val="22"/>
          <w:szCs w:val="22"/>
          <w:lang w:eastAsia="ko-KR"/>
        </w:rPr>
        <w:t xml:space="preserve">were made on sidelink physical layer procedures in the </w:t>
      </w:r>
      <w:r w:rsidRPr="00C6683B">
        <w:rPr>
          <w:rFonts w:eastAsia="Batang"/>
          <w:sz w:val="22"/>
          <w:szCs w:val="22"/>
          <w:lang w:val="en-US" w:eastAsia="ko-KR"/>
        </w:rPr>
        <w:t>RAN1</w:t>
      </w:r>
      <w:r w:rsidRPr="00C6683B">
        <w:rPr>
          <w:sz w:val="22"/>
          <w:szCs w:val="22"/>
        </w:rPr>
        <w:t xml:space="preserve"> </w:t>
      </w:r>
      <w:r>
        <w:rPr>
          <w:rFonts w:eastAsia="Batang"/>
          <w:sz w:val="22"/>
          <w:szCs w:val="22"/>
          <w:lang w:val="en-US" w:eastAsia="ko-KR"/>
        </w:rPr>
        <w:t>#96</w:t>
      </w:r>
      <w:r w:rsidR="00D0058D">
        <w:rPr>
          <w:rFonts w:eastAsia="Batang"/>
          <w:sz w:val="22"/>
          <w:szCs w:val="22"/>
          <w:lang w:val="en-US" w:eastAsia="ko-KR"/>
        </w:rPr>
        <w:t>bis</w:t>
      </w:r>
      <w:r w:rsidRPr="00C6683B">
        <w:rPr>
          <w:rFonts w:eastAsia="Batang"/>
          <w:sz w:val="22"/>
          <w:szCs w:val="22"/>
          <w:lang w:val="en-US" w:eastAsia="ko-KR"/>
        </w:rPr>
        <w:t xml:space="preserve"> meeting</w:t>
      </w:r>
      <w:r w:rsidR="00D0058D">
        <w:rPr>
          <w:rFonts w:eastAsia="Batang"/>
          <w:sz w:val="22"/>
          <w:szCs w:val="22"/>
          <w:lang w:val="en-US" w:eastAsia="ko-KR"/>
        </w:rPr>
        <w:t xml:space="preserve"> </w:t>
      </w:r>
      <w:r w:rsidR="00D0058D">
        <w:rPr>
          <w:rFonts w:eastAsia="Batang"/>
          <w:sz w:val="22"/>
          <w:szCs w:val="22"/>
          <w:lang w:val="en-US" w:eastAsia="ko-KR"/>
        </w:rPr>
        <w:fldChar w:fldCharType="begin"/>
      </w:r>
      <w:r w:rsidR="00D0058D">
        <w:rPr>
          <w:rFonts w:eastAsia="Batang"/>
          <w:sz w:val="22"/>
          <w:szCs w:val="22"/>
          <w:lang w:val="en-US" w:eastAsia="ko-KR"/>
        </w:rPr>
        <w:instrText xml:space="preserve"> REF _Ref7682323 \n \h </w:instrText>
      </w:r>
      <w:r w:rsidR="00D0058D">
        <w:rPr>
          <w:rFonts w:eastAsia="Batang"/>
          <w:sz w:val="22"/>
          <w:szCs w:val="22"/>
          <w:lang w:val="en-US" w:eastAsia="ko-KR"/>
        </w:rPr>
      </w:r>
      <w:r w:rsidR="00D0058D">
        <w:rPr>
          <w:rFonts w:eastAsia="Batang"/>
          <w:sz w:val="22"/>
          <w:szCs w:val="22"/>
          <w:lang w:val="en-US" w:eastAsia="ko-KR"/>
        </w:rPr>
        <w:fldChar w:fldCharType="separate"/>
      </w:r>
      <w:r w:rsidR="00D0058D">
        <w:rPr>
          <w:rFonts w:eastAsia="Batang"/>
          <w:sz w:val="22"/>
          <w:szCs w:val="22"/>
          <w:lang w:val="en-US" w:eastAsia="ko-KR"/>
        </w:rPr>
        <w:t>[2]</w:t>
      </w:r>
      <w:r w:rsidR="00D0058D">
        <w:rPr>
          <w:rFonts w:eastAsia="Batang"/>
          <w:sz w:val="22"/>
          <w:szCs w:val="22"/>
          <w:lang w:val="en-US" w:eastAsia="ko-KR"/>
        </w:rPr>
        <w:fldChar w:fldCharType="end"/>
      </w:r>
      <w:r w:rsidRPr="00C6683B">
        <w:rPr>
          <w:sz w:val="22"/>
          <w:szCs w:val="22"/>
          <w:lang w:eastAsia="ko-KR"/>
        </w:rPr>
        <w:t>:</w:t>
      </w:r>
    </w:p>
    <w:p w14:paraId="5C53A429" w14:textId="77777777" w:rsidR="00185E0F" w:rsidRPr="00120E3F" w:rsidRDefault="00185E0F" w:rsidP="00120E3F">
      <w:pPr>
        <w:pStyle w:val="LGTdoc"/>
        <w:spacing w:afterLines="0" w:after="120" w:line="240" w:lineRule="auto"/>
        <w:rPr>
          <w:i/>
          <w:szCs w:val="20"/>
          <w:lang w:val="en-US"/>
        </w:rPr>
      </w:pPr>
      <w:r w:rsidRPr="00120E3F">
        <w:rPr>
          <w:i/>
          <w:szCs w:val="20"/>
          <w:highlight w:val="green"/>
          <w:lang w:val="en-US"/>
        </w:rPr>
        <w:t>Agreements</w:t>
      </w:r>
      <w:r w:rsidRPr="00120E3F">
        <w:rPr>
          <w:i/>
          <w:szCs w:val="20"/>
          <w:lang w:val="en-US"/>
        </w:rPr>
        <w:t>:</w:t>
      </w:r>
    </w:p>
    <w:p w14:paraId="0FCDA924" w14:textId="77777777" w:rsidR="00185E0F" w:rsidRPr="00120E3F" w:rsidRDefault="00185E0F" w:rsidP="00120E3F">
      <w:pPr>
        <w:pStyle w:val="LGTdoc"/>
        <w:numPr>
          <w:ilvl w:val="0"/>
          <w:numId w:val="39"/>
        </w:numPr>
        <w:spacing w:afterLines="0" w:after="120" w:line="240" w:lineRule="auto"/>
        <w:rPr>
          <w:i/>
          <w:szCs w:val="20"/>
          <w:lang w:val="en-US"/>
        </w:rPr>
      </w:pPr>
      <w:r w:rsidRPr="00120E3F">
        <w:rPr>
          <w:i/>
          <w:szCs w:val="20"/>
          <w:lang w:val="en-US"/>
        </w:rPr>
        <w:t>Support at least Sidelink CSI-RS for CQI/RI measurement</w:t>
      </w:r>
    </w:p>
    <w:p w14:paraId="5FDE814C" w14:textId="77777777" w:rsidR="00185E0F" w:rsidRPr="00120E3F" w:rsidRDefault="00185E0F" w:rsidP="00120E3F">
      <w:pPr>
        <w:pStyle w:val="LGTdoc"/>
        <w:numPr>
          <w:ilvl w:val="1"/>
          <w:numId w:val="39"/>
        </w:numPr>
        <w:spacing w:afterLines="0" w:after="120" w:line="240" w:lineRule="auto"/>
        <w:rPr>
          <w:i/>
          <w:szCs w:val="20"/>
          <w:lang w:val="en-US"/>
        </w:rPr>
      </w:pPr>
      <w:r w:rsidRPr="00120E3F">
        <w:rPr>
          <w:i/>
          <w:szCs w:val="20"/>
          <w:lang w:val="en-US"/>
        </w:rPr>
        <w:t>Sidelink CSI-RS is confined within the PSSCH transmission</w:t>
      </w:r>
    </w:p>
    <w:p w14:paraId="0852675A" w14:textId="77777777" w:rsidR="00185E0F" w:rsidRPr="00F01FB9" w:rsidRDefault="00185E0F" w:rsidP="00ED218B">
      <w:pPr>
        <w:tabs>
          <w:tab w:val="left" w:pos="720"/>
        </w:tabs>
        <w:rPr>
          <w:sz w:val="22"/>
          <w:szCs w:val="22"/>
          <w:lang w:val="en-US"/>
        </w:rPr>
      </w:pPr>
    </w:p>
    <w:p w14:paraId="3525B25F" w14:textId="5BD51604" w:rsidR="00485C27" w:rsidRPr="00A2299C" w:rsidRDefault="00D37558" w:rsidP="00ED218B">
      <w:pPr>
        <w:tabs>
          <w:tab w:val="left" w:pos="720"/>
        </w:tabs>
        <w:rPr>
          <w:rFonts w:eastAsia="Batang"/>
          <w:sz w:val="22"/>
          <w:szCs w:val="22"/>
          <w:lang w:val="en-US" w:eastAsia="ko-KR"/>
        </w:rPr>
      </w:pPr>
      <w:r>
        <w:rPr>
          <w:sz w:val="22"/>
          <w:szCs w:val="22"/>
        </w:rPr>
        <w:t>In this contribution, w</w:t>
      </w:r>
      <w:r w:rsidR="00EF1127" w:rsidRPr="00A2299C">
        <w:rPr>
          <w:sz w:val="22"/>
          <w:szCs w:val="22"/>
        </w:rPr>
        <w:t xml:space="preserve">e </w:t>
      </w:r>
      <w:r w:rsidR="008873A5">
        <w:rPr>
          <w:sz w:val="22"/>
          <w:szCs w:val="22"/>
        </w:rPr>
        <w:t xml:space="preserve">discuss </w:t>
      </w:r>
      <w:r w:rsidR="0040602C">
        <w:rPr>
          <w:sz w:val="22"/>
          <w:szCs w:val="22"/>
        </w:rPr>
        <w:t xml:space="preserve">issues related to </w:t>
      </w:r>
      <w:r w:rsidR="00185E0F">
        <w:rPr>
          <w:sz w:val="22"/>
          <w:szCs w:val="22"/>
        </w:rPr>
        <w:t>HARQ and power control on sidelink</w:t>
      </w:r>
      <w:r w:rsidR="00185E0F" w:rsidRPr="00A2299C">
        <w:rPr>
          <w:rFonts w:eastAsia="Batang"/>
          <w:sz w:val="22"/>
          <w:szCs w:val="22"/>
          <w:lang w:val="en-US" w:eastAsia="ko-KR"/>
        </w:rPr>
        <w:t>.</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0694840E" w:rsidR="005D20F1" w:rsidRDefault="007C6943" w:rsidP="008873A5">
      <w:pPr>
        <w:pStyle w:val="Heading1"/>
      </w:pPr>
      <w:r w:rsidRPr="000D37D3">
        <w:t>Discussion</w:t>
      </w:r>
    </w:p>
    <w:p w14:paraId="357EE7A3" w14:textId="01E38751" w:rsidR="00770E80" w:rsidRPr="008C3773" w:rsidRDefault="008873A5" w:rsidP="00770E80">
      <w:pPr>
        <w:pStyle w:val="Heading2"/>
        <w:spacing w:before="120" w:after="120"/>
        <w:ind w:right="288"/>
        <w:rPr>
          <w:rFonts w:eastAsia="Batang"/>
          <w:sz w:val="22"/>
          <w:lang w:val="en-US" w:eastAsia="ko-KR"/>
        </w:rPr>
      </w:pPr>
      <w:r>
        <w:t>2.1</w:t>
      </w:r>
      <w:r w:rsidR="00832819" w:rsidRPr="00832819">
        <w:rPr>
          <w:rFonts w:asciiTheme="minorHAnsi" w:hAnsiTheme="minorHAnsi" w:cstheme="minorHAnsi"/>
          <w:sz w:val="28"/>
        </w:rPr>
        <w:t xml:space="preserve"> </w:t>
      </w:r>
      <w:r w:rsidR="00832819" w:rsidRPr="00AA1778">
        <w:rPr>
          <w:rFonts w:asciiTheme="minorHAnsi" w:hAnsiTheme="minorHAnsi" w:cstheme="minorHAnsi"/>
          <w:sz w:val="28"/>
        </w:rPr>
        <w:t xml:space="preserve">HARQ </w:t>
      </w:r>
      <w:r w:rsidR="00832819">
        <w:rPr>
          <w:rFonts w:asciiTheme="minorHAnsi" w:hAnsiTheme="minorHAnsi" w:cstheme="minorHAnsi"/>
          <w:sz w:val="28"/>
        </w:rPr>
        <w:t>F</w:t>
      </w:r>
      <w:r w:rsidR="00832819" w:rsidRPr="00AA1778">
        <w:rPr>
          <w:rFonts w:asciiTheme="minorHAnsi" w:hAnsiTheme="minorHAnsi" w:cstheme="minorHAnsi"/>
          <w:sz w:val="28"/>
        </w:rPr>
        <w:t xml:space="preserve">eedback </w:t>
      </w:r>
      <w:r w:rsidR="00832819">
        <w:rPr>
          <w:rFonts w:asciiTheme="minorHAnsi" w:hAnsiTheme="minorHAnsi" w:cstheme="minorHAnsi"/>
          <w:sz w:val="28"/>
        </w:rPr>
        <w:t>P</w:t>
      </w:r>
      <w:r w:rsidR="00832819" w:rsidRPr="00AA1778">
        <w:rPr>
          <w:rFonts w:asciiTheme="minorHAnsi" w:hAnsiTheme="minorHAnsi" w:cstheme="minorHAnsi"/>
          <w:sz w:val="28"/>
        </w:rPr>
        <w:t xml:space="preserve">rocedure for </w:t>
      </w:r>
      <w:r w:rsidR="00832819">
        <w:rPr>
          <w:rFonts w:asciiTheme="minorHAnsi" w:hAnsiTheme="minorHAnsi" w:cstheme="minorHAnsi"/>
          <w:sz w:val="28"/>
        </w:rPr>
        <w:t>M</w:t>
      </w:r>
      <w:r w:rsidR="00832819" w:rsidRPr="00AA1778">
        <w:rPr>
          <w:rFonts w:asciiTheme="minorHAnsi" w:hAnsiTheme="minorHAnsi" w:cstheme="minorHAnsi"/>
          <w:sz w:val="28"/>
        </w:rPr>
        <w:t>ode-1</w:t>
      </w:r>
    </w:p>
    <w:p w14:paraId="3D6EE4CA" w14:textId="027E2D8E" w:rsidR="00231627" w:rsidRPr="00120E3F" w:rsidRDefault="00832819" w:rsidP="00120E3F">
      <w:pPr>
        <w:spacing w:after="120"/>
        <w:rPr>
          <w:rFonts w:eastAsia="Batang"/>
          <w:sz w:val="22"/>
          <w:szCs w:val="22"/>
          <w:lang w:val="en-US" w:eastAsia="ko-KR"/>
        </w:rPr>
      </w:pPr>
      <w:r w:rsidRPr="00120E3F">
        <w:rPr>
          <w:rFonts w:eastAsia="Batang"/>
          <w:sz w:val="22"/>
          <w:szCs w:val="22"/>
          <w:lang w:val="en-US" w:eastAsia="ko-KR"/>
        </w:rPr>
        <w:t>In RAN1 #96 meeting, it was agree</w:t>
      </w:r>
      <w:r w:rsidR="00F1023C" w:rsidRPr="00120E3F">
        <w:rPr>
          <w:rFonts w:eastAsia="Batang"/>
          <w:sz w:val="22"/>
          <w:szCs w:val="22"/>
          <w:lang w:val="en-US" w:eastAsia="ko-KR"/>
        </w:rPr>
        <w:t>d to support</w:t>
      </w:r>
      <w:r w:rsidR="00012134" w:rsidRPr="00120E3F">
        <w:rPr>
          <w:rFonts w:eastAsia="Batang"/>
          <w:sz w:val="22"/>
          <w:szCs w:val="22"/>
          <w:lang w:val="en-US" w:eastAsia="ko-KR"/>
        </w:rPr>
        <w:t xml:space="preserve"> for</w:t>
      </w:r>
      <w:r w:rsidR="00F1023C" w:rsidRPr="00120E3F">
        <w:rPr>
          <w:rFonts w:eastAsia="Batang"/>
          <w:sz w:val="22"/>
          <w:szCs w:val="22"/>
          <w:lang w:val="en-US" w:eastAsia="ko-KR"/>
        </w:rPr>
        <w:t xml:space="preserve"> the transmitter UE to </w:t>
      </w:r>
      <w:r w:rsidR="00CE53BA" w:rsidRPr="00120E3F">
        <w:rPr>
          <w:rFonts w:eastAsia="Batang"/>
          <w:sz w:val="22"/>
          <w:szCs w:val="22"/>
          <w:lang w:val="en-US" w:eastAsia="ko-KR"/>
        </w:rPr>
        <w:t>send</w:t>
      </w:r>
      <w:r w:rsidR="00F1023C" w:rsidRPr="00120E3F">
        <w:rPr>
          <w:rFonts w:eastAsia="Batang"/>
          <w:sz w:val="22"/>
          <w:szCs w:val="22"/>
          <w:lang w:val="en-US" w:eastAsia="ko-KR"/>
        </w:rPr>
        <w:t xml:space="preserve"> an indication to gNB via Uu link to indicate the need for retransmission of a TB transmitted by the transmitter UE</w:t>
      </w:r>
      <w:r w:rsidR="008C3773" w:rsidRPr="00120E3F">
        <w:rPr>
          <w:rFonts w:eastAsia="Batang"/>
          <w:sz w:val="22"/>
          <w:szCs w:val="22"/>
          <w:lang w:val="en-US" w:eastAsia="ko-KR"/>
        </w:rPr>
        <w:t>.</w:t>
      </w:r>
      <w:r w:rsidR="00F1023C" w:rsidRPr="00120E3F">
        <w:rPr>
          <w:rFonts w:eastAsia="Batang"/>
          <w:sz w:val="22"/>
          <w:szCs w:val="22"/>
          <w:lang w:val="en-US" w:eastAsia="ko-KR"/>
        </w:rPr>
        <w:t xml:space="preserve"> Also, there is another </w:t>
      </w:r>
      <w:r w:rsidR="006139E3" w:rsidRPr="00120E3F">
        <w:rPr>
          <w:rFonts w:eastAsia="Batang"/>
          <w:sz w:val="22"/>
          <w:szCs w:val="22"/>
          <w:lang w:val="en-US" w:eastAsia="ko-KR"/>
        </w:rPr>
        <w:t>agreement that sidelink HARQ ACK/NACK report from UE to gNB is not supported in Rel-16. Co</w:t>
      </w:r>
      <w:r w:rsidR="002B7848" w:rsidRPr="00120E3F">
        <w:rPr>
          <w:rFonts w:eastAsia="Batang"/>
          <w:sz w:val="22"/>
          <w:szCs w:val="22"/>
          <w:lang w:val="en-US" w:eastAsia="ko-KR"/>
        </w:rPr>
        <w:t>mbining</w:t>
      </w:r>
      <w:r w:rsidR="006139E3" w:rsidRPr="00120E3F">
        <w:rPr>
          <w:rFonts w:eastAsia="Batang"/>
          <w:sz w:val="22"/>
          <w:szCs w:val="22"/>
          <w:lang w:val="en-US" w:eastAsia="ko-KR"/>
        </w:rPr>
        <w:t xml:space="preserve"> </w:t>
      </w:r>
      <w:r w:rsidR="006139E3" w:rsidRPr="00120E3F">
        <w:rPr>
          <w:rFonts w:eastAsia="Batang"/>
          <w:sz w:val="22"/>
          <w:szCs w:val="22"/>
          <w:lang w:val="en-US" w:eastAsia="ko-KR"/>
        </w:rPr>
        <w:lastRenderedPageBreak/>
        <w:t xml:space="preserve">these two agreements, the option </w:t>
      </w:r>
      <w:r w:rsidR="00A16971" w:rsidRPr="00120E3F">
        <w:rPr>
          <w:rFonts w:eastAsia="Batang"/>
          <w:sz w:val="22"/>
          <w:szCs w:val="22"/>
          <w:lang w:val="en-US" w:eastAsia="ko-KR"/>
        </w:rPr>
        <w:t>that</w:t>
      </w:r>
      <w:r w:rsidR="006139E3" w:rsidRPr="00120E3F">
        <w:rPr>
          <w:rFonts w:eastAsia="Batang"/>
          <w:sz w:val="22"/>
          <w:szCs w:val="22"/>
          <w:lang w:val="en-US" w:eastAsia="ko-KR"/>
        </w:rPr>
        <w:t xml:space="preserve"> transmitter UE report</w:t>
      </w:r>
      <w:r w:rsidR="00A16971" w:rsidRPr="00120E3F">
        <w:rPr>
          <w:rFonts w:eastAsia="Batang"/>
          <w:sz w:val="22"/>
          <w:szCs w:val="22"/>
          <w:lang w:val="en-US" w:eastAsia="ko-KR"/>
        </w:rPr>
        <w:t>s</w:t>
      </w:r>
      <w:r w:rsidR="006139E3" w:rsidRPr="00120E3F">
        <w:rPr>
          <w:rFonts w:eastAsia="Batang"/>
          <w:sz w:val="22"/>
          <w:szCs w:val="22"/>
          <w:lang w:val="en-US" w:eastAsia="ko-KR"/>
        </w:rPr>
        <w:t xml:space="preserve"> HARQ ACK/NACK to gNB via Uu link to indicate the need for retransmission will not be considered</w:t>
      </w:r>
      <w:r w:rsidR="00D0058D" w:rsidRPr="00120E3F">
        <w:rPr>
          <w:rFonts w:eastAsia="Batang"/>
          <w:sz w:val="22"/>
          <w:szCs w:val="22"/>
          <w:lang w:val="en-US" w:eastAsia="ko-KR"/>
        </w:rPr>
        <w:t xml:space="preserve"> in Rel-16</w:t>
      </w:r>
      <w:r w:rsidR="006139E3" w:rsidRPr="00120E3F">
        <w:rPr>
          <w:rFonts w:eastAsia="Batang"/>
          <w:sz w:val="22"/>
          <w:szCs w:val="22"/>
          <w:lang w:val="en-US" w:eastAsia="ko-KR"/>
        </w:rPr>
        <w:t xml:space="preserve">. </w:t>
      </w:r>
      <w:r w:rsidR="000466A0">
        <w:rPr>
          <w:rFonts w:eastAsia="Batang"/>
          <w:sz w:val="22"/>
          <w:szCs w:val="22"/>
          <w:lang w:val="en-US" w:eastAsia="ko-KR"/>
        </w:rPr>
        <w:t>Alternatively, the</w:t>
      </w:r>
      <w:r w:rsidR="003A3C9C">
        <w:rPr>
          <w:rFonts w:eastAsia="Batang"/>
          <w:sz w:val="22"/>
          <w:szCs w:val="22"/>
          <w:lang w:val="en-US" w:eastAsia="ko-KR"/>
        </w:rPr>
        <w:t xml:space="preserve"> transmitter UE may send a SR / BSR </w:t>
      </w:r>
      <w:r w:rsidR="00EC197F">
        <w:rPr>
          <w:rFonts w:eastAsia="Batang"/>
          <w:sz w:val="22"/>
          <w:szCs w:val="22"/>
          <w:lang w:val="en-US" w:eastAsia="ko-KR"/>
        </w:rPr>
        <w:t xml:space="preserve">to gNB </w:t>
      </w:r>
      <w:r w:rsidR="003A3C9C">
        <w:rPr>
          <w:rFonts w:eastAsia="Batang"/>
          <w:sz w:val="22"/>
          <w:szCs w:val="22"/>
          <w:lang w:val="en-US" w:eastAsia="ko-KR"/>
        </w:rPr>
        <w:t>for retransmission</w:t>
      </w:r>
      <w:r w:rsidR="00EC197F">
        <w:rPr>
          <w:rFonts w:eastAsia="Batang"/>
          <w:sz w:val="22"/>
          <w:szCs w:val="22"/>
          <w:lang w:val="en-US" w:eastAsia="ko-KR"/>
        </w:rPr>
        <w:t>.</w:t>
      </w:r>
    </w:p>
    <w:p w14:paraId="753087CF" w14:textId="1AA34C03" w:rsidR="00D0058D" w:rsidRPr="00120E3F" w:rsidRDefault="000466A0" w:rsidP="00120E3F">
      <w:pPr>
        <w:spacing w:after="120"/>
        <w:rPr>
          <w:rFonts w:eastAsiaTheme="minorEastAsia"/>
          <w:sz w:val="22"/>
          <w:szCs w:val="22"/>
          <w:lang w:val="en-US" w:eastAsia="zh-CN"/>
        </w:rPr>
      </w:pPr>
      <w:r>
        <w:rPr>
          <w:rFonts w:eastAsia="Batang"/>
          <w:sz w:val="22"/>
          <w:szCs w:val="22"/>
          <w:lang w:val="en-US" w:eastAsia="ko-KR"/>
        </w:rPr>
        <w:t>With this alternative solution, the current NR SR / BSR may need to be</w:t>
      </w:r>
      <w:r w:rsidR="00536357" w:rsidRPr="00120E3F">
        <w:rPr>
          <w:rFonts w:eastAsia="Batang"/>
          <w:sz w:val="22"/>
          <w:szCs w:val="22"/>
          <w:lang w:val="en-US" w:eastAsia="ko-KR"/>
        </w:rPr>
        <w:t xml:space="preserve"> enhanc</w:t>
      </w:r>
      <w:r>
        <w:rPr>
          <w:rFonts w:eastAsia="Batang"/>
          <w:sz w:val="22"/>
          <w:szCs w:val="22"/>
          <w:lang w:val="en-US" w:eastAsia="ko-KR"/>
        </w:rPr>
        <w:t>ed</w:t>
      </w:r>
      <w:r w:rsidR="00162CBC" w:rsidRPr="00120E3F">
        <w:rPr>
          <w:rFonts w:eastAsia="Batang"/>
          <w:sz w:val="22"/>
          <w:szCs w:val="22"/>
          <w:lang w:val="en-US" w:eastAsia="ko-KR"/>
        </w:rPr>
        <w:t xml:space="preserve"> to indicate the need for retransmission</w:t>
      </w:r>
      <w:r w:rsidR="00536357" w:rsidRPr="00120E3F">
        <w:rPr>
          <w:rFonts w:eastAsia="Batang"/>
          <w:sz w:val="22"/>
          <w:szCs w:val="22"/>
          <w:lang w:val="en-US" w:eastAsia="ko-KR"/>
        </w:rPr>
        <w:t xml:space="preserve"> </w:t>
      </w:r>
      <w:r>
        <w:rPr>
          <w:rFonts w:eastAsia="Batang"/>
          <w:sz w:val="22"/>
          <w:szCs w:val="22"/>
          <w:lang w:val="en-US" w:eastAsia="ko-KR"/>
        </w:rPr>
        <w:t>instead of the initial transmission</w:t>
      </w:r>
      <w:r w:rsidR="00621054" w:rsidRPr="00120E3F">
        <w:rPr>
          <w:rFonts w:eastAsia="Batang"/>
          <w:sz w:val="22"/>
          <w:szCs w:val="22"/>
          <w:lang w:val="en-US" w:eastAsia="ko-KR"/>
        </w:rPr>
        <w:t>.</w:t>
      </w:r>
      <w:r w:rsidR="00C15795" w:rsidRPr="00120E3F">
        <w:rPr>
          <w:rFonts w:eastAsia="Batang"/>
          <w:sz w:val="22"/>
          <w:szCs w:val="22"/>
          <w:lang w:val="en-US" w:eastAsia="ko-KR"/>
        </w:rPr>
        <w:t xml:space="preserve"> </w:t>
      </w:r>
      <w:r>
        <w:rPr>
          <w:rFonts w:eastAsia="Batang"/>
          <w:sz w:val="22"/>
          <w:szCs w:val="22"/>
          <w:lang w:val="en-US" w:eastAsia="ko-KR"/>
        </w:rPr>
        <w:t xml:space="preserve">This enhancement may cause good amount work in both RAN1 and RAN2. </w:t>
      </w:r>
      <w:r w:rsidR="00BB7E1C">
        <w:rPr>
          <w:rFonts w:eastAsia="Batang"/>
          <w:sz w:val="22"/>
          <w:szCs w:val="22"/>
          <w:lang w:val="en-US" w:eastAsia="ko-KR"/>
        </w:rPr>
        <w:t xml:space="preserve">To avoid unnecessary extra work, ACK/NACK based retransmission should be reconsidered. </w:t>
      </w:r>
    </w:p>
    <w:p w14:paraId="53322FB0" w14:textId="05A7C8CA" w:rsidR="0034759F" w:rsidRPr="00BB7E1C" w:rsidRDefault="008C3773" w:rsidP="00BB7E1C">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 xml:space="preserve">Proposal 1: </w:t>
      </w:r>
      <w:r w:rsidR="00054650" w:rsidRPr="00120E3F">
        <w:rPr>
          <w:rFonts w:eastAsia="SimSun"/>
          <w:b/>
          <w:i/>
          <w:szCs w:val="22"/>
          <w:lang w:val="en-US" w:eastAsia="zh-CN"/>
        </w:rPr>
        <w:t xml:space="preserve">Support sidelink HARQ </w:t>
      </w:r>
      <w:r w:rsidR="0034759F" w:rsidRPr="00120E3F">
        <w:rPr>
          <w:rFonts w:eastAsia="SimSun"/>
          <w:b/>
          <w:i/>
          <w:szCs w:val="22"/>
          <w:lang w:val="en-US" w:eastAsia="zh-CN"/>
        </w:rPr>
        <w:t xml:space="preserve">feedback </w:t>
      </w:r>
      <w:r w:rsidR="00054650" w:rsidRPr="00120E3F">
        <w:rPr>
          <w:rFonts w:eastAsia="SimSun"/>
          <w:b/>
          <w:i/>
          <w:szCs w:val="22"/>
          <w:lang w:val="en-US" w:eastAsia="zh-CN"/>
        </w:rPr>
        <w:t>reported from the transmitter UE to the gNB to indicate the need for retransmission</w:t>
      </w:r>
      <w:r w:rsidR="00301C24" w:rsidRPr="00120E3F">
        <w:rPr>
          <w:rFonts w:eastAsia="SimSun"/>
          <w:b/>
          <w:i/>
          <w:szCs w:val="22"/>
          <w:lang w:val="en-US" w:eastAsia="zh-CN"/>
        </w:rPr>
        <w:t xml:space="preserve"> </w:t>
      </w:r>
      <w:bookmarkStart w:id="0" w:name="_Hlk7692434"/>
      <w:r w:rsidR="00301C24" w:rsidRPr="00120E3F">
        <w:rPr>
          <w:rFonts w:eastAsia="SimSun"/>
          <w:b/>
          <w:i/>
          <w:szCs w:val="22"/>
          <w:lang w:val="en-US" w:eastAsia="zh-CN"/>
        </w:rPr>
        <w:t>in NR V2X mode-1</w:t>
      </w:r>
      <w:r w:rsidR="00054650" w:rsidRPr="00120E3F">
        <w:rPr>
          <w:rFonts w:eastAsia="SimSun"/>
          <w:b/>
          <w:i/>
          <w:szCs w:val="22"/>
          <w:lang w:val="en-US" w:eastAsia="zh-CN"/>
        </w:rPr>
        <w:t xml:space="preserve"> </w:t>
      </w:r>
      <w:bookmarkEnd w:id="0"/>
      <w:r w:rsidR="00054650" w:rsidRPr="00120E3F">
        <w:rPr>
          <w:rFonts w:eastAsia="SimSun"/>
          <w:b/>
          <w:i/>
          <w:szCs w:val="22"/>
          <w:lang w:val="en-US" w:eastAsia="zh-CN"/>
        </w:rPr>
        <w:t>and revoke the</w:t>
      </w:r>
      <w:r w:rsidR="00301C24" w:rsidRPr="00120E3F">
        <w:rPr>
          <w:rFonts w:eastAsia="SimSun"/>
          <w:b/>
          <w:i/>
          <w:szCs w:val="22"/>
          <w:lang w:val="en-US" w:eastAsia="zh-CN"/>
        </w:rPr>
        <w:t xml:space="preserve"> corresponding</w:t>
      </w:r>
      <w:r w:rsidR="00054650" w:rsidRPr="00120E3F">
        <w:rPr>
          <w:rFonts w:eastAsia="SimSun"/>
          <w:b/>
          <w:i/>
          <w:szCs w:val="22"/>
          <w:lang w:val="en-US" w:eastAsia="zh-CN"/>
        </w:rPr>
        <w:t xml:space="preserve"> agreements</w:t>
      </w:r>
      <w:r w:rsidR="00FE5698" w:rsidRPr="00120E3F">
        <w:rPr>
          <w:rFonts w:eastAsia="SimSun"/>
          <w:b/>
          <w:i/>
          <w:szCs w:val="22"/>
          <w:lang w:val="en-US" w:eastAsia="zh-CN"/>
        </w:rPr>
        <w:t xml:space="preserve"> agreed</w:t>
      </w:r>
      <w:r w:rsidR="00054650" w:rsidRPr="00120E3F">
        <w:rPr>
          <w:rFonts w:eastAsia="SimSun"/>
          <w:b/>
          <w:i/>
          <w:szCs w:val="22"/>
          <w:lang w:val="en-US" w:eastAsia="zh-CN"/>
        </w:rPr>
        <w:t xml:space="preserve"> in RAN1 #96.</w:t>
      </w:r>
    </w:p>
    <w:p w14:paraId="01CF9BA3" w14:textId="07500D5A" w:rsidR="0034759F" w:rsidRPr="00120E3F" w:rsidRDefault="00BB7E1C" w:rsidP="00120E3F">
      <w:pPr>
        <w:spacing w:after="120"/>
        <w:rPr>
          <w:rFonts w:eastAsia="Batang"/>
          <w:sz w:val="22"/>
          <w:szCs w:val="22"/>
          <w:lang w:val="en-US" w:eastAsia="ko-KR"/>
        </w:rPr>
      </w:pPr>
      <w:r>
        <w:rPr>
          <w:rFonts w:eastAsia="Batang"/>
          <w:sz w:val="22"/>
          <w:szCs w:val="22"/>
          <w:lang w:val="en-US" w:eastAsia="ko-KR"/>
        </w:rPr>
        <w:t>T</w:t>
      </w:r>
      <w:r w:rsidR="0034759F" w:rsidRPr="00120E3F">
        <w:rPr>
          <w:rFonts w:eastAsia="Batang"/>
          <w:sz w:val="22"/>
          <w:szCs w:val="22"/>
          <w:lang w:val="en-US" w:eastAsia="ko-KR"/>
        </w:rPr>
        <w:t>o indicate the need for retransmission on the sidelink</w:t>
      </w:r>
      <w:r w:rsidR="00A16971" w:rsidRPr="00120E3F">
        <w:rPr>
          <w:rFonts w:eastAsia="Batang"/>
          <w:sz w:val="22"/>
          <w:szCs w:val="22"/>
          <w:lang w:val="en-US" w:eastAsia="ko-KR"/>
        </w:rPr>
        <w:t xml:space="preserve"> to the gNB</w:t>
      </w:r>
      <w:r w:rsidR="0034759F" w:rsidRPr="00120E3F">
        <w:rPr>
          <w:rFonts w:eastAsia="Batang"/>
          <w:sz w:val="22"/>
          <w:szCs w:val="22"/>
          <w:lang w:val="en-US" w:eastAsia="ko-KR"/>
        </w:rPr>
        <w:t xml:space="preserve">, besides the option (denoted as option 1) </w:t>
      </w:r>
      <w:r w:rsidR="00A16971" w:rsidRPr="00120E3F">
        <w:rPr>
          <w:rFonts w:eastAsia="Batang"/>
          <w:sz w:val="22"/>
          <w:szCs w:val="22"/>
          <w:lang w:val="en-US" w:eastAsia="ko-KR"/>
        </w:rPr>
        <w:t>that</w:t>
      </w:r>
      <w:r w:rsidR="0034759F" w:rsidRPr="00120E3F">
        <w:rPr>
          <w:rFonts w:eastAsia="Batang"/>
          <w:sz w:val="22"/>
          <w:szCs w:val="22"/>
          <w:lang w:val="en-US" w:eastAsia="ko-KR"/>
        </w:rPr>
        <w:t xml:space="preserve"> the transmitter UE send</w:t>
      </w:r>
      <w:r w:rsidR="00A16971" w:rsidRPr="00120E3F">
        <w:rPr>
          <w:rFonts w:eastAsia="Batang"/>
          <w:sz w:val="22"/>
          <w:szCs w:val="22"/>
          <w:lang w:val="en-US" w:eastAsia="ko-KR"/>
        </w:rPr>
        <w:t>s</w:t>
      </w:r>
      <w:r w:rsidR="0034759F" w:rsidRPr="00120E3F">
        <w:rPr>
          <w:rFonts w:eastAsia="Batang"/>
          <w:sz w:val="22"/>
          <w:szCs w:val="22"/>
          <w:lang w:val="en-US" w:eastAsia="ko-KR"/>
        </w:rPr>
        <w:t xml:space="preserve"> HARQ feedback to the gNB as shown in Figure 1(a), another option (denoted as option 2) is the receiver UE send</w:t>
      </w:r>
      <w:r w:rsidR="00A16971" w:rsidRPr="00120E3F">
        <w:rPr>
          <w:rFonts w:eastAsia="Batang"/>
          <w:sz w:val="22"/>
          <w:szCs w:val="22"/>
          <w:lang w:val="en-US" w:eastAsia="ko-KR"/>
        </w:rPr>
        <w:t>s</w:t>
      </w:r>
      <w:r w:rsidR="0034759F" w:rsidRPr="00120E3F">
        <w:rPr>
          <w:rFonts w:eastAsia="Batang"/>
          <w:sz w:val="22"/>
          <w:szCs w:val="22"/>
          <w:lang w:val="en-US" w:eastAsia="ko-KR"/>
        </w:rPr>
        <w:t xml:space="preserve"> HARQ feedback to the gNB as shown in Figure 1(b).</w:t>
      </w:r>
    </w:p>
    <w:p w14:paraId="3B4006D6" w14:textId="64B3E493" w:rsidR="00A929B7" w:rsidRPr="00120E3F" w:rsidRDefault="00A929B7" w:rsidP="00120E3F">
      <w:pPr>
        <w:spacing w:after="120"/>
        <w:rPr>
          <w:rFonts w:eastAsia="Batang"/>
          <w:sz w:val="22"/>
          <w:szCs w:val="22"/>
          <w:lang w:val="en-US" w:eastAsia="ko-KR"/>
        </w:rPr>
      </w:pPr>
    </w:p>
    <w:p w14:paraId="4C007DF1" w14:textId="035538FA" w:rsidR="0049521A" w:rsidRPr="00120E3F" w:rsidRDefault="00AC547D" w:rsidP="00120E3F">
      <w:pPr>
        <w:pStyle w:val="Caption"/>
        <w:spacing w:after="120"/>
        <w:jc w:val="center"/>
        <w:rPr>
          <w:b/>
          <w:i w:val="0"/>
          <w:color w:val="auto"/>
          <w:sz w:val="22"/>
          <w:szCs w:val="22"/>
        </w:rPr>
      </w:pPr>
      <w:r w:rsidRPr="00120E3F">
        <w:rPr>
          <w:noProof/>
          <w:sz w:val="22"/>
          <w:szCs w:val="22"/>
        </w:rPr>
        <w:drawing>
          <wp:inline distT="0" distB="0" distL="0" distR="0" wp14:anchorId="0F586EF8" wp14:editId="144B6421">
            <wp:extent cx="5545777" cy="22332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8476" cy="2234382"/>
                    </a:xfrm>
                    <a:prstGeom prst="rect">
                      <a:avLst/>
                    </a:prstGeom>
                    <a:noFill/>
                    <a:ln>
                      <a:noFill/>
                    </a:ln>
                  </pic:spPr>
                </pic:pic>
              </a:graphicData>
            </a:graphic>
          </wp:inline>
        </w:drawing>
      </w:r>
    </w:p>
    <w:p w14:paraId="49EC553A" w14:textId="77777777" w:rsidR="0049521A" w:rsidRPr="00120E3F" w:rsidRDefault="0049521A" w:rsidP="00120E3F">
      <w:pPr>
        <w:pStyle w:val="Caption"/>
        <w:spacing w:after="120"/>
        <w:jc w:val="center"/>
        <w:rPr>
          <w:b/>
          <w:i w:val="0"/>
          <w:color w:val="auto"/>
          <w:sz w:val="22"/>
          <w:szCs w:val="22"/>
        </w:rPr>
      </w:pPr>
      <w:r w:rsidRPr="00120E3F">
        <w:rPr>
          <w:b/>
          <w:i w:val="0"/>
          <w:color w:val="auto"/>
          <w:sz w:val="22"/>
          <w:szCs w:val="22"/>
        </w:rPr>
        <w:t xml:space="preserve">Figure </w:t>
      </w:r>
      <w:r w:rsidRPr="00120E3F">
        <w:rPr>
          <w:b/>
          <w:i w:val="0"/>
          <w:noProof/>
          <w:color w:val="auto"/>
          <w:sz w:val="22"/>
          <w:szCs w:val="22"/>
        </w:rPr>
        <w:t>1</w:t>
      </w:r>
      <w:r w:rsidRPr="00120E3F">
        <w:rPr>
          <w:b/>
          <w:i w:val="0"/>
          <w:color w:val="auto"/>
          <w:sz w:val="22"/>
          <w:szCs w:val="22"/>
        </w:rPr>
        <w:t xml:space="preserve"> gNB schedules sidelink retransmission based on UE’s feedback on Uu interface </w:t>
      </w:r>
    </w:p>
    <w:p w14:paraId="5822D98B" w14:textId="77777777" w:rsidR="0049521A" w:rsidRPr="00120E3F" w:rsidRDefault="0049521A" w:rsidP="00120E3F">
      <w:pPr>
        <w:spacing w:after="120"/>
        <w:rPr>
          <w:rFonts w:eastAsia="Batang"/>
          <w:sz w:val="22"/>
          <w:szCs w:val="22"/>
          <w:lang w:val="en-US" w:eastAsia="ko-KR"/>
        </w:rPr>
      </w:pPr>
    </w:p>
    <w:p w14:paraId="6420DD0B" w14:textId="63C210C8" w:rsidR="005668BB" w:rsidRPr="00120E3F" w:rsidRDefault="00E32CE7" w:rsidP="00120E3F">
      <w:pPr>
        <w:spacing w:after="120"/>
        <w:rPr>
          <w:rFonts w:eastAsia="Batang"/>
          <w:sz w:val="22"/>
          <w:szCs w:val="22"/>
          <w:lang w:val="en-US" w:eastAsia="ko-KR"/>
        </w:rPr>
      </w:pPr>
      <w:r w:rsidRPr="00120E3F">
        <w:rPr>
          <w:rFonts w:eastAsia="Batang"/>
          <w:sz w:val="22"/>
          <w:szCs w:val="22"/>
          <w:lang w:val="en-US" w:eastAsia="ko-KR"/>
        </w:rPr>
        <w:t>Compar</w:t>
      </w:r>
      <w:r w:rsidR="007E386C" w:rsidRPr="00120E3F">
        <w:rPr>
          <w:rFonts w:eastAsia="Batang"/>
          <w:sz w:val="22"/>
          <w:szCs w:val="22"/>
          <w:lang w:val="en-US" w:eastAsia="ko-KR"/>
        </w:rPr>
        <w:t>ing</w:t>
      </w:r>
      <w:r w:rsidRPr="00120E3F">
        <w:rPr>
          <w:rFonts w:eastAsia="Batang"/>
          <w:sz w:val="22"/>
          <w:szCs w:val="22"/>
          <w:lang w:val="en-US" w:eastAsia="ko-KR"/>
        </w:rPr>
        <w:t xml:space="preserve"> to</w:t>
      </w:r>
      <w:r w:rsidR="00A16971" w:rsidRPr="00120E3F">
        <w:rPr>
          <w:rFonts w:eastAsia="Batang"/>
          <w:sz w:val="22"/>
          <w:szCs w:val="22"/>
          <w:lang w:val="en-US" w:eastAsia="ko-KR"/>
        </w:rPr>
        <w:t xml:space="preserve"> the</w:t>
      </w:r>
      <w:r w:rsidRPr="00120E3F">
        <w:rPr>
          <w:rFonts w:eastAsia="Batang"/>
          <w:sz w:val="22"/>
          <w:szCs w:val="22"/>
          <w:lang w:val="en-US" w:eastAsia="ko-KR"/>
        </w:rPr>
        <w:t xml:space="preserve"> option 1, </w:t>
      </w:r>
      <w:r w:rsidR="00A16971" w:rsidRPr="00120E3F">
        <w:rPr>
          <w:rFonts w:eastAsia="Batang"/>
          <w:sz w:val="22"/>
          <w:szCs w:val="22"/>
          <w:lang w:val="en-US" w:eastAsia="ko-KR"/>
        </w:rPr>
        <w:t xml:space="preserve">the </w:t>
      </w:r>
      <w:r w:rsidRPr="00120E3F">
        <w:rPr>
          <w:rFonts w:eastAsia="Batang"/>
          <w:sz w:val="22"/>
          <w:szCs w:val="22"/>
          <w:lang w:val="en-US" w:eastAsia="ko-KR"/>
        </w:rPr>
        <w:t>option 2 has the following adva</w:t>
      </w:r>
      <w:r w:rsidR="005C1613" w:rsidRPr="00120E3F">
        <w:rPr>
          <w:rFonts w:eastAsia="Batang"/>
          <w:sz w:val="22"/>
          <w:szCs w:val="22"/>
          <w:lang w:val="en-US" w:eastAsia="ko-KR"/>
        </w:rPr>
        <w:t xml:space="preserve">ntages: 1). Smaller </w:t>
      </w:r>
      <w:proofErr w:type="gramStart"/>
      <w:r w:rsidR="005C1613" w:rsidRPr="00120E3F">
        <w:rPr>
          <w:rFonts w:eastAsia="Batang"/>
          <w:sz w:val="22"/>
          <w:szCs w:val="22"/>
          <w:lang w:val="en-US" w:eastAsia="ko-KR"/>
        </w:rPr>
        <w:t>round trip</w:t>
      </w:r>
      <w:proofErr w:type="gramEnd"/>
      <w:r w:rsidR="005C1613" w:rsidRPr="00120E3F">
        <w:rPr>
          <w:rFonts w:eastAsia="Batang"/>
          <w:sz w:val="22"/>
          <w:szCs w:val="22"/>
          <w:lang w:val="en-US" w:eastAsia="ko-KR"/>
        </w:rPr>
        <w:t xml:space="preserve"> time (RTT).</w:t>
      </w:r>
      <w:r w:rsidR="00B71CC9" w:rsidRPr="00120E3F">
        <w:rPr>
          <w:rFonts w:eastAsia="Batang"/>
          <w:sz w:val="22"/>
          <w:szCs w:val="22"/>
          <w:lang w:val="en-US" w:eastAsia="ko-KR"/>
        </w:rPr>
        <w:t xml:space="preserve"> To let the gNB know whether the scheduled sidelink transmission is succeeded or not, i</w:t>
      </w:r>
      <w:r w:rsidR="005C1E01" w:rsidRPr="00120E3F">
        <w:rPr>
          <w:rFonts w:eastAsia="Batang"/>
          <w:sz w:val="22"/>
          <w:szCs w:val="22"/>
          <w:lang w:val="en-US" w:eastAsia="ko-KR"/>
        </w:rPr>
        <w:t>n option 1,</w:t>
      </w:r>
      <w:r w:rsidR="00B71CC9" w:rsidRPr="00120E3F">
        <w:rPr>
          <w:rFonts w:eastAsia="Batang"/>
          <w:sz w:val="22"/>
          <w:szCs w:val="22"/>
          <w:lang w:val="en-US" w:eastAsia="ko-KR"/>
        </w:rPr>
        <w:t xml:space="preserve"> </w:t>
      </w:r>
      <w:r w:rsidR="005C1E01" w:rsidRPr="00120E3F">
        <w:rPr>
          <w:rFonts w:eastAsia="Batang"/>
          <w:sz w:val="22"/>
          <w:szCs w:val="22"/>
          <w:lang w:val="en-US" w:eastAsia="ko-KR"/>
        </w:rPr>
        <w:t>the receiver UE need</w:t>
      </w:r>
      <w:r w:rsidR="00B71CC9" w:rsidRPr="00120E3F">
        <w:rPr>
          <w:rFonts w:eastAsia="Batang"/>
          <w:sz w:val="22"/>
          <w:szCs w:val="22"/>
          <w:lang w:val="en-US" w:eastAsia="ko-KR"/>
        </w:rPr>
        <w:t>s</w:t>
      </w:r>
      <w:r w:rsidR="005C1E01" w:rsidRPr="00120E3F">
        <w:rPr>
          <w:rFonts w:eastAsia="Batang"/>
          <w:sz w:val="22"/>
          <w:szCs w:val="22"/>
          <w:lang w:val="en-US" w:eastAsia="ko-KR"/>
        </w:rPr>
        <w:t xml:space="preserve"> to</w:t>
      </w:r>
      <w:r w:rsidR="00B71CC9" w:rsidRPr="00120E3F">
        <w:rPr>
          <w:rFonts w:eastAsia="Batang"/>
          <w:sz w:val="22"/>
          <w:szCs w:val="22"/>
          <w:lang w:val="en-US" w:eastAsia="ko-KR"/>
        </w:rPr>
        <w:t xml:space="preserve"> first</w:t>
      </w:r>
      <w:r w:rsidR="005C1E01" w:rsidRPr="00120E3F">
        <w:rPr>
          <w:rFonts w:eastAsia="Batang"/>
          <w:sz w:val="22"/>
          <w:szCs w:val="22"/>
          <w:lang w:val="en-US" w:eastAsia="ko-KR"/>
        </w:rPr>
        <w:t xml:space="preserve"> send the feedback to the transmitter UE and then the transmitter UE forwards the feedback to the gNB. In option 2, the receiver UE</w:t>
      </w:r>
      <w:r w:rsidR="00B71CC9" w:rsidRPr="00120E3F">
        <w:rPr>
          <w:rFonts w:eastAsia="Batang"/>
          <w:sz w:val="22"/>
          <w:szCs w:val="22"/>
          <w:lang w:val="en-US" w:eastAsia="ko-KR"/>
        </w:rPr>
        <w:t xml:space="preserve"> can</w:t>
      </w:r>
      <w:r w:rsidR="005C1E01" w:rsidRPr="00120E3F">
        <w:rPr>
          <w:rFonts w:eastAsia="Batang"/>
          <w:sz w:val="22"/>
          <w:szCs w:val="22"/>
          <w:lang w:val="en-US" w:eastAsia="ko-KR"/>
        </w:rPr>
        <w:t xml:space="preserve"> directly send the feedback to the gNB</w:t>
      </w:r>
      <w:r w:rsidR="00D24F67" w:rsidRPr="00120E3F">
        <w:rPr>
          <w:rFonts w:eastAsia="Batang"/>
          <w:sz w:val="22"/>
          <w:szCs w:val="22"/>
          <w:lang w:val="en-US" w:eastAsia="ko-KR"/>
        </w:rPr>
        <w:t xml:space="preserve">. 2). </w:t>
      </w:r>
      <w:r w:rsidR="00A16971" w:rsidRPr="00120E3F">
        <w:rPr>
          <w:rFonts w:eastAsia="Batang"/>
          <w:sz w:val="22"/>
          <w:szCs w:val="22"/>
          <w:lang w:val="en-US" w:eastAsia="ko-KR"/>
        </w:rPr>
        <w:t>Fewer</w:t>
      </w:r>
      <w:r w:rsidR="00D24F67" w:rsidRPr="00120E3F">
        <w:rPr>
          <w:rFonts w:eastAsia="Batang"/>
          <w:sz w:val="22"/>
          <w:szCs w:val="22"/>
          <w:lang w:val="en-US" w:eastAsia="ko-KR"/>
        </w:rPr>
        <w:t xml:space="preserve"> resources needed. </w:t>
      </w:r>
      <w:r w:rsidR="00644C1C" w:rsidRPr="00120E3F">
        <w:rPr>
          <w:rFonts w:eastAsia="Batang"/>
          <w:sz w:val="22"/>
          <w:szCs w:val="22"/>
          <w:lang w:val="en-US" w:eastAsia="ko-KR"/>
        </w:rPr>
        <w:t>In</w:t>
      </w:r>
      <w:r w:rsidR="00D24F67" w:rsidRPr="00120E3F">
        <w:rPr>
          <w:rFonts w:eastAsia="Batang"/>
          <w:sz w:val="22"/>
          <w:szCs w:val="22"/>
          <w:lang w:val="en-US" w:eastAsia="ko-KR"/>
        </w:rPr>
        <w:t xml:space="preserve"> option 1, the feedback need</w:t>
      </w:r>
      <w:r w:rsidR="007E386C" w:rsidRPr="00120E3F">
        <w:rPr>
          <w:rFonts w:eastAsia="Batang"/>
          <w:sz w:val="22"/>
          <w:szCs w:val="22"/>
          <w:lang w:val="en-US" w:eastAsia="ko-KR"/>
        </w:rPr>
        <w:t>s</w:t>
      </w:r>
      <w:r w:rsidR="00D24F67" w:rsidRPr="00120E3F">
        <w:rPr>
          <w:rFonts w:eastAsia="Batang"/>
          <w:sz w:val="22"/>
          <w:szCs w:val="22"/>
          <w:lang w:val="en-US" w:eastAsia="ko-KR"/>
        </w:rPr>
        <w:t xml:space="preserve"> to go through both the sidelink </w:t>
      </w:r>
      <w:r w:rsidR="00A16971" w:rsidRPr="00120E3F">
        <w:rPr>
          <w:rFonts w:eastAsia="Batang"/>
          <w:sz w:val="22"/>
          <w:szCs w:val="22"/>
          <w:lang w:val="en-US" w:eastAsia="ko-KR"/>
        </w:rPr>
        <w:t xml:space="preserve">interface </w:t>
      </w:r>
      <w:r w:rsidR="00D24F67" w:rsidRPr="00120E3F">
        <w:rPr>
          <w:rFonts w:eastAsia="Batang"/>
          <w:sz w:val="22"/>
          <w:szCs w:val="22"/>
          <w:lang w:val="en-US" w:eastAsia="ko-KR"/>
        </w:rPr>
        <w:t>and the Uu interface</w:t>
      </w:r>
      <w:r w:rsidR="007E386C" w:rsidRPr="00120E3F">
        <w:rPr>
          <w:rFonts w:eastAsia="Batang"/>
          <w:sz w:val="22"/>
          <w:szCs w:val="22"/>
          <w:lang w:val="en-US" w:eastAsia="ko-KR"/>
        </w:rPr>
        <w:t xml:space="preserve"> which requires</w:t>
      </w:r>
      <w:r w:rsidR="00644C1C" w:rsidRPr="00120E3F">
        <w:rPr>
          <w:rFonts w:eastAsia="Batang"/>
          <w:sz w:val="22"/>
          <w:szCs w:val="22"/>
          <w:lang w:val="en-US" w:eastAsia="ko-KR"/>
        </w:rPr>
        <w:t xml:space="preserve"> to use</w:t>
      </w:r>
      <w:r w:rsidR="007E386C" w:rsidRPr="00120E3F">
        <w:rPr>
          <w:rFonts w:eastAsia="Batang"/>
          <w:sz w:val="22"/>
          <w:szCs w:val="22"/>
          <w:lang w:val="en-US" w:eastAsia="ko-KR"/>
        </w:rPr>
        <w:t xml:space="preserve"> the resources on </w:t>
      </w:r>
      <w:proofErr w:type="gramStart"/>
      <w:r w:rsidR="007E386C" w:rsidRPr="00120E3F">
        <w:rPr>
          <w:rFonts w:eastAsia="Batang"/>
          <w:sz w:val="22"/>
          <w:szCs w:val="22"/>
          <w:lang w:val="en-US" w:eastAsia="ko-KR"/>
        </w:rPr>
        <w:t>both</w:t>
      </w:r>
      <w:r w:rsidR="003235C6" w:rsidRPr="00120E3F">
        <w:rPr>
          <w:rFonts w:eastAsia="Batang"/>
          <w:sz w:val="22"/>
          <w:szCs w:val="22"/>
          <w:lang w:val="en-US" w:eastAsia="ko-KR"/>
        </w:rPr>
        <w:t xml:space="preserve"> of</w:t>
      </w:r>
      <w:r w:rsidR="00644C1C" w:rsidRPr="00120E3F">
        <w:rPr>
          <w:rFonts w:eastAsia="Batang"/>
          <w:sz w:val="22"/>
          <w:szCs w:val="22"/>
          <w:lang w:val="en-US" w:eastAsia="ko-KR"/>
        </w:rPr>
        <w:t xml:space="preserve"> the</w:t>
      </w:r>
      <w:r w:rsidR="007E386C" w:rsidRPr="00120E3F">
        <w:rPr>
          <w:rFonts w:eastAsia="Batang"/>
          <w:sz w:val="22"/>
          <w:szCs w:val="22"/>
          <w:lang w:val="en-US" w:eastAsia="ko-KR"/>
        </w:rPr>
        <w:t xml:space="preserve"> </w:t>
      </w:r>
      <w:r w:rsidR="00644C1C" w:rsidRPr="00120E3F">
        <w:rPr>
          <w:rFonts w:eastAsia="Batang"/>
          <w:sz w:val="22"/>
          <w:szCs w:val="22"/>
          <w:lang w:val="en-US" w:eastAsia="ko-KR"/>
        </w:rPr>
        <w:t>two</w:t>
      </w:r>
      <w:proofErr w:type="gramEnd"/>
      <w:r w:rsidR="00644C1C" w:rsidRPr="00120E3F">
        <w:rPr>
          <w:rFonts w:eastAsia="Batang"/>
          <w:sz w:val="22"/>
          <w:szCs w:val="22"/>
          <w:lang w:val="en-US" w:eastAsia="ko-KR"/>
        </w:rPr>
        <w:t xml:space="preserve"> interfaces. While in option 2, only the resources on the Uu interface are needed. </w:t>
      </w:r>
      <w:r w:rsidR="00906C2F" w:rsidRPr="00120E3F">
        <w:rPr>
          <w:rFonts w:eastAsia="Batang"/>
          <w:sz w:val="22"/>
          <w:szCs w:val="22"/>
          <w:lang w:val="en-US" w:eastAsia="ko-KR"/>
        </w:rPr>
        <w:t xml:space="preserve">As a result, </w:t>
      </w:r>
      <w:r w:rsidR="00D6691B" w:rsidRPr="00120E3F">
        <w:rPr>
          <w:rFonts w:eastAsia="Batang"/>
          <w:sz w:val="22"/>
          <w:szCs w:val="22"/>
          <w:lang w:val="en-US" w:eastAsia="ko-KR"/>
        </w:rPr>
        <w:t xml:space="preserve">for option 2, </w:t>
      </w:r>
      <w:r w:rsidR="00906C2F" w:rsidRPr="00120E3F">
        <w:rPr>
          <w:rFonts w:eastAsia="Batang"/>
          <w:sz w:val="22"/>
          <w:szCs w:val="22"/>
          <w:lang w:val="en-US" w:eastAsia="ko-KR"/>
        </w:rPr>
        <w:t xml:space="preserve">the overhead </w:t>
      </w:r>
      <w:r w:rsidR="003235C6" w:rsidRPr="00120E3F">
        <w:rPr>
          <w:rFonts w:eastAsia="Batang"/>
          <w:sz w:val="22"/>
          <w:szCs w:val="22"/>
          <w:lang w:val="en-US" w:eastAsia="ko-KR"/>
        </w:rPr>
        <w:t xml:space="preserve">introduced by </w:t>
      </w:r>
      <w:r w:rsidR="00906C2F" w:rsidRPr="00120E3F">
        <w:rPr>
          <w:rFonts w:eastAsia="Batang"/>
          <w:sz w:val="22"/>
          <w:szCs w:val="22"/>
          <w:lang w:val="en-US" w:eastAsia="ko-KR"/>
        </w:rPr>
        <w:t>the feedback procedures to the system</w:t>
      </w:r>
      <w:r w:rsidR="00403488" w:rsidRPr="00120E3F">
        <w:rPr>
          <w:rFonts w:eastAsia="Batang"/>
          <w:sz w:val="22"/>
          <w:szCs w:val="22"/>
          <w:lang w:val="en-US" w:eastAsia="ko-KR"/>
        </w:rPr>
        <w:t xml:space="preserve"> will be smaller</w:t>
      </w:r>
      <w:r w:rsidR="00D6691B" w:rsidRPr="00120E3F">
        <w:rPr>
          <w:rFonts w:eastAsia="Batang"/>
          <w:sz w:val="22"/>
          <w:szCs w:val="22"/>
          <w:lang w:val="en-US" w:eastAsia="ko-KR"/>
        </w:rPr>
        <w:t>.</w:t>
      </w:r>
      <w:r w:rsidR="005668BB" w:rsidRPr="00120E3F">
        <w:rPr>
          <w:rFonts w:eastAsia="Batang"/>
          <w:sz w:val="22"/>
          <w:szCs w:val="22"/>
          <w:lang w:val="en-US" w:eastAsia="ko-KR"/>
        </w:rPr>
        <w:t xml:space="preserve"> </w:t>
      </w:r>
    </w:p>
    <w:p w14:paraId="5D62B3DD" w14:textId="64325F40" w:rsidR="00D6691B" w:rsidRPr="00120E3F" w:rsidRDefault="00D6691B" w:rsidP="00120E3F">
      <w:pPr>
        <w:spacing w:after="120"/>
        <w:rPr>
          <w:rFonts w:eastAsia="Batang"/>
          <w:sz w:val="22"/>
          <w:szCs w:val="22"/>
          <w:lang w:val="en-US" w:eastAsia="ko-KR"/>
        </w:rPr>
      </w:pPr>
      <w:r w:rsidRPr="00120E3F">
        <w:rPr>
          <w:rFonts w:eastAsia="Batang"/>
          <w:sz w:val="22"/>
          <w:szCs w:val="22"/>
          <w:lang w:val="en-US" w:eastAsia="ko-KR"/>
        </w:rPr>
        <w:t xml:space="preserve">One of the challenges for adopting option 2 is that the receiver UE can’t send the feedback to the gNB when it is not under the coverage. However, considering the </w:t>
      </w:r>
      <w:r w:rsidR="005668BB" w:rsidRPr="00120E3F">
        <w:rPr>
          <w:rFonts w:eastAsia="Batang"/>
          <w:sz w:val="22"/>
          <w:szCs w:val="22"/>
          <w:lang w:val="en-US" w:eastAsia="ko-KR"/>
        </w:rPr>
        <w:t xml:space="preserve">size of the proximity </w:t>
      </w:r>
      <w:r w:rsidR="00BB7E1C">
        <w:rPr>
          <w:rFonts w:eastAsia="Batang"/>
          <w:sz w:val="22"/>
          <w:szCs w:val="22"/>
          <w:lang w:val="en-US" w:eastAsia="ko-KR"/>
        </w:rPr>
        <w:t xml:space="preserve">for V2X communications </w:t>
      </w:r>
      <w:r w:rsidR="005668BB" w:rsidRPr="00120E3F">
        <w:rPr>
          <w:rFonts w:eastAsia="Batang"/>
          <w:sz w:val="22"/>
          <w:szCs w:val="22"/>
          <w:lang w:val="en-US" w:eastAsia="ko-KR"/>
        </w:rPr>
        <w:t>is usually small.</w:t>
      </w:r>
      <w:r w:rsidR="00F809D5" w:rsidRPr="00120E3F">
        <w:rPr>
          <w:rFonts w:eastAsia="Batang"/>
          <w:sz w:val="22"/>
          <w:szCs w:val="22"/>
          <w:lang w:val="en-US" w:eastAsia="ko-KR"/>
        </w:rPr>
        <w:t xml:space="preserve"> The scenario where</w:t>
      </w:r>
      <w:r w:rsidR="00FE5057" w:rsidRPr="00120E3F">
        <w:rPr>
          <w:rFonts w:eastAsia="Batang"/>
          <w:sz w:val="22"/>
          <w:szCs w:val="22"/>
          <w:lang w:val="en-US" w:eastAsia="ko-KR"/>
        </w:rPr>
        <w:t xml:space="preserve"> the</w:t>
      </w:r>
      <w:r w:rsidR="00F809D5" w:rsidRPr="00120E3F">
        <w:rPr>
          <w:rFonts w:eastAsia="Batang"/>
          <w:sz w:val="22"/>
          <w:szCs w:val="22"/>
          <w:lang w:val="en-US" w:eastAsia="ko-KR"/>
        </w:rPr>
        <w:t xml:space="preserve"> transmitter UE is under coverage while the receiver UE is not may not be a typical use case in NR V2X.</w:t>
      </w:r>
      <w:r w:rsidR="005668BB" w:rsidRPr="00120E3F">
        <w:rPr>
          <w:rFonts w:eastAsia="Batang"/>
          <w:sz w:val="22"/>
          <w:szCs w:val="22"/>
          <w:lang w:val="en-US" w:eastAsia="ko-KR"/>
        </w:rPr>
        <w:t xml:space="preserve"> </w:t>
      </w:r>
      <w:r w:rsidR="00715C74" w:rsidRPr="00120E3F">
        <w:rPr>
          <w:rFonts w:eastAsia="Batang"/>
          <w:sz w:val="22"/>
          <w:szCs w:val="22"/>
          <w:lang w:val="en-US" w:eastAsia="ko-KR"/>
        </w:rPr>
        <w:t>More typical scenarios will be</w:t>
      </w:r>
      <w:r w:rsidR="00FE5057" w:rsidRPr="00120E3F">
        <w:rPr>
          <w:rFonts w:eastAsia="Batang"/>
          <w:sz w:val="22"/>
          <w:szCs w:val="22"/>
          <w:lang w:val="en-US" w:eastAsia="ko-KR"/>
        </w:rPr>
        <w:t xml:space="preserve"> either</w:t>
      </w:r>
      <w:r w:rsidR="00715C74" w:rsidRPr="00120E3F">
        <w:rPr>
          <w:rFonts w:eastAsia="Batang"/>
          <w:sz w:val="22"/>
          <w:szCs w:val="22"/>
          <w:lang w:val="en-US" w:eastAsia="ko-KR"/>
        </w:rPr>
        <w:t xml:space="preserve"> both the transmitter UE and the</w:t>
      </w:r>
      <w:r w:rsidR="005668BB" w:rsidRPr="00120E3F">
        <w:rPr>
          <w:rFonts w:eastAsia="Batang"/>
          <w:sz w:val="22"/>
          <w:szCs w:val="22"/>
          <w:lang w:val="en-US" w:eastAsia="ko-KR"/>
        </w:rPr>
        <w:t xml:space="preserve"> </w:t>
      </w:r>
      <w:r w:rsidR="005E6C78" w:rsidRPr="00120E3F">
        <w:rPr>
          <w:rFonts w:eastAsia="Batang"/>
          <w:sz w:val="22"/>
          <w:szCs w:val="22"/>
          <w:lang w:val="en-US" w:eastAsia="ko-KR"/>
        </w:rPr>
        <w:t xml:space="preserve">receiver UE are under the coverage or </w:t>
      </w:r>
      <w:proofErr w:type="gramStart"/>
      <w:r w:rsidR="005E6C78" w:rsidRPr="00120E3F">
        <w:rPr>
          <w:rFonts w:eastAsia="Batang"/>
          <w:sz w:val="22"/>
          <w:szCs w:val="22"/>
          <w:lang w:val="en-US" w:eastAsia="ko-KR"/>
        </w:rPr>
        <w:t>both of them</w:t>
      </w:r>
      <w:proofErr w:type="gramEnd"/>
      <w:r w:rsidR="005E6C78" w:rsidRPr="00120E3F">
        <w:rPr>
          <w:rFonts w:eastAsia="Batang"/>
          <w:sz w:val="22"/>
          <w:szCs w:val="22"/>
          <w:lang w:val="en-US" w:eastAsia="ko-KR"/>
        </w:rPr>
        <w:t xml:space="preserve"> are not. </w:t>
      </w:r>
      <w:r w:rsidR="00004586" w:rsidRPr="00120E3F">
        <w:rPr>
          <w:rFonts w:eastAsia="Batang"/>
          <w:sz w:val="22"/>
          <w:szCs w:val="22"/>
          <w:lang w:val="en-US" w:eastAsia="ko-KR"/>
        </w:rPr>
        <w:t xml:space="preserve">When both the transmitter UE and the receiver UE are under the coverage, the option 2 can provide </w:t>
      </w:r>
      <w:r w:rsidR="004B7773">
        <w:rPr>
          <w:rFonts w:eastAsia="Batang"/>
          <w:sz w:val="22"/>
          <w:szCs w:val="22"/>
          <w:lang w:val="en-US" w:eastAsia="ko-KR"/>
        </w:rPr>
        <w:t>the</w:t>
      </w:r>
      <w:r w:rsidR="00004586" w:rsidRPr="00120E3F">
        <w:rPr>
          <w:rFonts w:eastAsia="Batang"/>
          <w:sz w:val="22"/>
          <w:szCs w:val="22"/>
          <w:lang w:val="en-US" w:eastAsia="ko-KR"/>
        </w:rPr>
        <w:t xml:space="preserve"> advantages</w:t>
      </w:r>
      <w:r w:rsidR="00916048" w:rsidRPr="00120E3F">
        <w:rPr>
          <w:rFonts w:eastAsia="Batang"/>
          <w:sz w:val="22"/>
          <w:szCs w:val="22"/>
          <w:lang w:val="en-US" w:eastAsia="ko-KR"/>
        </w:rPr>
        <w:t xml:space="preserve"> as discussed </w:t>
      </w:r>
      <w:r w:rsidR="004B7773">
        <w:rPr>
          <w:rFonts w:eastAsia="Batang"/>
          <w:sz w:val="22"/>
          <w:szCs w:val="22"/>
          <w:lang w:val="en-US" w:eastAsia="ko-KR"/>
        </w:rPr>
        <w:t>previously</w:t>
      </w:r>
      <w:r w:rsidR="00004586" w:rsidRPr="00120E3F">
        <w:rPr>
          <w:rFonts w:eastAsia="Batang"/>
          <w:sz w:val="22"/>
          <w:szCs w:val="22"/>
          <w:lang w:val="en-US" w:eastAsia="ko-KR"/>
        </w:rPr>
        <w:t xml:space="preserve">. Therefore, it is beneficial to </w:t>
      </w:r>
      <w:r w:rsidR="00301C24" w:rsidRPr="00120E3F">
        <w:rPr>
          <w:rFonts w:eastAsia="Batang"/>
          <w:sz w:val="22"/>
          <w:szCs w:val="22"/>
          <w:lang w:val="en-US" w:eastAsia="ko-KR"/>
        </w:rPr>
        <w:t>study and</w:t>
      </w:r>
      <w:r w:rsidR="00004586" w:rsidRPr="00120E3F">
        <w:rPr>
          <w:rFonts w:eastAsia="Batang"/>
          <w:sz w:val="22"/>
          <w:szCs w:val="22"/>
          <w:lang w:val="en-US" w:eastAsia="ko-KR"/>
        </w:rPr>
        <w:t xml:space="preserve"> support option 2 (the receiver UE sends HARQ feedback to the gNB) </w:t>
      </w:r>
      <w:r w:rsidR="00301C24" w:rsidRPr="00120E3F">
        <w:rPr>
          <w:rFonts w:eastAsia="Batang"/>
          <w:sz w:val="22"/>
          <w:szCs w:val="22"/>
          <w:lang w:val="en-US" w:eastAsia="ko-KR"/>
        </w:rPr>
        <w:t>in Rel-17.</w:t>
      </w:r>
    </w:p>
    <w:p w14:paraId="2C1A536D" w14:textId="625421E5" w:rsidR="00B0381A" w:rsidRPr="00120E3F" w:rsidRDefault="00B0381A" w:rsidP="004B7773">
      <w:pPr>
        <w:spacing w:after="120"/>
        <w:ind w:left="810" w:hanging="810"/>
        <w:rPr>
          <w:rFonts w:eastAsia="Batang"/>
          <w:b/>
          <w:i/>
          <w:sz w:val="22"/>
          <w:szCs w:val="22"/>
          <w:lang w:val="en-US" w:eastAsia="ko-KR"/>
        </w:rPr>
      </w:pPr>
      <w:r w:rsidRPr="00120E3F">
        <w:rPr>
          <w:rFonts w:eastAsia="Batang"/>
          <w:b/>
          <w:i/>
          <w:sz w:val="22"/>
          <w:szCs w:val="22"/>
          <w:lang w:val="en-US" w:eastAsia="ko-KR"/>
        </w:rPr>
        <w:t xml:space="preserve">Proposal 2: </w:t>
      </w:r>
      <w:r w:rsidR="00301C24" w:rsidRPr="00120E3F">
        <w:rPr>
          <w:rFonts w:eastAsia="Batang"/>
          <w:b/>
          <w:i/>
          <w:sz w:val="22"/>
          <w:szCs w:val="22"/>
          <w:lang w:val="en-US" w:eastAsia="ko-KR"/>
        </w:rPr>
        <w:t>It is beneficial to study and support option 2 (the receiver UE sends HARQ feedback to the gNB) in NR V2X mode-1 in Rel-17</w:t>
      </w:r>
      <w:r w:rsidR="002F4B8F" w:rsidRPr="00120E3F">
        <w:rPr>
          <w:rFonts w:eastAsia="Batang"/>
          <w:b/>
          <w:i/>
          <w:sz w:val="22"/>
          <w:szCs w:val="22"/>
          <w:lang w:val="en-US" w:eastAsia="ko-KR"/>
        </w:rPr>
        <w:t>.</w:t>
      </w:r>
    </w:p>
    <w:p w14:paraId="5B756E93" w14:textId="77777777" w:rsidR="00B373B9" w:rsidRPr="00120E3F" w:rsidRDefault="00B373B9" w:rsidP="00120E3F">
      <w:pPr>
        <w:spacing w:after="120"/>
        <w:rPr>
          <w:rFonts w:eastAsia="Batang"/>
          <w:b/>
          <w:i/>
          <w:sz w:val="22"/>
          <w:szCs w:val="22"/>
          <w:lang w:val="en-US" w:eastAsia="ko-KR"/>
        </w:rPr>
      </w:pPr>
    </w:p>
    <w:p w14:paraId="0494F9F2" w14:textId="77777777" w:rsidR="003A423C" w:rsidRPr="00120E3F" w:rsidRDefault="003A423C" w:rsidP="00120E3F">
      <w:pPr>
        <w:pStyle w:val="Heading3"/>
        <w:spacing w:after="120"/>
        <w:rPr>
          <w:rFonts w:asciiTheme="minorHAnsi" w:hAnsiTheme="minorHAnsi" w:cstheme="minorHAnsi"/>
          <w:b/>
          <w:sz w:val="22"/>
          <w:szCs w:val="22"/>
        </w:rPr>
      </w:pPr>
      <w:r w:rsidRPr="00120E3F">
        <w:rPr>
          <w:rFonts w:asciiTheme="minorHAnsi" w:hAnsiTheme="minorHAnsi" w:cstheme="minorHAnsi"/>
          <w:b/>
          <w:sz w:val="22"/>
          <w:szCs w:val="22"/>
        </w:rPr>
        <w:t>2.2 Open-loop Transmit Power Control on Sidelink</w:t>
      </w:r>
    </w:p>
    <w:p w14:paraId="62456054" w14:textId="77777777" w:rsidR="003A423C" w:rsidRPr="00120E3F" w:rsidRDefault="003A423C" w:rsidP="00120E3F">
      <w:pPr>
        <w:pStyle w:val="LGTdoc"/>
        <w:spacing w:afterLines="0" w:after="120" w:line="240" w:lineRule="auto"/>
        <w:rPr>
          <w:kern w:val="0"/>
          <w:szCs w:val="22"/>
          <w:lang w:val="en-US"/>
        </w:rPr>
      </w:pPr>
      <w:r w:rsidRPr="00120E3F">
        <w:rPr>
          <w:kern w:val="0"/>
          <w:szCs w:val="22"/>
          <w:lang w:val="en-US"/>
        </w:rPr>
        <w:t xml:space="preserve">For a TX UE in network’s coverage, it is supported that the open-loop power control may be based on the pathloss between the TX UE and gNB, which is for mitigating the interference to UL reception at gNB. Similarly, for a TX UE out of network’s coverage, mitigating the interference to other special UEs such as RSU, lead UE, </w:t>
      </w:r>
      <w:r w:rsidRPr="00120E3F">
        <w:rPr>
          <w:kern w:val="0"/>
          <w:szCs w:val="22"/>
          <w:lang w:val="en-US"/>
        </w:rPr>
        <w:lastRenderedPageBreak/>
        <w:t>synchronization source UE, scheduling UE, etc., may also be necessary. Thus, the pathloss between a TX UE and other special UEs may also be studied for the open-loop power control.</w:t>
      </w:r>
    </w:p>
    <w:p w14:paraId="1A8D55D1" w14:textId="5DE0F15A" w:rsidR="003A423C" w:rsidRPr="00120E3F" w:rsidRDefault="003A423C" w:rsidP="00120E3F">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 xml:space="preserve">Proposal 3: </w:t>
      </w:r>
      <w:r w:rsidR="004B7773">
        <w:rPr>
          <w:rFonts w:eastAsia="SimSun"/>
          <w:b/>
          <w:i/>
          <w:szCs w:val="22"/>
          <w:lang w:val="en-US" w:eastAsia="zh-CN"/>
        </w:rPr>
        <w:t>P</w:t>
      </w:r>
      <w:r w:rsidRPr="00120E3F">
        <w:rPr>
          <w:rFonts w:eastAsia="SimSun"/>
          <w:b/>
          <w:i/>
          <w:szCs w:val="22"/>
          <w:lang w:val="en-US" w:eastAsia="zh-CN"/>
        </w:rPr>
        <w:t>athloss between a TX UE and other special UE(s) may also be studied for the open-loop power control.</w:t>
      </w:r>
    </w:p>
    <w:p w14:paraId="43AD65BD" w14:textId="77777777" w:rsidR="004B7773" w:rsidRDefault="004B7773" w:rsidP="00120E3F">
      <w:pPr>
        <w:pStyle w:val="LGTdoc"/>
        <w:spacing w:afterLines="0" w:after="120" w:line="240" w:lineRule="auto"/>
        <w:rPr>
          <w:kern w:val="0"/>
          <w:szCs w:val="22"/>
          <w:lang w:val="en-US"/>
        </w:rPr>
      </w:pPr>
    </w:p>
    <w:p w14:paraId="3B21FF47" w14:textId="1689E89C" w:rsidR="003A423C" w:rsidRPr="00120E3F" w:rsidRDefault="003A423C" w:rsidP="00120E3F">
      <w:pPr>
        <w:pStyle w:val="LGTdoc"/>
        <w:spacing w:afterLines="0" w:after="120" w:line="240" w:lineRule="auto"/>
        <w:rPr>
          <w:kern w:val="0"/>
          <w:szCs w:val="22"/>
          <w:lang w:val="en-US"/>
        </w:rPr>
      </w:pPr>
      <w:r w:rsidRPr="00120E3F">
        <w:rPr>
          <w:kern w:val="0"/>
          <w:szCs w:val="22"/>
          <w:lang w:val="en-US"/>
        </w:rPr>
        <w:t xml:space="preserve">For unicast, it is supported that the open-loop power control may also be based on the pathloss between TX UE and RX UE, which ensures the required performance and limits unnecessary interference to other UEs. Likewise, adopting pathloss between TX UE and RX UEs for groupcast open-loop power control may also be beneficial for meeting performance requirements as well as limiting interference and thus improving overall sidelink system performance. However, there are multiple possible pathloss measurements between a TX UE and multiple RX UEs within a group and how to select the pathloss may be depend on different QoS requirement. For example, the pathloss selection may be based on the minimum service range. Another example, the pathloss selection may be based on the worst pathloss measurement for guaranteed performance within a group. </w:t>
      </w:r>
    </w:p>
    <w:p w14:paraId="224B2428" w14:textId="191F8ABA" w:rsidR="003A423C" w:rsidRPr="00120E3F" w:rsidRDefault="003A423C" w:rsidP="00120E3F">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Proposal 4: pathloss between TX UE and RX UE(s) may be supported for groupcast open-loop power control. How to select the pathloss needs to be studied.</w:t>
      </w:r>
    </w:p>
    <w:p w14:paraId="723280F3" w14:textId="77777777" w:rsidR="004B7773" w:rsidRDefault="004B7773" w:rsidP="00120E3F">
      <w:pPr>
        <w:spacing w:after="120"/>
        <w:rPr>
          <w:rFonts w:eastAsia="Batang"/>
          <w:sz w:val="22"/>
          <w:szCs w:val="22"/>
          <w:lang w:val="en-US" w:eastAsia="ko-KR"/>
        </w:rPr>
      </w:pPr>
    </w:p>
    <w:p w14:paraId="37B6D272" w14:textId="398D062B" w:rsidR="003A423C" w:rsidRPr="00120E3F" w:rsidRDefault="003A423C" w:rsidP="00120E3F">
      <w:pPr>
        <w:spacing w:after="120"/>
        <w:rPr>
          <w:rFonts w:eastAsia="Batang"/>
          <w:sz w:val="22"/>
          <w:szCs w:val="22"/>
          <w:lang w:val="en-US" w:eastAsia="ko-KR"/>
        </w:rPr>
      </w:pPr>
      <w:r w:rsidRPr="00120E3F">
        <w:rPr>
          <w:rFonts w:eastAsia="Batang"/>
          <w:sz w:val="22"/>
          <w:szCs w:val="22"/>
          <w:lang w:val="en-US" w:eastAsia="ko-KR"/>
        </w:rPr>
        <w:t xml:space="preserve">V2X network topology changes dynamically due to different speed and directions, therefore both pathloss compensation between TX UE and RX UE on sidelink and pathloss based interference mitigation, for example between TX UE and gNB, may be considered for open-loop transmit power control. </w:t>
      </w:r>
    </w:p>
    <w:p w14:paraId="7BB436ED" w14:textId="3E00A37F" w:rsidR="003A423C" w:rsidRPr="00120E3F" w:rsidRDefault="003A423C" w:rsidP="00120E3F">
      <w:pPr>
        <w:spacing w:after="120"/>
        <w:ind w:left="1166" w:hanging="1166"/>
        <w:rPr>
          <w:rFonts w:eastAsia="Batang"/>
          <w:sz w:val="22"/>
          <w:szCs w:val="22"/>
          <w:lang w:val="en-US" w:eastAsia="ko-KR"/>
        </w:rPr>
      </w:pPr>
      <w:r w:rsidRPr="00120E3F">
        <w:rPr>
          <w:b/>
          <w:i/>
          <w:sz w:val="22"/>
          <w:szCs w:val="22"/>
          <w:lang w:val="en-US" w:eastAsia="zh-CN"/>
        </w:rPr>
        <w:t>Proposal 5: both pathloss compensation between TX UE and RX UE on sidelink and pathloss based interference mitigation may be considered</w:t>
      </w:r>
      <w:r w:rsidR="004B7773">
        <w:rPr>
          <w:b/>
          <w:i/>
          <w:sz w:val="22"/>
          <w:szCs w:val="22"/>
          <w:lang w:val="en-US" w:eastAsia="zh-CN"/>
        </w:rPr>
        <w:t xml:space="preserve"> together</w:t>
      </w:r>
      <w:r w:rsidRPr="00120E3F">
        <w:rPr>
          <w:b/>
          <w:i/>
          <w:sz w:val="22"/>
          <w:szCs w:val="22"/>
          <w:lang w:val="en-US" w:eastAsia="zh-CN"/>
        </w:rPr>
        <w:t xml:space="preserve"> for open-loop transmit power control.</w:t>
      </w:r>
    </w:p>
    <w:p w14:paraId="2DE9AA0D" w14:textId="77777777" w:rsidR="003A423C" w:rsidRPr="00120E3F" w:rsidRDefault="003A423C" w:rsidP="00120E3F">
      <w:pPr>
        <w:spacing w:after="120"/>
        <w:rPr>
          <w:rFonts w:eastAsia="Batang"/>
          <w:sz w:val="22"/>
          <w:szCs w:val="22"/>
          <w:lang w:val="en-US" w:eastAsia="ko-KR"/>
        </w:rPr>
      </w:pPr>
    </w:p>
    <w:p w14:paraId="4BAC284B" w14:textId="08A7F188" w:rsidR="003A423C" w:rsidRPr="00120E3F" w:rsidRDefault="003A423C" w:rsidP="00120E3F">
      <w:pPr>
        <w:spacing w:after="120"/>
        <w:rPr>
          <w:rFonts w:eastAsia="Batang"/>
          <w:sz w:val="22"/>
          <w:szCs w:val="22"/>
          <w:lang w:val="en-US" w:eastAsia="ko-KR"/>
        </w:rPr>
      </w:pPr>
      <w:r w:rsidRPr="00120E3F">
        <w:rPr>
          <w:rFonts w:eastAsia="Batang"/>
          <w:sz w:val="22"/>
          <w:szCs w:val="22"/>
          <w:lang w:val="en-US" w:eastAsia="ko-KR"/>
        </w:rPr>
        <w:t>To support pathloss measurement, different signals may be considered, such as PSS/SSS or CSI-RS from gNB if TX UE is under network coverage, or sidelink S-PSS/S-SSS or sidelink CSI-RS from RX UE or other UEs if available.</w:t>
      </w:r>
    </w:p>
    <w:p w14:paraId="2692AB60" w14:textId="27BD7205" w:rsidR="003A423C" w:rsidRPr="00120E3F" w:rsidRDefault="003A423C" w:rsidP="00120E3F">
      <w:pPr>
        <w:spacing w:after="120"/>
        <w:rPr>
          <w:rFonts w:eastAsia="Batang"/>
          <w:sz w:val="22"/>
          <w:szCs w:val="22"/>
          <w:lang w:val="en-US" w:eastAsia="ko-KR"/>
        </w:rPr>
      </w:pPr>
      <w:r w:rsidRPr="00120E3F">
        <w:rPr>
          <w:b/>
          <w:i/>
          <w:sz w:val="22"/>
          <w:szCs w:val="22"/>
          <w:lang w:val="en-US" w:eastAsia="zh-CN"/>
        </w:rPr>
        <w:t>Proposal 6: reference signal(s) for pathloss measurement needs to be studied.</w:t>
      </w:r>
    </w:p>
    <w:p w14:paraId="2D4F2C86" w14:textId="77777777" w:rsidR="00B0381A" w:rsidRPr="00120E3F" w:rsidRDefault="00B0381A" w:rsidP="00120E3F">
      <w:pPr>
        <w:spacing w:after="120"/>
        <w:rPr>
          <w:rFonts w:eastAsia="Batang"/>
          <w:sz w:val="22"/>
          <w:szCs w:val="22"/>
          <w:lang w:val="en-US" w:eastAsia="ko-KR"/>
        </w:rPr>
      </w:pPr>
    </w:p>
    <w:p w14:paraId="5C10EE21" w14:textId="77777777" w:rsidR="00065F7D" w:rsidRPr="00120E3F" w:rsidRDefault="005D20F1" w:rsidP="00120E3F">
      <w:pPr>
        <w:spacing w:after="120"/>
        <w:jc w:val="both"/>
        <w:rPr>
          <w:rFonts w:ascii="Arial" w:hAnsi="Arial" w:cs="Arial"/>
          <w:b/>
          <w:sz w:val="22"/>
          <w:szCs w:val="22"/>
        </w:rPr>
      </w:pPr>
      <w:r w:rsidRPr="00120E3F">
        <w:rPr>
          <w:rFonts w:ascii="Arial" w:hAnsi="Arial" w:cs="Arial"/>
          <w:b/>
          <w:sz w:val="22"/>
          <w:szCs w:val="22"/>
        </w:rPr>
        <w:t>3. Conclusion</w:t>
      </w:r>
      <w:bookmarkStart w:id="1" w:name="_GoBack"/>
      <w:bookmarkEnd w:id="1"/>
    </w:p>
    <w:p w14:paraId="6D0A9898" w14:textId="0D652DCB" w:rsidR="005D20F1" w:rsidRPr="00120E3F" w:rsidRDefault="00065F7D" w:rsidP="00120E3F">
      <w:pPr>
        <w:spacing w:after="120"/>
        <w:jc w:val="both"/>
        <w:rPr>
          <w:rFonts w:eastAsia="Batang"/>
          <w:sz w:val="22"/>
          <w:szCs w:val="22"/>
          <w:lang w:val="en-US" w:eastAsia="ko-KR"/>
        </w:rPr>
      </w:pPr>
      <w:r w:rsidRPr="00120E3F">
        <w:rPr>
          <w:rFonts w:eastAsia="Batang"/>
          <w:sz w:val="22"/>
          <w:szCs w:val="22"/>
          <w:lang w:val="en-US" w:eastAsia="ko-KR"/>
        </w:rPr>
        <w:t xml:space="preserve">In this contribution, we discussed </w:t>
      </w:r>
      <w:r w:rsidR="00A057DC">
        <w:rPr>
          <w:rFonts w:eastAsia="Batang"/>
          <w:sz w:val="22"/>
          <w:szCs w:val="22"/>
          <w:lang w:val="en-US" w:eastAsia="ko-KR"/>
        </w:rPr>
        <w:t xml:space="preserve">sidelink procedures for HARQ and power control </w:t>
      </w:r>
      <w:r w:rsidR="00C57B73" w:rsidRPr="00120E3F">
        <w:rPr>
          <w:rFonts w:eastAsia="Batang"/>
          <w:sz w:val="22"/>
          <w:szCs w:val="22"/>
          <w:lang w:val="en-US" w:eastAsia="ko-KR"/>
        </w:rPr>
        <w:t>and</w:t>
      </w:r>
      <w:r w:rsidRPr="00120E3F">
        <w:rPr>
          <w:rFonts w:eastAsia="Batang"/>
          <w:sz w:val="22"/>
          <w:szCs w:val="22"/>
          <w:lang w:val="en-US" w:eastAsia="ko-KR"/>
        </w:rPr>
        <w:t xml:space="preserve"> </w:t>
      </w:r>
      <w:r w:rsidR="00580667" w:rsidRPr="00120E3F">
        <w:rPr>
          <w:rFonts w:eastAsia="Batang"/>
          <w:sz w:val="22"/>
          <w:szCs w:val="22"/>
          <w:lang w:val="en-US" w:eastAsia="ko-KR"/>
        </w:rPr>
        <w:t>made the following proposals</w:t>
      </w:r>
      <w:r w:rsidRPr="00120E3F">
        <w:rPr>
          <w:rFonts w:eastAsia="Batang"/>
          <w:sz w:val="22"/>
          <w:szCs w:val="22"/>
          <w:lang w:val="en-US" w:eastAsia="ko-KR"/>
        </w:rPr>
        <w:t>.</w:t>
      </w:r>
    </w:p>
    <w:p w14:paraId="191E62D3" w14:textId="77777777" w:rsidR="004B7773" w:rsidRPr="00BB7E1C" w:rsidRDefault="004B7773" w:rsidP="004B7773">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Proposal 1: Support sidelink HARQ feedback reported from the transmitter UE to the gNB to indicate the need for retransmission in NR V2X mode-1 and revoke the corresponding agreements agreed in RAN1 #96.</w:t>
      </w:r>
    </w:p>
    <w:p w14:paraId="580A4BEE" w14:textId="77777777" w:rsidR="004B7773" w:rsidRPr="00120E3F" w:rsidRDefault="004B7773" w:rsidP="004B7773">
      <w:pPr>
        <w:spacing w:after="120"/>
        <w:ind w:left="1080" w:hanging="1080"/>
        <w:rPr>
          <w:rFonts w:eastAsia="Batang"/>
          <w:b/>
          <w:i/>
          <w:sz w:val="22"/>
          <w:szCs w:val="22"/>
          <w:lang w:val="en-US" w:eastAsia="ko-KR"/>
        </w:rPr>
      </w:pPr>
      <w:r w:rsidRPr="00120E3F">
        <w:rPr>
          <w:rFonts w:eastAsia="Batang"/>
          <w:b/>
          <w:i/>
          <w:sz w:val="22"/>
          <w:szCs w:val="22"/>
          <w:lang w:val="en-US" w:eastAsia="ko-KR"/>
        </w:rPr>
        <w:t>Proposal 2: It is beneficial to study and support option 2 (the receiver UE sends HARQ feedback to the gNB) in NR V2X mode-1 in Rel-17.</w:t>
      </w:r>
    </w:p>
    <w:p w14:paraId="72825621" w14:textId="77777777" w:rsidR="004B7773" w:rsidRPr="00120E3F" w:rsidRDefault="004B7773" w:rsidP="004B7773">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 xml:space="preserve">Proposal 3: </w:t>
      </w:r>
      <w:r>
        <w:rPr>
          <w:rFonts w:eastAsia="SimSun"/>
          <w:b/>
          <w:i/>
          <w:szCs w:val="22"/>
          <w:lang w:val="en-US" w:eastAsia="zh-CN"/>
        </w:rPr>
        <w:t>P</w:t>
      </w:r>
      <w:r w:rsidRPr="00120E3F">
        <w:rPr>
          <w:rFonts w:eastAsia="SimSun"/>
          <w:b/>
          <w:i/>
          <w:szCs w:val="22"/>
          <w:lang w:val="en-US" w:eastAsia="zh-CN"/>
        </w:rPr>
        <w:t>athloss between a TX UE and other special UE(s) may also be studied for the open-loop power control.</w:t>
      </w:r>
    </w:p>
    <w:p w14:paraId="64B4EC6D" w14:textId="77777777" w:rsidR="004B7773" w:rsidRPr="00120E3F" w:rsidRDefault="004B7773" w:rsidP="004B7773">
      <w:pPr>
        <w:pStyle w:val="LGTdoc"/>
        <w:spacing w:afterLines="0" w:after="120" w:line="240" w:lineRule="auto"/>
        <w:ind w:left="1166" w:hanging="1166"/>
        <w:rPr>
          <w:rFonts w:eastAsia="SimSun"/>
          <w:b/>
          <w:i/>
          <w:szCs w:val="22"/>
          <w:lang w:val="en-US" w:eastAsia="zh-CN"/>
        </w:rPr>
      </w:pPr>
      <w:r w:rsidRPr="00120E3F">
        <w:rPr>
          <w:rFonts w:eastAsia="SimSun"/>
          <w:b/>
          <w:i/>
          <w:szCs w:val="22"/>
          <w:lang w:val="en-US" w:eastAsia="zh-CN"/>
        </w:rPr>
        <w:t>Proposal 4: pathloss between TX UE and RX UE(s) may be supported for groupcast open-loop power control. How to select the pathloss needs to be studied.</w:t>
      </w:r>
    </w:p>
    <w:p w14:paraId="06E320D9" w14:textId="77777777" w:rsidR="004B7773" w:rsidRPr="00120E3F" w:rsidRDefault="004B7773" w:rsidP="004B7773">
      <w:pPr>
        <w:spacing w:after="120"/>
        <w:ind w:left="1166" w:hanging="1166"/>
        <w:rPr>
          <w:rFonts w:eastAsia="Batang"/>
          <w:sz w:val="22"/>
          <w:szCs w:val="22"/>
          <w:lang w:val="en-US" w:eastAsia="ko-KR"/>
        </w:rPr>
      </w:pPr>
      <w:r w:rsidRPr="00120E3F">
        <w:rPr>
          <w:b/>
          <w:i/>
          <w:sz w:val="22"/>
          <w:szCs w:val="22"/>
          <w:lang w:val="en-US" w:eastAsia="zh-CN"/>
        </w:rPr>
        <w:t>Proposal 5: both pathloss compensation between TX UE and RX UE on sidelink and pathloss based interference mitigation may be considered</w:t>
      </w:r>
      <w:r>
        <w:rPr>
          <w:b/>
          <w:i/>
          <w:sz w:val="22"/>
          <w:szCs w:val="22"/>
          <w:lang w:val="en-US" w:eastAsia="zh-CN"/>
        </w:rPr>
        <w:t xml:space="preserve"> together</w:t>
      </w:r>
      <w:r w:rsidRPr="00120E3F">
        <w:rPr>
          <w:b/>
          <w:i/>
          <w:sz w:val="22"/>
          <w:szCs w:val="22"/>
          <w:lang w:val="en-US" w:eastAsia="zh-CN"/>
        </w:rPr>
        <w:t xml:space="preserve"> for open-loop transmit power control.</w:t>
      </w:r>
    </w:p>
    <w:p w14:paraId="280C3D66" w14:textId="77777777" w:rsidR="004B7773" w:rsidRPr="00120E3F" w:rsidRDefault="004B7773" w:rsidP="004B7773">
      <w:pPr>
        <w:spacing w:after="120"/>
        <w:rPr>
          <w:rFonts w:eastAsia="Batang"/>
          <w:sz w:val="22"/>
          <w:szCs w:val="22"/>
          <w:lang w:val="en-US" w:eastAsia="ko-KR"/>
        </w:rPr>
      </w:pPr>
      <w:r w:rsidRPr="00120E3F">
        <w:rPr>
          <w:b/>
          <w:i/>
          <w:sz w:val="22"/>
          <w:szCs w:val="22"/>
          <w:lang w:val="en-US" w:eastAsia="zh-CN"/>
        </w:rPr>
        <w:t>Proposal 6: reference signal(s) for pathloss measurement needs to be studied.</w:t>
      </w:r>
    </w:p>
    <w:p w14:paraId="1DC65388" w14:textId="6612F020" w:rsidR="00245C69" w:rsidRPr="00120E3F" w:rsidRDefault="00245C69" w:rsidP="00120E3F">
      <w:pPr>
        <w:spacing w:after="120"/>
        <w:rPr>
          <w:rFonts w:eastAsia="Batang"/>
          <w:b/>
          <w:i/>
          <w:sz w:val="22"/>
          <w:szCs w:val="22"/>
          <w:lang w:val="en-US" w:eastAsia="ko-KR"/>
        </w:rPr>
      </w:pPr>
    </w:p>
    <w:p w14:paraId="6DBE2B41" w14:textId="77777777" w:rsidR="005D20F1" w:rsidRPr="00120E3F" w:rsidRDefault="005D20F1" w:rsidP="00120E3F">
      <w:pPr>
        <w:spacing w:after="120"/>
        <w:jc w:val="both"/>
        <w:rPr>
          <w:rFonts w:ascii="Arial" w:hAnsi="Arial" w:cs="Arial"/>
          <w:b/>
          <w:sz w:val="22"/>
          <w:szCs w:val="22"/>
        </w:rPr>
      </w:pPr>
      <w:r w:rsidRPr="00120E3F">
        <w:rPr>
          <w:rFonts w:ascii="Arial" w:hAnsi="Arial" w:cs="Arial"/>
          <w:b/>
          <w:sz w:val="22"/>
          <w:szCs w:val="22"/>
        </w:rPr>
        <w:t>4. References</w:t>
      </w:r>
    </w:p>
    <w:p w14:paraId="1BEF1EBF" w14:textId="77777777" w:rsidR="00770E80" w:rsidRPr="00120E3F" w:rsidRDefault="00770E80" w:rsidP="00120E3F">
      <w:pPr>
        <w:pStyle w:val="iReference"/>
        <w:numPr>
          <w:ilvl w:val="0"/>
          <w:numId w:val="17"/>
        </w:numPr>
        <w:spacing w:before="0" w:after="120"/>
        <w:jc w:val="both"/>
        <w:rPr>
          <w:sz w:val="22"/>
          <w:szCs w:val="22"/>
        </w:rPr>
      </w:pPr>
      <w:bookmarkStart w:id="2" w:name="_Ref5017355"/>
      <w:bookmarkStart w:id="3" w:name="_Ref957942"/>
      <w:bookmarkStart w:id="4" w:name="_Ref449465801"/>
      <w:bookmarkStart w:id="5" w:name="_Ref471288964"/>
      <w:bookmarkStart w:id="6" w:name="_Ref494709157"/>
      <w:bookmarkStart w:id="7" w:name="_Ref493771047"/>
      <w:bookmarkStart w:id="8" w:name="_Ref494712756"/>
      <w:r w:rsidRPr="00120E3F">
        <w:rPr>
          <w:rFonts w:ascii="Times New Roman" w:hAnsi="Times New Roman" w:cs="Times New Roman"/>
          <w:sz w:val="22"/>
          <w:szCs w:val="22"/>
        </w:rPr>
        <w:t>Chairman Notes, TSG RAN WG1 RAN1 #96, Athens, Greece, February 2019</w:t>
      </w:r>
      <w:bookmarkEnd w:id="2"/>
      <w:r w:rsidRPr="00120E3F">
        <w:rPr>
          <w:sz w:val="22"/>
          <w:szCs w:val="22"/>
        </w:rPr>
        <w:t xml:space="preserve"> </w:t>
      </w:r>
    </w:p>
    <w:p w14:paraId="24C7345F" w14:textId="058D2304" w:rsidR="00E36916" w:rsidRPr="00A057DC" w:rsidRDefault="00835027" w:rsidP="00A057DC">
      <w:pPr>
        <w:pStyle w:val="iReference"/>
        <w:numPr>
          <w:ilvl w:val="0"/>
          <w:numId w:val="17"/>
        </w:numPr>
        <w:spacing w:before="0" w:after="120"/>
        <w:jc w:val="both"/>
        <w:rPr>
          <w:rFonts w:ascii="Times New Roman" w:hAnsi="Times New Roman" w:cs="Times New Roman"/>
          <w:sz w:val="22"/>
          <w:szCs w:val="22"/>
        </w:rPr>
      </w:pPr>
      <w:bookmarkStart w:id="9" w:name="_Ref7682323"/>
      <w:r w:rsidRPr="00120E3F">
        <w:rPr>
          <w:rFonts w:ascii="Times New Roman" w:hAnsi="Times New Roman" w:cs="Times New Roman"/>
          <w:sz w:val="22"/>
          <w:szCs w:val="22"/>
        </w:rPr>
        <w:t>Chairman Notes, TSG RAN WG1 RAN1 #9</w:t>
      </w:r>
      <w:r w:rsidR="00770E80" w:rsidRPr="00120E3F">
        <w:rPr>
          <w:rFonts w:ascii="Times New Roman" w:hAnsi="Times New Roman" w:cs="Times New Roman"/>
          <w:sz w:val="22"/>
          <w:szCs w:val="22"/>
        </w:rPr>
        <w:t>6b</w:t>
      </w:r>
      <w:r w:rsidRPr="00120E3F">
        <w:rPr>
          <w:rFonts w:ascii="Times New Roman" w:hAnsi="Times New Roman" w:cs="Times New Roman"/>
          <w:sz w:val="22"/>
          <w:szCs w:val="22"/>
        </w:rPr>
        <w:t xml:space="preserve">, </w:t>
      </w:r>
      <w:r w:rsidR="00770E80" w:rsidRPr="00120E3F">
        <w:rPr>
          <w:rFonts w:ascii="Times New Roman" w:hAnsi="Times New Roman" w:cs="Times New Roman"/>
          <w:sz w:val="22"/>
          <w:szCs w:val="22"/>
        </w:rPr>
        <w:t>Xi’an</w:t>
      </w:r>
      <w:r w:rsidRPr="00120E3F">
        <w:rPr>
          <w:rFonts w:ascii="Times New Roman" w:hAnsi="Times New Roman" w:cs="Times New Roman"/>
          <w:sz w:val="22"/>
          <w:szCs w:val="22"/>
        </w:rPr>
        <w:t xml:space="preserve">, </w:t>
      </w:r>
      <w:r w:rsidR="00770E80" w:rsidRPr="00120E3F">
        <w:rPr>
          <w:rFonts w:ascii="Times New Roman" w:hAnsi="Times New Roman" w:cs="Times New Roman"/>
          <w:sz w:val="22"/>
          <w:szCs w:val="22"/>
        </w:rPr>
        <w:t>China</w:t>
      </w:r>
      <w:r w:rsidRPr="00120E3F">
        <w:rPr>
          <w:rFonts w:ascii="Times New Roman" w:hAnsi="Times New Roman" w:cs="Times New Roman"/>
          <w:sz w:val="22"/>
          <w:szCs w:val="22"/>
        </w:rPr>
        <w:t xml:space="preserve">, </w:t>
      </w:r>
      <w:r w:rsidR="00770E80" w:rsidRPr="00120E3F">
        <w:rPr>
          <w:rFonts w:ascii="Times New Roman" w:hAnsi="Times New Roman" w:cs="Times New Roman"/>
          <w:sz w:val="22"/>
          <w:szCs w:val="22"/>
        </w:rPr>
        <w:t>May</w:t>
      </w:r>
      <w:r w:rsidRPr="00120E3F">
        <w:rPr>
          <w:rFonts w:ascii="Times New Roman" w:hAnsi="Times New Roman" w:cs="Times New Roman"/>
          <w:sz w:val="22"/>
          <w:szCs w:val="22"/>
        </w:rPr>
        <w:t xml:space="preserve"> 2019</w:t>
      </w:r>
      <w:bookmarkEnd w:id="9"/>
      <w:bookmarkEnd w:id="3"/>
      <w:bookmarkEnd w:id="4"/>
      <w:bookmarkEnd w:id="5"/>
      <w:bookmarkEnd w:id="6"/>
      <w:bookmarkEnd w:id="7"/>
      <w:bookmarkEnd w:id="8"/>
    </w:p>
    <w:sectPr w:rsidR="00E36916" w:rsidRPr="00A057DC">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2DFAE" w14:textId="77777777" w:rsidR="00EC197F" w:rsidRDefault="00EC197F">
      <w:r>
        <w:separator/>
      </w:r>
    </w:p>
  </w:endnote>
  <w:endnote w:type="continuationSeparator" w:id="0">
    <w:p w14:paraId="4CBD51F1" w14:textId="77777777" w:rsidR="00EC197F" w:rsidRDefault="00EC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7403A03" w:rsidR="00EC197F" w:rsidRDefault="00EC197F">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6BAAE4CC" w14:textId="77777777" w:rsidR="00EC197F" w:rsidRDefault="00EC1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5617B422" w:rsidR="00EC197F" w:rsidRDefault="00EC197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C197F" w:rsidRDefault="00EC1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CB40D" w14:textId="77777777" w:rsidR="00EC197F" w:rsidRDefault="00EC197F">
      <w:r>
        <w:separator/>
      </w:r>
    </w:p>
  </w:footnote>
  <w:footnote w:type="continuationSeparator" w:id="0">
    <w:p w14:paraId="4A6346D0" w14:textId="77777777" w:rsidR="00EC197F" w:rsidRDefault="00EC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87D22"/>
    <w:multiLevelType w:val="multilevel"/>
    <w:tmpl w:val="D018B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89223B"/>
    <w:multiLevelType w:val="hybridMultilevel"/>
    <w:tmpl w:val="522A7506"/>
    <w:lvl w:ilvl="0" w:tplc="0972D288">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756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3A34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FD0995"/>
    <w:multiLevelType w:val="hybridMultilevel"/>
    <w:tmpl w:val="EE5CDA1C"/>
    <w:lvl w:ilvl="0" w:tplc="1EC4CD4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3"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6"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14"/>
  </w:num>
  <w:num w:numId="4">
    <w:abstractNumId w:val="6"/>
  </w:num>
  <w:num w:numId="5">
    <w:abstractNumId w:val="3"/>
  </w:num>
  <w:num w:numId="6">
    <w:abstractNumId w:val="32"/>
  </w:num>
  <w:num w:numId="7">
    <w:abstractNumId w:val="36"/>
  </w:num>
  <w:num w:numId="8">
    <w:abstractNumId w:val="10"/>
  </w:num>
  <w:num w:numId="9">
    <w:abstractNumId w:val="4"/>
  </w:num>
  <w:num w:numId="10">
    <w:abstractNumId w:val="18"/>
  </w:num>
  <w:num w:numId="11">
    <w:abstractNumId w:val="15"/>
  </w:num>
  <w:num w:numId="12">
    <w:abstractNumId w:val="17"/>
  </w:num>
  <w:num w:numId="13">
    <w:abstractNumId w:val="21"/>
  </w:num>
  <w:num w:numId="14">
    <w:abstractNumId w:val="27"/>
  </w:num>
  <w:num w:numId="15">
    <w:abstractNumId w:val="0"/>
  </w:num>
  <w:num w:numId="16">
    <w:abstractNumId w:val="25"/>
  </w:num>
  <w:num w:numId="17">
    <w:abstractNumId w:val="1"/>
  </w:num>
  <w:num w:numId="18">
    <w:abstractNumId w:val="5"/>
  </w:num>
  <w:num w:numId="19">
    <w:abstractNumId w:val="35"/>
  </w:num>
  <w:num w:numId="20">
    <w:abstractNumId w:val="28"/>
  </w:num>
  <w:num w:numId="21">
    <w:abstractNumId w:val="7"/>
  </w:num>
  <w:num w:numId="22">
    <w:abstractNumId w:val="8"/>
  </w:num>
  <w:num w:numId="23">
    <w:abstractNumId w:val="13"/>
  </w:num>
  <w:num w:numId="24">
    <w:abstractNumId w:val="23"/>
  </w:num>
  <w:num w:numId="25">
    <w:abstractNumId w:val="33"/>
  </w:num>
  <w:num w:numId="26">
    <w:abstractNumId w:val="20"/>
  </w:num>
  <w:num w:numId="27">
    <w:abstractNumId w:val="30"/>
  </w:num>
  <w:num w:numId="28">
    <w:abstractNumId w:val="19"/>
  </w:num>
  <w:num w:numId="29">
    <w:abstractNumId w:val="16"/>
  </w:num>
  <w:num w:numId="30">
    <w:abstractNumId w:val="26"/>
  </w:num>
  <w:num w:numId="31">
    <w:abstractNumId w:val="2"/>
  </w:num>
  <w:num w:numId="32">
    <w:abstractNumId w:val="12"/>
  </w:num>
  <w:num w:numId="33">
    <w:abstractNumId w:val="12"/>
    <w:lvlOverride w:ilvl="1">
      <w:lvl w:ilvl="1">
        <w:numFmt w:val="bullet"/>
        <w:lvlText w:val=""/>
        <w:lvlJc w:val="left"/>
        <w:pPr>
          <w:tabs>
            <w:tab w:val="num" w:pos="1440"/>
          </w:tabs>
          <w:ind w:left="1440" w:hanging="360"/>
        </w:pPr>
        <w:rPr>
          <w:rFonts w:ascii="Symbol" w:hAnsi="Symbol" w:hint="default"/>
          <w:sz w:val="20"/>
        </w:rPr>
      </w:lvl>
    </w:lvlOverride>
  </w:num>
  <w:num w:numId="34">
    <w:abstractNumId w:val="31"/>
  </w:num>
  <w:num w:numId="35">
    <w:abstractNumId w:val="34"/>
  </w:num>
  <w:num w:numId="36">
    <w:abstractNumId w:val="11"/>
  </w:num>
  <w:num w:numId="37">
    <w:abstractNumId w:val="37"/>
  </w:num>
  <w:num w:numId="38">
    <w:abstractNumId w:val="9"/>
  </w:num>
  <w:num w:numId="3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639"/>
    <w:rsid w:val="00004586"/>
    <w:rsid w:val="0000527F"/>
    <w:rsid w:val="000104C8"/>
    <w:rsid w:val="00012134"/>
    <w:rsid w:val="0001366B"/>
    <w:rsid w:val="00022E5D"/>
    <w:rsid w:val="000319FD"/>
    <w:rsid w:val="000466A0"/>
    <w:rsid w:val="00053E0E"/>
    <w:rsid w:val="00054650"/>
    <w:rsid w:val="000550E1"/>
    <w:rsid w:val="0005577C"/>
    <w:rsid w:val="0006095E"/>
    <w:rsid w:val="00062DF5"/>
    <w:rsid w:val="00065F7D"/>
    <w:rsid w:val="00066B51"/>
    <w:rsid w:val="000674FE"/>
    <w:rsid w:val="00073F85"/>
    <w:rsid w:val="00082D41"/>
    <w:rsid w:val="00091003"/>
    <w:rsid w:val="000950C5"/>
    <w:rsid w:val="000955F8"/>
    <w:rsid w:val="000A26C4"/>
    <w:rsid w:val="000B3FB5"/>
    <w:rsid w:val="000C40EF"/>
    <w:rsid w:val="000D00F4"/>
    <w:rsid w:val="000D27A6"/>
    <w:rsid w:val="000D37D3"/>
    <w:rsid w:val="000F2AFF"/>
    <w:rsid w:val="000F421F"/>
    <w:rsid w:val="00101070"/>
    <w:rsid w:val="00120E3F"/>
    <w:rsid w:val="00134AD2"/>
    <w:rsid w:val="0013672F"/>
    <w:rsid w:val="00140681"/>
    <w:rsid w:val="00153B57"/>
    <w:rsid w:val="00162CBC"/>
    <w:rsid w:val="00170C80"/>
    <w:rsid w:val="00172677"/>
    <w:rsid w:val="00185133"/>
    <w:rsid w:val="00185E0F"/>
    <w:rsid w:val="00187541"/>
    <w:rsid w:val="001A5BE4"/>
    <w:rsid w:val="001B03EA"/>
    <w:rsid w:val="001B2C52"/>
    <w:rsid w:val="001C3709"/>
    <w:rsid w:val="001E18D6"/>
    <w:rsid w:val="001E3155"/>
    <w:rsid w:val="001E3B88"/>
    <w:rsid w:val="001F4117"/>
    <w:rsid w:val="002119E3"/>
    <w:rsid w:val="0021262E"/>
    <w:rsid w:val="00214FB9"/>
    <w:rsid w:val="00231627"/>
    <w:rsid w:val="00231AEA"/>
    <w:rsid w:val="002372D7"/>
    <w:rsid w:val="00245C69"/>
    <w:rsid w:val="0025363F"/>
    <w:rsid w:val="00253A98"/>
    <w:rsid w:val="00263E95"/>
    <w:rsid w:val="00266C98"/>
    <w:rsid w:val="00275989"/>
    <w:rsid w:val="002B3C03"/>
    <w:rsid w:val="002B4189"/>
    <w:rsid w:val="002B728D"/>
    <w:rsid w:val="002B7848"/>
    <w:rsid w:val="002D40BC"/>
    <w:rsid w:val="002F2400"/>
    <w:rsid w:val="002F2971"/>
    <w:rsid w:val="002F4A9B"/>
    <w:rsid w:val="002F4B8F"/>
    <w:rsid w:val="00301C24"/>
    <w:rsid w:val="00311110"/>
    <w:rsid w:val="00313332"/>
    <w:rsid w:val="00322338"/>
    <w:rsid w:val="003235C6"/>
    <w:rsid w:val="003252F1"/>
    <w:rsid w:val="00335638"/>
    <w:rsid w:val="00342A22"/>
    <w:rsid w:val="0034698C"/>
    <w:rsid w:val="0034759F"/>
    <w:rsid w:val="00352982"/>
    <w:rsid w:val="003567E2"/>
    <w:rsid w:val="00377439"/>
    <w:rsid w:val="003A3C9C"/>
    <w:rsid w:val="003A423C"/>
    <w:rsid w:val="003B6C54"/>
    <w:rsid w:val="003C6CD9"/>
    <w:rsid w:val="003D77C4"/>
    <w:rsid w:val="003E1C7C"/>
    <w:rsid w:val="003E3C09"/>
    <w:rsid w:val="003F4847"/>
    <w:rsid w:val="00403488"/>
    <w:rsid w:val="0040602C"/>
    <w:rsid w:val="004214CF"/>
    <w:rsid w:val="004224C0"/>
    <w:rsid w:val="00424E3F"/>
    <w:rsid w:val="00427F95"/>
    <w:rsid w:val="00431779"/>
    <w:rsid w:val="0043276F"/>
    <w:rsid w:val="004453C1"/>
    <w:rsid w:val="00447234"/>
    <w:rsid w:val="004607C3"/>
    <w:rsid w:val="004778AF"/>
    <w:rsid w:val="00482389"/>
    <w:rsid w:val="004835C7"/>
    <w:rsid w:val="00483A74"/>
    <w:rsid w:val="00485C27"/>
    <w:rsid w:val="0049521A"/>
    <w:rsid w:val="004A3FAE"/>
    <w:rsid w:val="004B3B97"/>
    <w:rsid w:val="004B547B"/>
    <w:rsid w:val="004B7773"/>
    <w:rsid w:val="004C301F"/>
    <w:rsid w:val="004C38CC"/>
    <w:rsid w:val="004D6A99"/>
    <w:rsid w:val="004E2930"/>
    <w:rsid w:val="004E2EEE"/>
    <w:rsid w:val="004E4886"/>
    <w:rsid w:val="004E6528"/>
    <w:rsid w:val="005072FC"/>
    <w:rsid w:val="00517719"/>
    <w:rsid w:val="0053076A"/>
    <w:rsid w:val="00536357"/>
    <w:rsid w:val="00546B64"/>
    <w:rsid w:val="00554B42"/>
    <w:rsid w:val="00554E84"/>
    <w:rsid w:val="00557B02"/>
    <w:rsid w:val="005668BB"/>
    <w:rsid w:val="00570178"/>
    <w:rsid w:val="00580667"/>
    <w:rsid w:val="00591A33"/>
    <w:rsid w:val="005A05BE"/>
    <w:rsid w:val="005A1FAE"/>
    <w:rsid w:val="005A2572"/>
    <w:rsid w:val="005A43FF"/>
    <w:rsid w:val="005A772F"/>
    <w:rsid w:val="005B2076"/>
    <w:rsid w:val="005B28BD"/>
    <w:rsid w:val="005B3314"/>
    <w:rsid w:val="005B4701"/>
    <w:rsid w:val="005C1613"/>
    <w:rsid w:val="005C1E01"/>
    <w:rsid w:val="005C3384"/>
    <w:rsid w:val="005D0334"/>
    <w:rsid w:val="005D20F1"/>
    <w:rsid w:val="005D2D51"/>
    <w:rsid w:val="005D4BE2"/>
    <w:rsid w:val="005E1B36"/>
    <w:rsid w:val="005E6C78"/>
    <w:rsid w:val="005E7B83"/>
    <w:rsid w:val="005F2C48"/>
    <w:rsid w:val="005F318B"/>
    <w:rsid w:val="00602F21"/>
    <w:rsid w:val="006139E3"/>
    <w:rsid w:val="0061417F"/>
    <w:rsid w:val="00614D21"/>
    <w:rsid w:val="006204C2"/>
    <w:rsid w:val="00621054"/>
    <w:rsid w:val="0062449A"/>
    <w:rsid w:val="00644C1C"/>
    <w:rsid w:val="00645A3D"/>
    <w:rsid w:val="0064615E"/>
    <w:rsid w:val="00665941"/>
    <w:rsid w:val="006733DB"/>
    <w:rsid w:val="006758DE"/>
    <w:rsid w:val="00677A39"/>
    <w:rsid w:val="0069390B"/>
    <w:rsid w:val="00695505"/>
    <w:rsid w:val="006B1113"/>
    <w:rsid w:val="006B6D77"/>
    <w:rsid w:val="006C7938"/>
    <w:rsid w:val="006E4D85"/>
    <w:rsid w:val="006F55A6"/>
    <w:rsid w:val="006F73F9"/>
    <w:rsid w:val="00715C74"/>
    <w:rsid w:val="00715EF9"/>
    <w:rsid w:val="0072141F"/>
    <w:rsid w:val="00721DA7"/>
    <w:rsid w:val="00724391"/>
    <w:rsid w:val="00727C17"/>
    <w:rsid w:val="007371AC"/>
    <w:rsid w:val="0075483A"/>
    <w:rsid w:val="00770E80"/>
    <w:rsid w:val="00790C82"/>
    <w:rsid w:val="00795985"/>
    <w:rsid w:val="0079648D"/>
    <w:rsid w:val="00797CEF"/>
    <w:rsid w:val="007A11D7"/>
    <w:rsid w:val="007A3330"/>
    <w:rsid w:val="007B2090"/>
    <w:rsid w:val="007B5072"/>
    <w:rsid w:val="007C6943"/>
    <w:rsid w:val="007D0839"/>
    <w:rsid w:val="007E386C"/>
    <w:rsid w:val="007E3CA1"/>
    <w:rsid w:val="00801B7D"/>
    <w:rsid w:val="00804AC2"/>
    <w:rsid w:val="008127C1"/>
    <w:rsid w:val="008254B6"/>
    <w:rsid w:val="00832094"/>
    <w:rsid w:val="00832819"/>
    <w:rsid w:val="00833404"/>
    <w:rsid w:val="00834051"/>
    <w:rsid w:val="00835027"/>
    <w:rsid w:val="00837728"/>
    <w:rsid w:val="00842B97"/>
    <w:rsid w:val="00844F96"/>
    <w:rsid w:val="00851F7B"/>
    <w:rsid w:val="00861449"/>
    <w:rsid w:val="00876989"/>
    <w:rsid w:val="008873A5"/>
    <w:rsid w:val="008911D1"/>
    <w:rsid w:val="0089215D"/>
    <w:rsid w:val="008A2089"/>
    <w:rsid w:val="008B2885"/>
    <w:rsid w:val="008C1CCF"/>
    <w:rsid w:val="008C3773"/>
    <w:rsid w:val="008D4CEC"/>
    <w:rsid w:val="008E4BDE"/>
    <w:rsid w:val="008E7AFE"/>
    <w:rsid w:val="00906C2F"/>
    <w:rsid w:val="00914FD3"/>
    <w:rsid w:val="00916048"/>
    <w:rsid w:val="00940ED3"/>
    <w:rsid w:val="00946429"/>
    <w:rsid w:val="0095582D"/>
    <w:rsid w:val="00957C45"/>
    <w:rsid w:val="00980D88"/>
    <w:rsid w:val="009962C7"/>
    <w:rsid w:val="009A4F65"/>
    <w:rsid w:val="009B2E97"/>
    <w:rsid w:val="009C552F"/>
    <w:rsid w:val="009D5348"/>
    <w:rsid w:val="009E1249"/>
    <w:rsid w:val="009F3B65"/>
    <w:rsid w:val="009F3BAD"/>
    <w:rsid w:val="00A057DC"/>
    <w:rsid w:val="00A16971"/>
    <w:rsid w:val="00A2299C"/>
    <w:rsid w:val="00A23578"/>
    <w:rsid w:val="00A23793"/>
    <w:rsid w:val="00A237E1"/>
    <w:rsid w:val="00A361F7"/>
    <w:rsid w:val="00A37822"/>
    <w:rsid w:val="00A46CBA"/>
    <w:rsid w:val="00A50949"/>
    <w:rsid w:val="00A52DA3"/>
    <w:rsid w:val="00A55592"/>
    <w:rsid w:val="00A64D4F"/>
    <w:rsid w:val="00A83382"/>
    <w:rsid w:val="00A84753"/>
    <w:rsid w:val="00A91310"/>
    <w:rsid w:val="00A921DF"/>
    <w:rsid w:val="00A92725"/>
    <w:rsid w:val="00A929B7"/>
    <w:rsid w:val="00A97A32"/>
    <w:rsid w:val="00A97DE8"/>
    <w:rsid w:val="00AA39C3"/>
    <w:rsid w:val="00AB36E6"/>
    <w:rsid w:val="00AB4813"/>
    <w:rsid w:val="00AC547D"/>
    <w:rsid w:val="00AE1547"/>
    <w:rsid w:val="00AE4A3B"/>
    <w:rsid w:val="00AF0FC0"/>
    <w:rsid w:val="00B0381A"/>
    <w:rsid w:val="00B0429F"/>
    <w:rsid w:val="00B15573"/>
    <w:rsid w:val="00B2125D"/>
    <w:rsid w:val="00B243A9"/>
    <w:rsid w:val="00B25943"/>
    <w:rsid w:val="00B25D14"/>
    <w:rsid w:val="00B329B4"/>
    <w:rsid w:val="00B373B9"/>
    <w:rsid w:val="00B66277"/>
    <w:rsid w:val="00B67BB0"/>
    <w:rsid w:val="00B71CC9"/>
    <w:rsid w:val="00B77F6C"/>
    <w:rsid w:val="00B81A88"/>
    <w:rsid w:val="00B87ADF"/>
    <w:rsid w:val="00B91EAF"/>
    <w:rsid w:val="00B94E45"/>
    <w:rsid w:val="00BA2E58"/>
    <w:rsid w:val="00BA4C37"/>
    <w:rsid w:val="00BA784D"/>
    <w:rsid w:val="00BB5E8F"/>
    <w:rsid w:val="00BB7E1C"/>
    <w:rsid w:val="00BE169E"/>
    <w:rsid w:val="00BE67A0"/>
    <w:rsid w:val="00BF5373"/>
    <w:rsid w:val="00C10497"/>
    <w:rsid w:val="00C15795"/>
    <w:rsid w:val="00C43C21"/>
    <w:rsid w:val="00C5571A"/>
    <w:rsid w:val="00C57B73"/>
    <w:rsid w:val="00C71D9A"/>
    <w:rsid w:val="00C71F3C"/>
    <w:rsid w:val="00C946E7"/>
    <w:rsid w:val="00CA2985"/>
    <w:rsid w:val="00CA63AC"/>
    <w:rsid w:val="00CD0EC6"/>
    <w:rsid w:val="00CD77C0"/>
    <w:rsid w:val="00CE051E"/>
    <w:rsid w:val="00CE3A48"/>
    <w:rsid w:val="00CE53BA"/>
    <w:rsid w:val="00CE58D7"/>
    <w:rsid w:val="00D0058D"/>
    <w:rsid w:val="00D011A3"/>
    <w:rsid w:val="00D10DF3"/>
    <w:rsid w:val="00D16F81"/>
    <w:rsid w:val="00D224B7"/>
    <w:rsid w:val="00D225BD"/>
    <w:rsid w:val="00D22657"/>
    <w:rsid w:val="00D24F67"/>
    <w:rsid w:val="00D26F3E"/>
    <w:rsid w:val="00D303B9"/>
    <w:rsid w:val="00D37558"/>
    <w:rsid w:val="00D649A6"/>
    <w:rsid w:val="00D6552D"/>
    <w:rsid w:val="00D6691B"/>
    <w:rsid w:val="00D8210A"/>
    <w:rsid w:val="00D84FF1"/>
    <w:rsid w:val="00D86BCC"/>
    <w:rsid w:val="00D90ABB"/>
    <w:rsid w:val="00D92C9C"/>
    <w:rsid w:val="00DA1039"/>
    <w:rsid w:val="00DB15C1"/>
    <w:rsid w:val="00DC044B"/>
    <w:rsid w:val="00DC4457"/>
    <w:rsid w:val="00DD63B9"/>
    <w:rsid w:val="00DE2279"/>
    <w:rsid w:val="00DF24E8"/>
    <w:rsid w:val="00E0498C"/>
    <w:rsid w:val="00E31EB1"/>
    <w:rsid w:val="00E32CE7"/>
    <w:rsid w:val="00E34FE4"/>
    <w:rsid w:val="00E36916"/>
    <w:rsid w:val="00E44CC6"/>
    <w:rsid w:val="00E51B20"/>
    <w:rsid w:val="00E61CDA"/>
    <w:rsid w:val="00E80548"/>
    <w:rsid w:val="00E8262A"/>
    <w:rsid w:val="00E85DED"/>
    <w:rsid w:val="00EA29BE"/>
    <w:rsid w:val="00EA50F2"/>
    <w:rsid w:val="00EA5108"/>
    <w:rsid w:val="00EB7CDB"/>
    <w:rsid w:val="00EC197F"/>
    <w:rsid w:val="00ED218B"/>
    <w:rsid w:val="00ED2F30"/>
    <w:rsid w:val="00EF1127"/>
    <w:rsid w:val="00EF142E"/>
    <w:rsid w:val="00EF4360"/>
    <w:rsid w:val="00F01FB9"/>
    <w:rsid w:val="00F04F45"/>
    <w:rsid w:val="00F1023C"/>
    <w:rsid w:val="00F34A34"/>
    <w:rsid w:val="00F35FDC"/>
    <w:rsid w:val="00F44FBF"/>
    <w:rsid w:val="00F6026A"/>
    <w:rsid w:val="00F61E44"/>
    <w:rsid w:val="00F72B40"/>
    <w:rsid w:val="00F80282"/>
    <w:rsid w:val="00F809D5"/>
    <w:rsid w:val="00F87D63"/>
    <w:rsid w:val="00FB22DE"/>
    <w:rsid w:val="00FB71E8"/>
    <w:rsid w:val="00FC0AF0"/>
    <w:rsid w:val="00FC1337"/>
    <w:rsid w:val="00FC73F7"/>
    <w:rsid w:val="00FD3503"/>
    <w:rsid w:val="00FD58A3"/>
    <w:rsid w:val="00FE5057"/>
    <w:rsid w:val="00FE5698"/>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8873A5"/>
    <w:pPr>
      <w:keepNext/>
      <w:numPr>
        <w:numId w:val="27"/>
      </w:numPr>
      <w:spacing w:after="240"/>
      <w:ind w:left="360" w:right="288"/>
      <w:outlineLvl w:val="0"/>
    </w:pPr>
    <w:rPr>
      <w:rFonts w:ascii="Arial" w:hAnsi="Arial"/>
      <w:b/>
      <w:sz w:val="24"/>
    </w:rPr>
  </w:style>
  <w:style w:type="paragraph" w:styleId="Heading2">
    <w:name w:val="heading 2"/>
    <w:aliases w:val="H2,h2"/>
    <w:basedOn w:val="Normal"/>
    <w:next w:val="Normal"/>
    <w:qFormat/>
    <w:rsid w:val="008873A5"/>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paragraph" w:styleId="NormalWeb">
    <w:name w:val="Normal (Web)"/>
    <w:basedOn w:val="Normal"/>
    <w:uiPriority w:val="99"/>
    <w:semiHidden/>
    <w:unhideWhenUsed/>
    <w:rsid w:val="00A50949"/>
    <w:pPr>
      <w:spacing w:before="100" w:beforeAutospacing="1" w:after="100" w:afterAutospacing="1"/>
    </w:pPr>
    <w:rPr>
      <w:sz w:val="24"/>
      <w:szCs w:val="24"/>
      <w:lang w:val="en-US"/>
    </w:rPr>
  </w:style>
  <w:style w:type="paragraph" w:customStyle="1" w:styleId="LGTdoc">
    <w:name w:val="LGTdoc_본문"/>
    <w:basedOn w:val="Normal"/>
    <w:link w:val="LGTdocChar"/>
    <w:qFormat/>
    <w:rsid w:val="00185E0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185E0F"/>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364063557">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1F078C-A8CB-4F67-A24F-B94ED0C9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Qing Li</cp:lastModifiedBy>
  <cp:revision>2</cp:revision>
  <cp:lastPrinted>2002-04-23T07:10:00Z</cp:lastPrinted>
  <dcterms:created xsi:type="dcterms:W3CDTF">2019-05-04T05:44:00Z</dcterms:created>
  <dcterms:modified xsi:type="dcterms:W3CDTF">2019-05-04T05:44:00Z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