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7AE30E40" w:rsidR="00F110CD" w:rsidRPr="00B112AB" w:rsidRDefault="00F110CD" w:rsidP="00F110CD">
      <w:pPr>
        <w:pStyle w:val="Header"/>
        <w:tabs>
          <w:tab w:val="right" w:pos="9639"/>
        </w:tabs>
        <w:rPr>
          <w:bCs/>
          <w:noProof w:val="0"/>
          <w:sz w:val="24"/>
          <w:szCs w:val="24"/>
          <w:lang w:val="en-GB"/>
        </w:rPr>
      </w:pPr>
      <w:r w:rsidRPr="00B112AB">
        <w:rPr>
          <w:bCs/>
          <w:noProof w:val="0"/>
          <w:sz w:val="24"/>
          <w:szCs w:val="24"/>
          <w:lang w:val="en-GB"/>
        </w:rPr>
        <w:t>3GPP TSG RA</w:t>
      </w:r>
      <w:r w:rsidR="00BA1872" w:rsidRPr="00B112AB">
        <w:rPr>
          <w:bCs/>
          <w:noProof w:val="0"/>
          <w:sz w:val="24"/>
          <w:szCs w:val="24"/>
          <w:lang w:val="en-GB"/>
        </w:rPr>
        <w:t xml:space="preserve">N WG1 </w:t>
      </w:r>
      <w:r w:rsidR="0065263C">
        <w:rPr>
          <w:bCs/>
          <w:noProof w:val="0"/>
          <w:sz w:val="24"/>
          <w:szCs w:val="24"/>
          <w:lang w:val="en-GB"/>
        </w:rPr>
        <w:t xml:space="preserve">meeting </w:t>
      </w:r>
      <w:r w:rsidR="00ED6941">
        <w:rPr>
          <w:bCs/>
          <w:noProof w:val="0"/>
          <w:sz w:val="24"/>
          <w:szCs w:val="24"/>
          <w:lang w:val="en-GB"/>
        </w:rPr>
        <w:t>#</w:t>
      </w:r>
      <w:r w:rsidR="00FA43D5">
        <w:rPr>
          <w:bCs/>
          <w:noProof w:val="0"/>
          <w:sz w:val="24"/>
          <w:szCs w:val="24"/>
          <w:lang w:val="en-GB"/>
        </w:rPr>
        <w:t>97</w:t>
      </w:r>
      <w:r w:rsidR="001348FE" w:rsidRPr="00B112AB">
        <w:rPr>
          <w:bCs/>
          <w:noProof w:val="0"/>
          <w:sz w:val="24"/>
          <w:szCs w:val="24"/>
          <w:lang w:val="en-GB"/>
        </w:rPr>
        <w:tab/>
      </w:r>
      <w:r w:rsidR="00BA1872" w:rsidRPr="00B112AB">
        <w:rPr>
          <w:bCs/>
          <w:noProof w:val="0"/>
          <w:sz w:val="24"/>
          <w:szCs w:val="24"/>
          <w:lang w:val="en-GB"/>
        </w:rPr>
        <w:t>R1-19</w:t>
      </w:r>
      <w:r w:rsidR="002C0930" w:rsidRPr="002C0930">
        <w:rPr>
          <w:bCs/>
          <w:noProof w:val="0"/>
          <w:sz w:val="24"/>
          <w:szCs w:val="24"/>
          <w:lang w:val="en-GB"/>
        </w:rPr>
        <w:t>07378</w:t>
      </w:r>
    </w:p>
    <w:p w14:paraId="30E02940" w14:textId="73A69E9D" w:rsidR="00CA26CE" w:rsidRPr="00B112AB" w:rsidRDefault="00FA43D5" w:rsidP="00CA26CE">
      <w:pPr>
        <w:pStyle w:val="Header"/>
        <w:rPr>
          <w:bCs/>
          <w:noProof w:val="0"/>
          <w:sz w:val="24"/>
          <w:szCs w:val="24"/>
          <w:lang w:val="en-GB"/>
        </w:rPr>
      </w:pPr>
      <w:r>
        <w:rPr>
          <w:bCs/>
          <w:noProof w:val="0"/>
          <w:sz w:val="24"/>
          <w:szCs w:val="24"/>
          <w:lang w:val="en-GB"/>
        </w:rPr>
        <w:t>Reno</w:t>
      </w:r>
      <w:r w:rsidR="0065263C" w:rsidRPr="0065263C">
        <w:rPr>
          <w:bCs/>
          <w:noProof w:val="0"/>
          <w:sz w:val="24"/>
          <w:szCs w:val="24"/>
          <w:lang w:val="en-GB"/>
        </w:rPr>
        <w:t xml:space="preserve">, </w:t>
      </w:r>
      <w:r>
        <w:rPr>
          <w:bCs/>
          <w:noProof w:val="0"/>
          <w:sz w:val="24"/>
          <w:szCs w:val="24"/>
          <w:lang w:val="en-GB"/>
        </w:rPr>
        <w:t>US</w:t>
      </w:r>
      <w:r w:rsidR="002C0930">
        <w:rPr>
          <w:bCs/>
          <w:noProof w:val="0"/>
          <w:sz w:val="24"/>
          <w:szCs w:val="24"/>
          <w:lang w:val="en-GB"/>
        </w:rPr>
        <w:t>A</w:t>
      </w:r>
      <w:r w:rsidR="0065263C" w:rsidRPr="0065263C">
        <w:rPr>
          <w:bCs/>
          <w:noProof w:val="0"/>
          <w:sz w:val="24"/>
          <w:szCs w:val="24"/>
          <w:lang w:val="en-GB"/>
        </w:rPr>
        <w:t xml:space="preserve">, </w:t>
      </w:r>
      <w:r>
        <w:rPr>
          <w:bCs/>
          <w:noProof w:val="0"/>
          <w:sz w:val="24"/>
          <w:szCs w:val="24"/>
          <w:lang w:val="en-GB"/>
        </w:rPr>
        <w:t>13</w:t>
      </w:r>
      <w:r w:rsidR="0065263C" w:rsidRPr="0065263C">
        <w:rPr>
          <w:bCs/>
          <w:noProof w:val="0"/>
          <w:sz w:val="24"/>
          <w:szCs w:val="24"/>
          <w:vertAlign w:val="superscript"/>
          <w:lang w:val="en-GB"/>
        </w:rPr>
        <w:t>th</w:t>
      </w:r>
      <w:r w:rsidR="0065263C" w:rsidRPr="0065263C">
        <w:rPr>
          <w:bCs/>
          <w:noProof w:val="0"/>
          <w:sz w:val="24"/>
          <w:szCs w:val="24"/>
          <w:lang w:val="en-GB"/>
        </w:rPr>
        <w:t xml:space="preserve"> – 1</w:t>
      </w:r>
      <w:r>
        <w:rPr>
          <w:bCs/>
          <w:noProof w:val="0"/>
          <w:sz w:val="24"/>
          <w:szCs w:val="24"/>
          <w:lang w:val="en-GB"/>
        </w:rPr>
        <w:t>7</w:t>
      </w:r>
      <w:r w:rsidR="0065263C" w:rsidRPr="0065263C">
        <w:rPr>
          <w:bCs/>
          <w:noProof w:val="0"/>
          <w:sz w:val="24"/>
          <w:szCs w:val="24"/>
          <w:vertAlign w:val="superscript"/>
          <w:lang w:val="en-GB"/>
        </w:rPr>
        <w:t>th</w:t>
      </w:r>
      <w:r w:rsidR="0065263C">
        <w:rPr>
          <w:bCs/>
          <w:noProof w:val="0"/>
          <w:sz w:val="24"/>
          <w:szCs w:val="24"/>
          <w:lang w:val="en-GB"/>
        </w:rPr>
        <w:t xml:space="preserve"> </w:t>
      </w:r>
      <w:proofErr w:type="gramStart"/>
      <w:r>
        <w:rPr>
          <w:bCs/>
          <w:noProof w:val="0"/>
          <w:sz w:val="24"/>
          <w:szCs w:val="24"/>
          <w:lang w:val="en-GB"/>
        </w:rPr>
        <w:t>May</w:t>
      </w:r>
      <w:r w:rsidR="0065263C" w:rsidRPr="0065263C">
        <w:rPr>
          <w:bCs/>
          <w:noProof w:val="0"/>
          <w:sz w:val="24"/>
          <w:szCs w:val="24"/>
          <w:lang w:val="en-GB"/>
        </w:rPr>
        <w:t>,</w:t>
      </w:r>
      <w:proofErr w:type="gramEnd"/>
      <w:r w:rsidR="0065263C" w:rsidRPr="0065263C">
        <w:rPr>
          <w:bCs/>
          <w:noProof w:val="0"/>
          <w:sz w:val="24"/>
          <w:szCs w:val="24"/>
          <w:lang w:val="en-GB"/>
        </w:rPr>
        <w:t xml:space="preserve"> </w:t>
      </w:r>
      <w:r w:rsidR="00BA1872" w:rsidRPr="00B112AB">
        <w:rPr>
          <w:bCs/>
          <w:noProof w:val="0"/>
          <w:sz w:val="24"/>
          <w:szCs w:val="24"/>
          <w:lang w:val="en-GB"/>
        </w:rPr>
        <w:t>2019</w:t>
      </w:r>
    </w:p>
    <w:p w14:paraId="2CFE1919" w14:textId="77777777" w:rsidR="00850D96" w:rsidRPr="00B112AB" w:rsidRDefault="00850D96" w:rsidP="00CA26CE">
      <w:pPr>
        <w:pStyle w:val="Header"/>
        <w:rPr>
          <w:bCs/>
          <w:noProof w:val="0"/>
          <w:sz w:val="24"/>
          <w:lang w:val="en-GB" w:eastAsia="ja-JP"/>
        </w:rPr>
      </w:pPr>
    </w:p>
    <w:p w14:paraId="30E02941" w14:textId="334B4BB6" w:rsidR="0034111C" w:rsidRPr="00B112AB" w:rsidRDefault="0034111C" w:rsidP="16512788">
      <w:pPr>
        <w:pStyle w:val="CRCoverPage"/>
        <w:rPr>
          <w:rFonts w:cs="Arial"/>
          <w:b/>
          <w:bCs/>
          <w:sz w:val="24"/>
          <w:szCs w:val="24"/>
          <w:lang w:eastAsia="ja-JP"/>
        </w:rPr>
      </w:pPr>
      <w:r w:rsidRPr="00B112AB">
        <w:rPr>
          <w:rFonts w:cs="Arial"/>
          <w:b/>
          <w:bCs/>
          <w:sz w:val="24"/>
          <w:szCs w:val="24"/>
        </w:rPr>
        <w:t>Agenda item:</w:t>
      </w:r>
      <w:r w:rsidRPr="00B112AB">
        <w:rPr>
          <w:rFonts w:cs="Arial"/>
          <w:b/>
          <w:bCs/>
          <w:sz w:val="24"/>
        </w:rPr>
        <w:tab/>
      </w:r>
      <w:r w:rsidRPr="00B112AB">
        <w:rPr>
          <w:rFonts w:cs="Arial"/>
          <w:b/>
          <w:bCs/>
          <w:sz w:val="24"/>
        </w:rPr>
        <w:tab/>
      </w:r>
      <w:r w:rsidR="000B4207" w:rsidRPr="00B112AB">
        <w:rPr>
          <w:rFonts w:cs="Arial"/>
          <w:b/>
          <w:bCs/>
          <w:sz w:val="24"/>
          <w:szCs w:val="24"/>
        </w:rPr>
        <w:t>7</w:t>
      </w:r>
      <w:r w:rsidR="0052773A" w:rsidRPr="00B112AB">
        <w:rPr>
          <w:rFonts w:cs="Arial"/>
          <w:b/>
          <w:bCs/>
          <w:sz w:val="24"/>
          <w:szCs w:val="24"/>
        </w:rPr>
        <w:t>.</w:t>
      </w:r>
      <w:r w:rsidR="00BA1872" w:rsidRPr="00B112AB">
        <w:rPr>
          <w:rFonts w:cs="Arial"/>
          <w:b/>
          <w:bCs/>
          <w:sz w:val="24"/>
          <w:szCs w:val="24"/>
        </w:rPr>
        <w:t>2</w:t>
      </w:r>
      <w:r w:rsidR="00671655" w:rsidRPr="00B112AB">
        <w:rPr>
          <w:rFonts w:cs="Arial"/>
          <w:b/>
          <w:bCs/>
          <w:sz w:val="24"/>
          <w:szCs w:val="24"/>
        </w:rPr>
        <w:t>.12</w:t>
      </w:r>
      <w:r w:rsidR="00C80144">
        <w:rPr>
          <w:rFonts w:cs="Arial"/>
          <w:b/>
          <w:bCs/>
          <w:sz w:val="24"/>
          <w:szCs w:val="24"/>
        </w:rPr>
        <w:t>.</w:t>
      </w:r>
      <w:r w:rsidR="00FA43D5">
        <w:rPr>
          <w:rFonts w:cs="Arial"/>
          <w:b/>
          <w:bCs/>
          <w:sz w:val="24"/>
          <w:szCs w:val="24"/>
        </w:rPr>
        <w:t>1</w:t>
      </w:r>
    </w:p>
    <w:p w14:paraId="30E02942" w14:textId="11CBDC88" w:rsidR="00E128F2" w:rsidRPr="00B112AB" w:rsidRDefault="0034111C" w:rsidP="16512788">
      <w:pPr>
        <w:tabs>
          <w:tab w:val="left" w:pos="1985"/>
        </w:tabs>
        <w:spacing w:after="120"/>
        <w:ind w:left="1985" w:hanging="1985"/>
        <w:rPr>
          <w:rFonts w:ascii="Arial" w:hAnsi="Arial" w:cs="Arial"/>
          <w:b/>
          <w:bCs/>
          <w:sz w:val="24"/>
          <w:szCs w:val="24"/>
          <w:lang w:val="en-GB"/>
        </w:rPr>
      </w:pPr>
      <w:r w:rsidRPr="00B112AB">
        <w:rPr>
          <w:rFonts w:ascii="Arial" w:hAnsi="Arial" w:cs="Arial"/>
          <w:b/>
          <w:bCs/>
          <w:sz w:val="24"/>
          <w:szCs w:val="24"/>
          <w:lang w:val="en-GB"/>
        </w:rPr>
        <w:t>Source:</w:t>
      </w:r>
      <w:r w:rsidRPr="00B112AB">
        <w:rPr>
          <w:rFonts w:ascii="Arial" w:hAnsi="Arial" w:cs="Arial"/>
          <w:b/>
          <w:bCs/>
          <w:sz w:val="24"/>
          <w:lang w:val="en-GB"/>
        </w:rPr>
        <w:tab/>
      </w:r>
      <w:r w:rsidR="00013455" w:rsidRPr="00B112AB">
        <w:rPr>
          <w:rFonts w:ascii="Arial" w:hAnsi="Arial" w:cs="Arial"/>
          <w:b/>
          <w:bCs/>
          <w:sz w:val="24"/>
          <w:szCs w:val="24"/>
          <w:lang w:val="en-GB"/>
        </w:rPr>
        <w:t xml:space="preserve">Nokia, </w:t>
      </w:r>
      <w:r w:rsidR="00E67802" w:rsidRPr="00B112AB">
        <w:rPr>
          <w:rFonts w:ascii="Arial" w:hAnsi="Arial" w:cs="Arial"/>
          <w:b/>
          <w:bCs/>
          <w:sz w:val="24"/>
          <w:szCs w:val="24"/>
          <w:lang w:val="en-GB"/>
        </w:rPr>
        <w:t>Nokia</w:t>
      </w:r>
      <w:r w:rsidR="00013455" w:rsidRPr="00B112AB">
        <w:rPr>
          <w:rFonts w:ascii="Arial" w:hAnsi="Arial" w:cs="Arial"/>
          <w:b/>
          <w:bCs/>
          <w:sz w:val="24"/>
          <w:szCs w:val="24"/>
          <w:lang w:val="en-GB"/>
        </w:rPr>
        <w:t xml:space="preserve"> Shanghai Bell</w:t>
      </w:r>
    </w:p>
    <w:p w14:paraId="30E02943" w14:textId="64114D20" w:rsidR="0034111C" w:rsidRPr="00B112AB" w:rsidRDefault="0034111C" w:rsidP="16512788">
      <w:pPr>
        <w:ind w:left="1985" w:hanging="1985"/>
        <w:rPr>
          <w:rFonts w:ascii="Arial" w:hAnsi="Arial" w:cs="Arial"/>
          <w:b/>
          <w:bCs/>
          <w:sz w:val="24"/>
          <w:szCs w:val="24"/>
          <w:lang w:val="en-GB"/>
        </w:rPr>
      </w:pPr>
      <w:r w:rsidRPr="00B112AB">
        <w:rPr>
          <w:rFonts w:ascii="Arial" w:hAnsi="Arial" w:cs="Arial"/>
          <w:b/>
          <w:bCs/>
          <w:sz w:val="24"/>
          <w:szCs w:val="24"/>
          <w:lang w:val="en-GB"/>
        </w:rPr>
        <w:t>Title:</w:t>
      </w:r>
      <w:r w:rsidRPr="00B112AB">
        <w:rPr>
          <w:rFonts w:ascii="Arial" w:hAnsi="Arial" w:cs="Arial"/>
          <w:b/>
          <w:bCs/>
          <w:sz w:val="24"/>
          <w:lang w:val="en-GB"/>
        </w:rPr>
        <w:tab/>
      </w:r>
      <w:r w:rsidR="002D3A54">
        <w:rPr>
          <w:rFonts w:ascii="Arial" w:hAnsi="Arial" w:cs="Arial"/>
          <w:b/>
          <w:bCs/>
          <w:sz w:val="24"/>
          <w:lang w:val="en-GB"/>
        </w:rPr>
        <w:t>Mobility enhancements physical layer aspects.</w:t>
      </w:r>
    </w:p>
    <w:p w14:paraId="30E02944" w14:textId="60B6B0C7" w:rsidR="0034111C" w:rsidRPr="00B112AB" w:rsidRDefault="0034111C" w:rsidP="16512788">
      <w:pPr>
        <w:rPr>
          <w:rFonts w:ascii="Arial" w:hAnsi="Arial" w:cs="Arial"/>
          <w:b/>
          <w:bCs/>
          <w:sz w:val="24"/>
          <w:szCs w:val="24"/>
          <w:lang w:val="en-GB"/>
        </w:rPr>
      </w:pPr>
      <w:r w:rsidRPr="00B112AB">
        <w:rPr>
          <w:rFonts w:ascii="Arial" w:hAnsi="Arial" w:cs="Arial"/>
          <w:b/>
          <w:bCs/>
          <w:sz w:val="24"/>
          <w:szCs w:val="24"/>
          <w:lang w:val="en-GB"/>
        </w:rPr>
        <w:t xml:space="preserve">Document </w:t>
      </w:r>
      <w:r w:rsidR="3E61DC49" w:rsidRPr="00B112AB">
        <w:rPr>
          <w:rFonts w:ascii="Arial" w:hAnsi="Arial" w:cs="Arial"/>
          <w:b/>
          <w:bCs/>
          <w:sz w:val="24"/>
          <w:szCs w:val="24"/>
          <w:lang w:val="en-GB"/>
        </w:rPr>
        <w:t>for:</w:t>
      </w:r>
      <w:r w:rsidRPr="00B112AB">
        <w:rPr>
          <w:rFonts w:ascii="Arial" w:hAnsi="Arial" w:cs="Arial"/>
          <w:b/>
          <w:bCs/>
          <w:sz w:val="24"/>
          <w:lang w:val="en-GB"/>
        </w:rPr>
        <w:tab/>
      </w:r>
      <w:r w:rsidR="00220615" w:rsidRPr="00B112AB">
        <w:rPr>
          <w:rFonts w:ascii="Arial" w:hAnsi="Arial" w:cs="Arial"/>
          <w:b/>
          <w:bCs/>
          <w:sz w:val="24"/>
          <w:lang w:val="en-GB"/>
        </w:rPr>
        <w:tab/>
      </w:r>
      <w:r w:rsidRPr="00B112AB">
        <w:rPr>
          <w:rFonts w:ascii="Arial" w:hAnsi="Arial" w:cs="Arial"/>
          <w:b/>
          <w:bCs/>
          <w:sz w:val="24"/>
          <w:szCs w:val="24"/>
          <w:lang w:val="en-GB"/>
        </w:rPr>
        <w:t>Discussion and Decision</w:t>
      </w:r>
    </w:p>
    <w:p w14:paraId="7CF7938E" w14:textId="7E19F756" w:rsidR="00ED1327" w:rsidRPr="00B112AB" w:rsidRDefault="00EE7FA7" w:rsidP="00ED1327">
      <w:pPr>
        <w:pStyle w:val="Heading1"/>
      </w:pPr>
      <w:r w:rsidRPr="00B112AB">
        <w:t>Introduction</w:t>
      </w:r>
    </w:p>
    <w:p w14:paraId="3F9F87EF" w14:textId="5604643B" w:rsidR="00671655" w:rsidRPr="00B112AB" w:rsidRDefault="00671655" w:rsidP="00A64A6E">
      <w:pPr>
        <w:rPr>
          <w:lang w:val="en-GB"/>
        </w:rPr>
      </w:pPr>
      <w:bookmarkStart w:id="0" w:name="_Hlk510705081"/>
      <w:r w:rsidRPr="00B112AB">
        <w:rPr>
          <w:lang w:val="en-GB"/>
        </w:rPr>
        <w:t xml:space="preserve">A new WID on NR mobility enhancements was agreed in RAN Plenary meeting #80 </w:t>
      </w:r>
      <w:r w:rsidRPr="00B112AB">
        <w:rPr>
          <w:lang w:val="en-GB"/>
        </w:rPr>
        <w:fldChar w:fldCharType="begin"/>
      </w:r>
      <w:r w:rsidRPr="00B112AB">
        <w:rPr>
          <w:lang w:val="en-GB"/>
        </w:rPr>
        <w:instrText xml:space="preserve"> REF _Ref769929 \r \h </w:instrText>
      </w:r>
      <w:r w:rsidRPr="00B112AB">
        <w:rPr>
          <w:lang w:val="en-GB"/>
        </w:rPr>
      </w:r>
      <w:r w:rsidRPr="00B112AB">
        <w:rPr>
          <w:lang w:val="en-GB"/>
        </w:rPr>
        <w:fldChar w:fldCharType="separate"/>
      </w:r>
      <w:r w:rsidR="00526F82" w:rsidRPr="00B112AB">
        <w:rPr>
          <w:lang w:val="en-GB"/>
        </w:rPr>
        <w:t>[1]</w:t>
      </w:r>
      <w:r w:rsidRPr="00B112AB">
        <w:rPr>
          <w:lang w:val="en-GB"/>
        </w:rPr>
        <w:fldChar w:fldCharType="end"/>
      </w:r>
      <w:r w:rsidRPr="00B112AB">
        <w:rPr>
          <w:lang w:val="en-GB"/>
        </w:rPr>
        <w:t>. The objectives</w:t>
      </w:r>
      <w:r w:rsidR="00703C15" w:rsidRPr="00B112AB">
        <w:rPr>
          <w:lang w:val="en-GB"/>
        </w:rPr>
        <w:t xml:space="preserve"> to be considered in the</w:t>
      </w:r>
      <w:r w:rsidRPr="00B112AB">
        <w:rPr>
          <w:lang w:val="en-GB"/>
        </w:rPr>
        <w:t xml:space="preserve"> work item are as follows:</w:t>
      </w:r>
    </w:p>
    <w:tbl>
      <w:tblPr>
        <w:tblStyle w:val="TableGrid"/>
        <w:tblW w:w="0" w:type="auto"/>
        <w:tblLook w:val="04A0" w:firstRow="1" w:lastRow="0" w:firstColumn="1" w:lastColumn="0" w:noHBand="0" w:noVBand="1"/>
      </w:tblPr>
      <w:tblGrid>
        <w:gridCol w:w="9629"/>
      </w:tblGrid>
      <w:tr w:rsidR="00671655" w:rsidRPr="00B112AB" w14:paraId="2578D495" w14:textId="77777777" w:rsidTr="00671655">
        <w:tc>
          <w:tcPr>
            <w:tcW w:w="9629" w:type="dxa"/>
          </w:tcPr>
          <w:p w14:paraId="6C28D243" w14:textId="77777777" w:rsidR="00671655" w:rsidRPr="00B112AB" w:rsidRDefault="00671655" w:rsidP="00671655">
            <w:pPr>
              <w:numPr>
                <w:ilvl w:val="0"/>
                <w:numId w:val="15"/>
              </w:numPr>
              <w:rPr>
                <w:rFonts w:eastAsia="MS Mincho"/>
                <w:lang w:val="en-GB" w:eastAsia="ja-JP"/>
              </w:rPr>
            </w:pPr>
            <w:r w:rsidRPr="00B112AB">
              <w:rPr>
                <w:rFonts w:eastAsia="MS Mincho"/>
                <w:lang w:val="en-GB" w:eastAsia="ja-JP"/>
              </w:rPr>
              <w:t xml:space="preserve">To study solution(s) to reduce interruption time during HO/SCG change focusing on the following identified solutions but not limited. </w:t>
            </w:r>
          </w:p>
          <w:p w14:paraId="75174B19" w14:textId="77777777" w:rsidR="00671655" w:rsidRPr="00B112AB" w:rsidRDefault="00671655" w:rsidP="00671655">
            <w:pPr>
              <w:numPr>
                <w:ilvl w:val="1"/>
                <w:numId w:val="15"/>
              </w:numPr>
              <w:rPr>
                <w:rFonts w:eastAsia="MS Mincho"/>
                <w:lang w:val="en-GB" w:eastAsia="ja-JP"/>
              </w:rPr>
            </w:pPr>
            <w:r w:rsidRPr="00B112AB">
              <w:rPr>
                <w:rFonts w:eastAsia="MS Mincho"/>
                <w:lang w:val="en-GB" w:eastAsia="ja-JP"/>
              </w:rPr>
              <w:t xml:space="preserve">Handover/SCG change with simultaneous connectivity with source cell and target cell. </w:t>
            </w:r>
          </w:p>
          <w:p w14:paraId="19A8FA8A" w14:textId="77777777" w:rsidR="00671655" w:rsidRPr="00B112AB" w:rsidRDefault="00671655" w:rsidP="00671655">
            <w:pPr>
              <w:numPr>
                <w:ilvl w:val="1"/>
                <w:numId w:val="15"/>
              </w:numPr>
              <w:rPr>
                <w:rFonts w:eastAsia="MS Mincho"/>
                <w:lang w:val="en-GB" w:eastAsia="ja-JP"/>
              </w:rPr>
            </w:pPr>
            <w:r w:rsidRPr="00B112AB">
              <w:rPr>
                <w:rFonts w:eastAsia="MS Mincho"/>
                <w:lang w:val="en-GB" w:eastAsia="ja-JP"/>
              </w:rPr>
              <w:t xml:space="preserve">Make-before-break </w:t>
            </w:r>
          </w:p>
          <w:p w14:paraId="02A04EBD" w14:textId="77777777" w:rsidR="00671655" w:rsidRPr="00B112AB" w:rsidRDefault="00671655" w:rsidP="00671655">
            <w:pPr>
              <w:numPr>
                <w:ilvl w:val="1"/>
                <w:numId w:val="15"/>
              </w:numPr>
              <w:rPr>
                <w:rFonts w:eastAsia="MS Mincho"/>
                <w:lang w:val="en-GB" w:eastAsia="ja-JP"/>
              </w:rPr>
            </w:pPr>
            <w:r w:rsidRPr="00B112AB">
              <w:rPr>
                <w:rFonts w:eastAsia="MS Mincho" w:cs="Calibri"/>
                <w:bCs/>
                <w:lang w:val="en-GB" w:eastAsia="zh-CN"/>
              </w:rPr>
              <w:t xml:space="preserve">RACH-less handover </w:t>
            </w:r>
          </w:p>
          <w:p w14:paraId="5AF94A87" w14:textId="77777777" w:rsidR="00671655" w:rsidRPr="00B112AB" w:rsidRDefault="00671655" w:rsidP="00671655">
            <w:pPr>
              <w:numPr>
                <w:ilvl w:val="0"/>
                <w:numId w:val="15"/>
              </w:numPr>
              <w:rPr>
                <w:rFonts w:eastAsia="MS Mincho"/>
                <w:lang w:val="en-GB" w:eastAsia="ja-JP"/>
              </w:rPr>
            </w:pPr>
            <w:r w:rsidRPr="00B112AB">
              <w:rPr>
                <w:rFonts w:eastAsia="MS Mincho"/>
                <w:lang w:val="en-GB" w:eastAsia="ja-JP"/>
              </w:rPr>
              <w:t xml:space="preserve">To study solution(s) to improve HO/SCG change reliability and robustness especially considering challenges in high/med frequency focusing on the following identified solutions but not limited. </w:t>
            </w:r>
          </w:p>
          <w:p w14:paraId="28ACFAC8" w14:textId="77777777" w:rsidR="00671655" w:rsidRPr="00B112AB" w:rsidRDefault="00671655" w:rsidP="00671655">
            <w:pPr>
              <w:numPr>
                <w:ilvl w:val="1"/>
                <w:numId w:val="15"/>
              </w:numPr>
              <w:rPr>
                <w:rFonts w:eastAsia="MS Mincho"/>
                <w:lang w:val="en-GB" w:eastAsia="ja-JP"/>
              </w:rPr>
            </w:pPr>
            <w:r w:rsidRPr="00B112AB">
              <w:rPr>
                <w:rFonts w:eastAsia="MS Mincho"/>
                <w:lang w:val="en-GB" w:eastAsia="ja-JP"/>
              </w:rPr>
              <w:t xml:space="preserve">Conditional handover </w:t>
            </w:r>
          </w:p>
          <w:p w14:paraId="0F1D9E0E" w14:textId="77777777" w:rsidR="00671655" w:rsidRPr="00B112AB" w:rsidRDefault="00671655" w:rsidP="00671655">
            <w:pPr>
              <w:numPr>
                <w:ilvl w:val="1"/>
                <w:numId w:val="15"/>
              </w:numPr>
              <w:rPr>
                <w:rFonts w:eastAsia="MS Mincho"/>
                <w:lang w:val="en-GB" w:eastAsia="ja-JP"/>
              </w:rPr>
            </w:pPr>
            <w:r w:rsidRPr="00B112AB">
              <w:rPr>
                <w:rFonts w:eastAsia="MS Mincho"/>
                <w:lang w:val="en-GB" w:eastAsia="ja-JP"/>
              </w:rPr>
              <w:t xml:space="preserve">Fast handover failure recovery </w:t>
            </w:r>
          </w:p>
          <w:p w14:paraId="7E4538ED" w14:textId="77777777" w:rsidR="00671655" w:rsidRPr="00B112AB" w:rsidRDefault="00671655" w:rsidP="00671655">
            <w:pPr>
              <w:ind w:left="568" w:hanging="284"/>
              <w:rPr>
                <w:rFonts w:eastAsia="MS Mincho"/>
                <w:lang w:val="en-GB" w:eastAsia="ja-JP"/>
              </w:rPr>
            </w:pPr>
            <w:r w:rsidRPr="00B112AB">
              <w:rPr>
                <w:rFonts w:eastAsia="MS Mincho"/>
                <w:lang w:val="en-GB" w:eastAsia="ja-JP"/>
              </w:rPr>
              <w:t xml:space="preserve">RAN2 should avoid increasing signalling overhead. </w:t>
            </w:r>
          </w:p>
          <w:p w14:paraId="6700D1AD" w14:textId="0FAE0B92" w:rsidR="00671655" w:rsidRPr="00B112AB" w:rsidRDefault="00671655" w:rsidP="00671655">
            <w:pPr>
              <w:ind w:left="568" w:hanging="284"/>
              <w:rPr>
                <w:rFonts w:eastAsia="MS Mincho" w:cs="Calibri"/>
                <w:lang w:val="en-GB" w:eastAsia="zh-CN"/>
              </w:rPr>
            </w:pPr>
            <w:r w:rsidRPr="00B112AB">
              <w:rPr>
                <w:rFonts w:eastAsia="MS Mincho" w:cs="Calibri"/>
                <w:lang w:val="en-GB" w:eastAsia="zh-CN"/>
              </w:rPr>
              <w:t xml:space="preserve">Note: LTE mobility enhancements should be used for baseline for fast handover failure recovery, Make-before-break and RACH-less handover. </w:t>
            </w:r>
          </w:p>
        </w:tc>
      </w:tr>
    </w:tbl>
    <w:p w14:paraId="3BD98312" w14:textId="77777777" w:rsidR="009211CA" w:rsidRDefault="009211CA" w:rsidP="00A64A6E">
      <w:pPr>
        <w:rPr>
          <w:lang w:val="en-GB"/>
        </w:rPr>
      </w:pPr>
    </w:p>
    <w:p w14:paraId="3F621760" w14:textId="4D752063" w:rsidR="00703C15" w:rsidRPr="00B112AB" w:rsidRDefault="00703C15" w:rsidP="00A64A6E">
      <w:pPr>
        <w:rPr>
          <w:lang w:val="en-GB"/>
        </w:rPr>
      </w:pPr>
      <w:r w:rsidRPr="00B112AB">
        <w:rPr>
          <w:lang w:val="en-GB"/>
        </w:rPr>
        <w:t>In this contribution we discuss</w:t>
      </w:r>
      <w:r w:rsidR="00823A7D">
        <w:rPr>
          <w:lang w:val="en-GB"/>
        </w:rPr>
        <w:t xml:space="preserve"> </w:t>
      </w:r>
      <w:r w:rsidR="009E419D">
        <w:rPr>
          <w:lang w:val="en-GB"/>
        </w:rPr>
        <w:t xml:space="preserve">the </w:t>
      </w:r>
      <w:r w:rsidR="009211CA">
        <w:rPr>
          <w:lang w:val="en-GB"/>
        </w:rPr>
        <w:t>physical layer aspects of different mobility enhancements</w:t>
      </w:r>
      <w:r w:rsidR="009E419D">
        <w:rPr>
          <w:lang w:val="en-GB"/>
        </w:rPr>
        <w:t>.</w:t>
      </w:r>
    </w:p>
    <w:p w14:paraId="71230483" w14:textId="128FA918" w:rsidR="00305297" w:rsidRPr="00B112AB" w:rsidRDefault="00FA43D5" w:rsidP="00A23DCA">
      <w:pPr>
        <w:pStyle w:val="Heading1"/>
      </w:pPr>
      <w:r>
        <w:t>RACH-less HO</w:t>
      </w:r>
    </w:p>
    <w:bookmarkEnd w:id="0"/>
    <w:p w14:paraId="3322BF4C" w14:textId="27F5DF32" w:rsidR="00692371" w:rsidRPr="00692371" w:rsidRDefault="00692371" w:rsidP="00FA43D5">
      <w:pPr>
        <w:rPr>
          <w:lang w:val="en-GB"/>
        </w:rPr>
      </w:pPr>
      <w:r w:rsidRPr="00692371">
        <w:rPr>
          <w:lang w:val="en-GB"/>
        </w:rPr>
        <w:t>While RAN2 has not yet concluded on the support of RACH-less HO and the</w:t>
      </w:r>
      <w:r>
        <w:rPr>
          <w:lang w:val="en-GB"/>
        </w:rPr>
        <w:t>refore the</w:t>
      </w:r>
      <w:r w:rsidRPr="00692371">
        <w:rPr>
          <w:lang w:val="en-GB"/>
        </w:rPr>
        <w:t xml:space="preserve"> need to support it in RAN1 </w:t>
      </w:r>
      <w:proofErr w:type="spellStart"/>
      <w:r w:rsidRPr="00692371">
        <w:rPr>
          <w:lang w:val="en-GB"/>
        </w:rPr>
        <w:t>spesifications</w:t>
      </w:r>
      <w:proofErr w:type="spellEnd"/>
      <w:r w:rsidRPr="00692371">
        <w:rPr>
          <w:lang w:val="en-GB"/>
        </w:rPr>
        <w:t xml:space="preserve"> is pending, in this section we provide preliminary considerations on the physical layer implications of the RACH-less HO.   </w:t>
      </w:r>
    </w:p>
    <w:p w14:paraId="5033FF33" w14:textId="0AB74019" w:rsidR="00FA43D5" w:rsidRPr="00692371" w:rsidRDefault="00FA43D5" w:rsidP="00FA43D5">
      <w:pPr>
        <w:rPr>
          <w:lang w:val="en-GB"/>
        </w:rPr>
      </w:pPr>
      <w:r w:rsidRPr="00692371">
        <w:rPr>
          <w:lang w:val="en-GB"/>
        </w:rPr>
        <w:t>The description of the RACH-less HO in LTE is provided in [36.300]. In the RACH-less HO procedure the UE performs access to the target cell by transmitting directly Msg3 which corresponds to RRC Connection Reconfiguration Complete message, i.e. Msg1 (preamble) and Msg2 (RAR) are omitted.</w:t>
      </w:r>
    </w:p>
    <w:p w14:paraId="134F96F6" w14:textId="6A82F79C" w:rsidR="00073535" w:rsidRPr="00692371" w:rsidRDefault="00FA43D5" w:rsidP="00073535">
      <w:pPr>
        <w:rPr>
          <w:lang w:val="en-GB"/>
        </w:rPr>
      </w:pPr>
      <w:r w:rsidRPr="00692371">
        <w:rPr>
          <w:lang w:val="en-GB"/>
        </w:rPr>
        <w:t>For transmitting PUSCH (i.e. Msg3), the UE requires an uplink (UL) grant and proper timing advance (TA).  In LTE RACH-less, the HO command can include this information.</w:t>
      </w:r>
      <w:r w:rsidR="00073535" w:rsidRPr="00692371">
        <w:rPr>
          <w:lang w:val="en-GB"/>
        </w:rPr>
        <w:t xml:space="preserve"> for UL grant, the allocation can be provided in HO command, or use is required to monitor PDCCH for UL grant.</w:t>
      </w:r>
      <w:r w:rsidRPr="00692371">
        <w:rPr>
          <w:lang w:val="en-GB"/>
        </w:rPr>
        <w:t xml:space="preserve"> For TA</w:t>
      </w:r>
      <w:r w:rsidR="00073535" w:rsidRPr="00692371">
        <w:rPr>
          <w:lang w:val="en-GB"/>
        </w:rPr>
        <w:t>, the HO command includes the TA to be applied, i.e. based on source cell TA or set to zero.</w:t>
      </w:r>
    </w:p>
    <w:p w14:paraId="6AD5F545" w14:textId="1F5423AD" w:rsidR="00073535" w:rsidRPr="00692371" w:rsidRDefault="00073535" w:rsidP="00073535">
      <w:pPr>
        <w:rPr>
          <w:lang w:val="en-GB"/>
        </w:rPr>
      </w:pPr>
      <w:r w:rsidRPr="00692371">
        <w:rPr>
          <w:lang w:val="en-GB"/>
        </w:rPr>
        <w:lastRenderedPageBreak/>
        <w:t xml:space="preserve">From NR perspective, some additional information and procedures may be needed. Firstly, in NR RACH procedure beam forming is accounted, by </w:t>
      </w:r>
      <w:proofErr w:type="spellStart"/>
      <w:r w:rsidRPr="00692371">
        <w:rPr>
          <w:lang w:val="en-GB"/>
        </w:rPr>
        <w:t>determinining</w:t>
      </w:r>
      <w:proofErr w:type="spellEnd"/>
      <w:r w:rsidRPr="00692371">
        <w:rPr>
          <w:lang w:val="en-GB"/>
        </w:rPr>
        <w:t xml:space="preserve"> RO corresponding to certain SSB or CSI-RS resources i.e. mapping certain UL resources to certain DL </w:t>
      </w:r>
      <w:proofErr w:type="spellStart"/>
      <w:r w:rsidRPr="00692371">
        <w:rPr>
          <w:lang w:val="en-GB"/>
        </w:rPr>
        <w:t>RS’es</w:t>
      </w:r>
      <w:proofErr w:type="spellEnd"/>
      <w:r w:rsidRPr="00692371">
        <w:rPr>
          <w:lang w:val="en-GB"/>
        </w:rPr>
        <w:t>. For RACH-less handover</w:t>
      </w:r>
      <w:r w:rsidR="005E65B9" w:rsidRPr="00692371">
        <w:rPr>
          <w:lang w:val="en-GB"/>
        </w:rPr>
        <w:t xml:space="preserve">. </w:t>
      </w:r>
      <w:proofErr w:type="gramStart"/>
      <w:r w:rsidR="005E65B9" w:rsidRPr="00692371">
        <w:rPr>
          <w:lang w:val="en-GB"/>
        </w:rPr>
        <w:t>Thus</w:t>
      </w:r>
      <w:proofErr w:type="gramEnd"/>
      <w:r w:rsidR="005E65B9" w:rsidRPr="00692371">
        <w:rPr>
          <w:lang w:val="en-GB"/>
        </w:rPr>
        <w:t xml:space="preserve"> UE would need to be provided with the spatial relation for the UL grant in HO command. </w:t>
      </w:r>
      <w:proofErr w:type="gramStart"/>
      <w:r w:rsidR="005E65B9" w:rsidRPr="00692371">
        <w:rPr>
          <w:lang w:val="en-GB"/>
        </w:rPr>
        <w:t>Typically</w:t>
      </w:r>
      <w:proofErr w:type="gramEnd"/>
      <w:r w:rsidR="005E65B9" w:rsidRPr="00692371">
        <w:rPr>
          <w:lang w:val="en-GB"/>
        </w:rPr>
        <w:t xml:space="preserve"> these could be considered to be based (by network) for the measurement reports provided</w:t>
      </w:r>
      <w:r w:rsidR="00F53533" w:rsidRPr="00692371">
        <w:rPr>
          <w:lang w:val="en-GB"/>
        </w:rPr>
        <w:t xml:space="preserve"> prior the HO. </w:t>
      </w:r>
    </w:p>
    <w:p w14:paraId="4D688A99" w14:textId="2E0DBB50" w:rsidR="00953F18" w:rsidRPr="00692371" w:rsidRDefault="00F53533" w:rsidP="00F53533">
      <w:pPr>
        <w:rPr>
          <w:lang w:val="en-GB"/>
        </w:rPr>
      </w:pPr>
      <w:r w:rsidRPr="00692371">
        <w:rPr>
          <w:b/>
          <w:lang w:val="en-GB"/>
        </w:rPr>
        <w:t xml:space="preserve">Observation: </w:t>
      </w:r>
      <w:r w:rsidRPr="00692371">
        <w:rPr>
          <w:lang w:val="en-GB"/>
        </w:rPr>
        <w:t>In addition to UL grant and TA information in RACH-less HO, spatial relation is needed for UL resources.</w:t>
      </w:r>
    </w:p>
    <w:p w14:paraId="1AF2CF44" w14:textId="0306FF2A" w:rsidR="00F53533" w:rsidRPr="00692371" w:rsidRDefault="00F53533" w:rsidP="00F53533">
      <w:pPr>
        <w:rPr>
          <w:lang w:val="en-GB"/>
        </w:rPr>
      </w:pPr>
      <w:r w:rsidRPr="00692371">
        <w:rPr>
          <w:lang w:val="en-GB"/>
        </w:rPr>
        <w:t xml:space="preserve">For the case that the HO command does not provide the UL grant directly, but UE is required to monitor PDCCH for the grant, the applied CORESET and SS for the target cell needs to be configured for the UE. </w:t>
      </w:r>
      <w:r w:rsidR="008657E9">
        <w:rPr>
          <w:lang w:val="en-GB"/>
        </w:rPr>
        <w:t xml:space="preserve">One approach is </w:t>
      </w:r>
      <w:r w:rsidR="00AB0C1B">
        <w:rPr>
          <w:lang w:val="en-GB"/>
        </w:rPr>
        <w:t xml:space="preserve">to use CSS configuration provided in HO command, e.g. one intended for RAR, or alternatively new SS configuration can be provided. </w:t>
      </w:r>
      <w:r w:rsidRPr="00692371">
        <w:rPr>
          <w:lang w:val="en-GB"/>
        </w:rPr>
        <w:t>Corr</w:t>
      </w:r>
      <w:r w:rsidR="00AB0C1B">
        <w:rPr>
          <w:lang w:val="en-GB"/>
        </w:rPr>
        <w:t>e</w:t>
      </w:r>
      <w:r w:rsidRPr="00692371">
        <w:rPr>
          <w:lang w:val="en-GB"/>
        </w:rPr>
        <w:t xml:space="preserve">spondingly as for UL grant there is a need </w:t>
      </w:r>
      <w:r w:rsidR="00AB0C1B">
        <w:rPr>
          <w:lang w:val="en-GB"/>
        </w:rPr>
        <w:t>a need to determine</w:t>
      </w:r>
      <w:r w:rsidRPr="00692371">
        <w:rPr>
          <w:lang w:val="en-GB"/>
        </w:rPr>
        <w:t xml:space="preserve"> the TCI state for the </w:t>
      </w:r>
      <w:r w:rsidR="00AB0C1B">
        <w:rPr>
          <w:lang w:val="en-GB"/>
        </w:rPr>
        <w:t>PDCCH monitoring</w:t>
      </w:r>
      <w:r w:rsidR="00204307" w:rsidRPr="00692371">
        <w:rPr>
          <w:lang w:val="en-GB"/>
        </w:rPr>
        <w:t xml:space="preserve">, which in general case could be configured by </w:t>
      </w:r>
      <w:proofErr w:type="spellStart"/>
      <w:r w:rsidR="00204307" w:rsidRPr="00692371">
        <w:rPr>
          <w:lang w:val="en-GB"/>
        </w:rPr>
        <w:t>eNB</w:t>
      </w:r>
      <w:proofErr w:type="spellEnd"/>
      <w:r w:rsidR="00204307" w:rsidRPr="00692371">
        <w:rPr>
          <w:lang w:val="en-GB"/>
        </w:rPr>
        <w:t xml:space="preserve"> based on the UE measurement reports </w:t>
      </w:r>
      <w:proofErr w:type="spellStart"/>
      <w:r w:rsidR="00204307" w:rsidRPr="00692371">
        <w:rPr>
          <w:lang w:val="en-GB"/>
        </w:rPr>
        <w:t>preceeding</w:t>
      </w:r>
      <w:proofErr w:type="spellEnd"/>
      <w:r w:rsidR="00204307" w:rsidRPr="00692371">
        <w:rPr>
          <w:lang w:val="en-GB"/>
        </w:rPr>
        <w:t xml:space="preserve"> the HO.</w:t>
      </w:r>
      <w:r w:rsidRPr="00692371">
        <w:rPr>
          <w:lang w:val="en-GB"/>
        </w:rPr>
        <w:t xml:space="preserve"> </w:t>
      </w:r>
      <w:r w:rsidR="00837BDE" w:rsidRPr="00692371">
        <w:rPr>
          <w:lang w:val="en-GB"/>
        </w:rPr>
        <w:t xml:space="preserve">In addon, </w:t>
      </w:r>
      <w:proofErr w:type="spellStart"/>
      <w:r w:rsidR="00837BDE" w:rsidRPr="00692371">
        <w:rPr>
          <w:lang w:val="en-GB"/>
        </w:rPr>
        <w:t>some time</w:t>
      </w:r>
      <w:proofErr w:type="spellEnd"/>
      <w:r w:rsidR="00837BDE" w:rsidRPr="00692371">
        <w:rPr>
          <w:lang w:val="en-GB"/>
        </w:rPr>
        <w:t xml:space="preserve"> window for PDCCH monitoring could be set/configured to trigger UE to fall-back. </w:t>
      </w:r>
      <w:r w:rsidRPr="00692371">
        <w:rPr>
          <w:lang w:val="en-GB"/>
        </w:rPr>
        <w:t>Th</w:t>
      </w:r>
      <w:r w:rsidR="00067A19" w:rsidRPr="00692371">
        <w:rPr>
          <w:lang w:val="en-GB"/>
        </w:rPr>
        <w:t>e</w:t>
      </w:r>
      <w:r w:rsidRPr="00692371">
        <w:rPr>
          <w:lang w:val="en-GB"/>
        </w:rPr>
        <w:t xml:space="preserve"> PDCCH </w:t>
      </w:r>
      <w:r w:rsidR="00067A19" w:rsidRPr="00692371">
        <w:rPr>
          <w:lang w:val="en-GB"/>
        </w:rPr>
        <w:t xml:space="preserve">TCI state </w:t>
      </w:r>
      <w:r w:rsidRPr="00692371">
        <w:rPr>
          <w:lang w:val="en-GB"/>
        </w:rPr>
        <w:t>could work as implicit spatial relation also for the scheduled UL grant</w:t>
      </w:r>
      <w:r w:rsidR="00837BDE" w:rsidRPr="00692371">
        <w:rPr>
          <w:lang w:val="en-GB"/>
        </w:rPr>
        <w:t xml:space="preserve"> (as there is no information to base any other selection)</w:t>
      </w:r>
      <w:r w:rsidRPr="00692371">
        <w:rPr>
          <w:lang w:val="en-GB"/>
        </w:rPr>
        <w:t xml:space="preserve">. </w:t>
      </w:r>
    </w:p>
    <w:p w14:paraId="30A71945" w14:textId="32ACB1D9" w:rsidR="00F53533" w:rsidRPr="00692371" w:rsidRDefault="00F53533" w:rsidP="00F53533">
      <w:pPr>
        <w:rPr>
          <w:lang w:val="en-GB"/>
        </w:rPr>
      </w:pPr>
      <w:r w:rsidRPr="00692371">
        <w:rPr>
          <w:b/>
          <w:lang w:val="en-GB"/>
        </w:rPr>
        <w:t xml:space="preserve">Observation: </w:t>
      </w:r>
      <w:r w:rsidRPr="00692371">
        <w:rPr>
          <w:lang w:val="en-GB"/>
        </w:rPr>
        <w:t>For the case that the UL resource is provided by PDCCH in target cell, PDCCH monitoring occasions need to be determined for the UE.</w:t>
      </w:r>
      <w:r w:rsidR="00837BDE" w:rsidRPr="00692371">
        <w:rPr>
          <w:lang w:val="en-GB"/>
        </w:rPr>
        <w:t xml:space="preserve"> </w:t>
      </w:r>
      <w:proofErr w:type="gramStart"/>
      <w:r w:rsidR="00837BDE" w:rsidRPr="00692371">
        <w:rPr>
          <w:lang w:val="en-GB"/>
        </w:rPr>
        <w:t>Also</w:t>
      </w:r>
      <w:proofErr w:type="gramEnd"/>
      <w:r w:rsidR="00837BDE" w:rsidRPr="00692371">
        <w:rPr>
          <w:lang w:val="en-GB"/>
        </w:rPr>
        <w:t xml:space="preserve"> some time window for UL grant monitoring could be determined</w:t>
      </w:r>
    </w:p>
    <w:p w14:paraId="2094EC7B" w14:textId="4C0E94B0" w:rsidR="001B06FB" w:rsidRPr="00692371" w:rsidRDefault="00831155" w:rsidP="00073535">
      <w:pPr>
        <w:rPr>
          <w:lang w:val="en-GB"/>
        </w:rPr>
      </w:pPr>
      <w:r w:rsidRPr="00692371">
        <w:rPr>
          <w:lang w:val="en-GB"/>
        </w:rPr>
        <w:t xml:space="preserve">In this context, it could be possible that the configured spatial relation (for UL grant) or TCI state (for PDCCH) that is based on measurements </w:t>
      </w:r>
      <w:proofErr w:type="spellStart"/>
      <w:r w:rsidRPr="00692371">
        <w:rPr>
          <w:lang w:val="en-GB"/>
        </w:rPr>
        <w:t>preceeding</w:t>
      </w:r>
      <w:proofErr w:type="spellEnd"/>
      <w:r w:rsidRPr="00692371">
        <w:rPr>
          <w:lang w:val="en-GB"/>
        </w:rPr>
        <w:t xml:space="preserve"> the HO, could be outdated and sub-optimal. To increase the robustness of the RACH-less HO different approaches could be considered. One approach for UL grant would be to configure UE with multiple UL resources, each corresponding to different DL RS</w:t>
      </w:r>
      <w:r w:rsidR="00B160E5" w:rsidRPr="00692371">
        <w:rPr>
          <w:lang w:val="en-GB"/>
        </w:rPr>
        <w:t xml:space="preserve"> allowing </w:t>
      </w:r>
      <w:r w:rsidR="001B06FB" w:rsidRPr="00692371">
        <w:rPr>
          <w:lang w:val="en-GB"/>
        </w:rPr>
        <w:t xml:space="preserve">the possible device mobility to be accounted in some level. I.e. UE would determine the best or the </w:t>
      </w:r>
      <w:proofErr w:type="spellStart"/>
      <w:r w:rsidR="001B06FB" w:rsidRPr="00692371">
        <w:rPr>
          <w:lang w:val="en-GB"/>
        </w:rPr>
        <w:t>RS’es</w:t>
      </w:r>
      <w:proofErr w:type="spellEnd"/>
      <w:r w:rsidR="001B06FB" w:rsidRPr="00692371">
        <w:rPr>
          <w:lang w:val="en-GB"/>
        </w:rPr>
        <w:t xml:space="preserve"> exceeding the set threshold for </w:t>
      </w:r>
      <w:proofErr w:type="spellStart"/>
      <w:r w:rsidR="001B06FB" w:rsidRPr="00692371">
        <w:rPr>
          <w:lang w:val="en-GB"/>
        </w:rPr>
        <w:t>selecing</w:t>
      </w:r>
      <w:proofErr w:type="spellEnd"/>
      <w:r w:rsidR="001B06FB" w:rsidRPr="00692371">
        <w:rPr>
          <w:lang w:val="en-GB"/>
        </w:rPr>
        <w:t xml:space="preserve"> the UL grant. This of course would increase the handover delay due to the UE measurements required at least for predefined time window and also increase the resource reservation in DL and </w:t>
      </w:r>
      <w:proofErr w:type="gramStart"/>
      <w:r w:rsidR="001B06FB" w:rsidRPr="00692371">
        <w:rPr>
          <w:lang w:val="en-GB"/>
        </w:rPr>
        <w:t>UL(</w:t>
      </w:r>
      <w:proofErr w:type="gramEnd"/>
      <w:r w:rsidR="001B06FB" w:rsidRPr="00692371">
        <w:rPr>
          <w:lang w:val="en-GB"/>
        </w:rPr>
        <w:t xml:space="preserve">temporarily). For DL PDCCH based resource allocation, UE could be similarly be configured with multiple PDCCH monitoring occasions associated with different DL </w:t>
      </w:r>
      <w:proofErr w:type="spellStart"/>
      <w:r w:rsidR="001B06FB" w:rsidRPr="00692371">
        <w:rPr>
          <w:lang w:val="en-GB"/>
        </w:rPr>
        <w:t>RS’es</w:t>
      </w:r>
      <w:proofErr w:type="spellEnd"/>
      <w:r w:rsidR="001B06FB" w:rsidRPr="00692371">
        <w:rPr>
          <w:lang w:val="en-GB"/>
        </w:rPr>
        <w:t xml:space="preserve"> enabling different beams to be attempted for UL scheduling delivery. E.g. in principle similar manner as is determined for SIB1 or paging delivery. </w:t>
      </w:r>
      <w:proofErr w:type="spellStart"/>
      <w:r w:rsidR="00A72285" w:rsidRPr="00692371">
        <w:rPr>
          <w:lang w:val="en-GB"/>
        </w:rPr>
        <w:t>Furhthermore</w:t>
      </w:r>
      <w:proofErr w:type="spellEnd"/>
      <w:r w:rsidR="00A72285" w:rsidRPr="00692371">
        <w:rPr>
          <w:lang w:val="en-GB"/>
        </w:rPr>
        <w:t xml:space="preserve">, it could be considered if there is a need for enabling UE to carry out RX beam refinement to improve the detection performance of the PDCCH. I.e. it could be considered to configure addition DL RS resources to allowing UE to refine </w:t>
      </w:r>
      <w:proofErr w:type="spellStart"/>
      <w:proofErr w:type="gramStart"/>
      <w:r w:rsidR="00A72285" w:rsidRPr="00692371">
        <w:rPr>
          <w:lang w:val="en-GB"/>
        </w:rPr>
        <w:t>it’s</w:t>
      </w:r>
      <w:proofErr w:type="spellEnd"/>
      <w:proofErr w:type="gramEnd"/>
      <w:r w:rsidR="00A72285" w:rsidRPr="00692371">
        <w:rPr>
          <w:lang w:val="en-GB"/>
        </w:rPr>
        <w:t xml:space="preserve"> RX beam for PDCCH reception.</w:t>
      </w:r>
      <w:r w:rsidR="00067A19" w:rsidRPr="00692371">
        <w:rPr>
          <w:lang w:val="en-GB"/>
        </w:rPr>
        <w:t xml:space="preserve"> However, as it could be assumed that RACH-less HO is used in more ‘stabile’ conditions, </w:t>
      </w:r>
      <w:proofErr w:type="spellStart"/>
      <w:r w:rsidR="00067A19" w:rsidRPr="00692371">
        <w:rPr>
          <w:lang w:val="en-GB"/>
        </w:rPr>
        <w:t>additioal</w:t>
      </w:r>
      <w:proofErr w:type="spellEnd"/>
    </w:p>
    <w:p w14:paraId="358CDF03" w14:textId="5EC3D7F7" w:rsidR="00F53533" w:rsidRPr="00692371" w:rsidRDefault="002106A0" w:rsidP="00073535">
      <w:pPr>
        <w:rPr>
          <w:lang w:val="en-GB"/>
        </w:rPr>
      </w:pPr>
      <w:r w:rsidRPr="00692371">
        <w:rPr>
          <w:b/>
          <w:lang w:val="en-GB"/>
        </w:rPr>
        <w:t>Observation:</w:t>
      </w:r>
      <w:r w:rsidRPr="00692371">
        <w:rPr>
          <w:lang w:val="en-GB"/>
        </w:rPr>
        <w:t xml:space="preserve"> </w:t>
      </w:r>
      <w:r w:rsidR="00A72285" w:rsidRPr="00692371">
        <w:rPr>
          <w:lang w:val="en-GB"/>
        </w:rPr>
        <w:t>For improving the robustness of RACH-less HO towards spatial domain changes, different mechanisms could be considered.</w:t>
      </w:r>
      <w:r w:rsidR="00067A19" w:rsidRPr="00692371">
        <w:rPr>
          <w:lang w:val="en-GB"/>
        </w:rPr>
        <w:t xml:space="preserve"> It should be further discussed whether these are needed.</w:t>
      </w:r>
    </w:p>
    <w:p w14:paraId="10B15AE1" w14:textId="00DDEDA3" w:rsidR="00F53533" w:rsidRPr="00692371" w:rsidRDefault="00A72285" w:rsidP="00073535">
      <w:pPr>
        <w:rPr>
          <w:lang w:val="en-GB"/>
        </w:rPr>
      </w:pPr>
      <w:r w:rsidRPr="00692371">
        <w:rPr>
          <w:lang w:val="en-GB"/>
        </w:rPr>
        <w:t>In context of CFRA procedure [38.321], if none of the DL RS associated with the dedicated RACH resources meet the set criterion (threshold), UE should fall-back to CBRA procedure. It could seem possible that similar approach would be considered also for RACH-less handover, so that if the UL resource</w:t>
      </w:r>
      <w:r w:rsidR="00837BDE" w:rsidRPr="00692371">
        <w:rPr>
          <w:lang w:val="en-GB"/>
        </w:rPr>
        <w:t>(</w:t>
      </w:r>
      <w:r w:rsidRPr="00692371">
        <w:rPr>
          <w:lang w:val="en-GB"/>
        </w:rPr>
        <w:t>s</w:t>
      </w:r>
      <w:r w:rsidR="00837BDE" w:rsidRPr="00692371">
        <w:rPr>
          <w:lang w:val="en-GB"/>
        </w:rPr>
        <w:t>) do not</w:t>
      </w:r>
      <w:r w:rsidRPr="00692371">
        <w:rPr>
          <w:lang w:val="en-GB"/>
        </w:rPr>
        <w:t xml:space="preserve"> meet the set threshold (</w:t>
      </w:r>
      <w:r w:rsidR="00837BDE" w:rsidRPr="00692371">
        <w:rPr>
          <w:lang w:val="en-GB"/>
        </w:rPr>
        <w:t>based on</w:t>
      </w:r>
      <w:r w:rsidRPr="00692371">
        <w:rPr>
          <w:lang w:val="en-GB"/>
        </w:rPr>
        <w:t xml:space="preserve"> DL RS), UE </w:t>
      </w:r>
      <w:proofErr w:type="spellStart"/>
      <w:r w:rsidRPr="00692371">
        <w:rPr>
          <w:lang w:val="en-GB"/>
        </w:rPr>
        <w:t>woud</w:t>
      </w:r>
      <w:proofErr w:type="spellEnd"/>
      <w:r w:rsidRPr="00692371">
        <w:rPr>
          <w:lang w:val="en-GB"/>
        </w:rPr>
        <w:t xml:space="preserve"> fall-back to RACH </w:t>
      </w:r>
      <w:r w:rsidR="00953F18" w:rsidRPr="00692371">
        <w:rPr>
          <w:lang w:val="en-GB"/>
        </w:rPr>
        <w:t xml:space="preserve">(CBRA) </w:t>
      </w:r>
      <w:r w:rsidRPr="00692371">
        <w:rPr>
          <w:lang w:val="en-GB"/>
        </w:rPr>
        <w:t xml:space="preserve">procedure. In case where the UE is required to monitor PDCCH to acquire the UL grant, </w:t>
      </w:r>
      <w:r w:rsidR="00751E82" w:rsidRPr="00692371">
        <w:rPr>
          <w:lang w:val="en-GB"/>
        </w:rPr>
        <w:t xml:space="preserve">it would seem possible to consider similar approach, e.g. if UE has not successfully received valid scheduling within a given time window, it would fall-back to CFRA. </w:t>
      </w:r>
    </w:p>
    <w:p w14:paraId="6A13BFCD" w14:textId="77777777" w:rsidR="00531A8A" w:rsidRPr="00692371" w:rsidRDefault="00067A19" w:rsidP="00751E82">
      <w:pPr>
        <w:rPr>
          <w:lang w:val="en-GB"/>
        </w:rPr>
      </w:pPr>
      <w:r w:rsidRPr="00692371">
        <w:rPr>
          <w:lang w:val="en-GB"/>
        </w:rPr>
        <w:t xml:space="preserve">For </w:t>
      </w:r>
      <w:proofErr w:type="gramStart"/>
      <w:r w:rsidRPr="00692371">
        <w:rPr>
          <w:lang w:val="en-GB"/>
        </w:rPr>
        <w:t>both of the aforementioned</w:t>
      </w:r>
      <w:proofErr w:type="gramEnd"/>
      <w:r w:rsidRPr="00692371">
        <w:rPr>
          <w:lang w:val="en-GB"/>
        </w:rPr>
        <w:t xml:space="preserve"> cases (UL grant provided in HO command or scheduled by target cell)</w:t>
      </w:r>
      <w:r w:rsidR="00A17684" w:rsidRPr="00692371">
        <w:rPr>
          <w:lang w:val="en-GB"/>
        </w:rPr>
        <w:t xml:space="preserve">, </w:t>
      </w:r>
      <w:r w:rsidR="00BE0A38" w:rsidRPr="00692371">
        <w:rPr>
          <w:lang w:val="en-GB"/>
        </w:rPr>
        <w:t>transmission power for the M</w:t>
      </w:r>
      <w:r w:rsidR="00531A8A" w:rsidRPr="00692371">
        <w:rPr>
          <w:lang w:val="en-GB"/>
        </w:rPr>
        <w:t>s</w:t>
      </w:r>
      <w:r w:rsidR="00BE0A38" w:rsidRPr="00692371">
        <w:rPr>
          <w:lang w:val="en-GB"/>
        </w:rPr>
        <w:t xml:space="preserve">g3 needs to be determined. </w:t>
      </w:r>
      <w:r w:rsidR="00531A8A" w:rsidRPr="00692371">
        <w:rPr>
          <w:lang w:val="en-GB"/>
        </w:rPr>
        <w:t xml:space="preserve">Two principle approaches can be considered, i.e. Msg1 based or Msg3 based. As in principle the UL allocation size could be accounted in the transmission power determination, using similar approach as for Msg3 (omitting the </w:t>
      </w:r>
      <w:proofErr w:type="spellStart"/>
      <w:r w:rsidR="00531A8A" w:rsidRPr="00692371">
        <w:rPr>
          <w:lang w:val="en-GB"/>
        </w:rPr>
        <w:t>unneccesary</w:t>
      </w:r>
      <w:proofErr w:type="spellEnd"/>
      <w:r w:rsidR="00531A8A" w:rsidRPr="00692371">
        <w:rPr>
          <w:lang w:val="en-GB"/>
        </w:rPr>
        <w:t xml:space="preserve"> parameters).</w:t>
      </w:r>
    </w:p>
    <w:p w14:paraId="17CFF669" w14:textId="2FE1D1C7" w:rsidR="00FA43D5" w:rsidRPr="00531A8A" w:rsidRDefault="00531A8A" w:rsidP="00751E82">
      <w:pPr>
        <w:rPr>
          <w:b/>
          <w:lang w:val="en-GB"/>
        </w:rPr>
      </w:pPr>
      <w:r w:rsidRPr="00692371">
        <w:rPr>
          <w:b/>
          <w:lang w:val="en-GB"/>
        </w:rPr>
        <w:lastRenderedPageBreak/>
        <w:t xml:space="preserve">Observation: </w:t>
      </w:r>
      <w:r w:rsidRPr="00692371">
        <w:rPr>
          <w:lang w:val="en-GB"/>
        </w:rPr>
        <w:t>To account possible different UL allocations, Msg3 based approach could be considered for the transmit power definition.</w:t>
      </w:r>
      <w:r w:rsidRPr="00531A8A">
        <w:rPr>
          <w:b/>
          <w:lang w:val="en-GB"/>
        </w:rPr>
        <w:t xml:space="preserve">  </w:t>
      </w:r>
    </w:p>
    <w:p w14:paraId="1EDEFA52" w14:textId="1E9DA2F2" w:rsidR="003237BC" w:rsidRPr="00B112AB" w:rsidRDefault="003237BC" w:rsidP="003237BC">
      <w:pPr>
        <w:pStyle w:val="Heading1"/>
      </w:pPr>
      <w:r>
        <w:t>DC</w:t>
      </w:r>
      <w:r w:rsidR="00B7471E">
        <w:t xml:space="preserve"> based HO and MBB</w:t>
      </w:r>
    </w:p>
    <w:p w14:paraId="5F620C1F" w14:textId="507FBCB8" w:rsidR="001E0E8B" w:rsidRDefault="001E104C" w:rsidP="006A0DD3">
      <w:pPr>
        <w:rPr>
          <w:lang w:val="en-GB"/>
        </w:rPr>
      </w:pPr>
      <w:r>
        <w:rPr>
          <w:lang w:val="en-GB"/>
        </w:rPr>
        <w:t xml:space="preserve">In RAN1#96bis RAN1 responded to </w:t>
      </w:r>
      <w:r w:rsidR="005C41B9">
        <w:rPr>
          <w:lang w:val="en-GB"/>
        </w:rPr>
        <w:t xml:space="preserve">RAN2 </w:t>
      </w:r>
      <w:r>
        <w:rPr>
          <w:lang w:val="en-GB"/>
        </w:rPr>
        <w:t xml:space="preserve">LS on the feasibility of different simultaneous connectivity scenarios </w:t>
      </w:r>
      <w:r>
        <w:rPr>
          <w:lang w:val="en-GB"/>
        </w:rPr>
        <w:fldChar w:fldCharType="begin"/>
      </w:r>
      <w:r>
        <w:rPr>
          <w:lang w:val="en-GB"/>
        </w:rPr>
        <w:instrText xml:space="preserve"> REF _Ref7542162 \r \h </w:instrText>
      </w:r>
      <w:r>
        <w:rPr>
          <w:lang w:val="en-GB"/>
        </w:rPr>
      </w:r>
      <w:r>
        <w:rPr>
          <w:lang w:val="en-GB"/>
        </w:rPr>
        <w:fldChar w:fldCharType="separate"/>
      </w:r>
      <w:r>
        <w:rPr>
          <w:lang w:val="en-GB"/>
        </w:rPr>
        <w:t>[2]</w:t>
      </w:r>
      <w:r>
        <w:rPr>
          <w:lang w:val="en-GB"/>
        </w:rPr>
        <w:fldChar w:fldCharType="end"/>
      </w:r>
      <w:r>
        <w:rPr>
          <w:lang w:val="en-GB"/>
        </w:rPr>
        <w:t xml:space="preserve">. In this section we discuss the DC based HO and MBB related aspects. </w:t>
      </w:r>
    </w:p>
    <w:p w14:paraId="0D96A555" w14:textId="163B90E7" w:rsidR="00B7471E" w:rsidRDefault="002819A1" w:rsidP="006A0DD3">
      <w:pPr>
        <w:rPr>
          <w:lang w:val="en-GB"/>
        </w:rPr>
      </w:pPr>
      <w:r>
        <w:rPr>
          <w:lang w:val="en-GB"/>
        </w:rPr>
        <w:t xml:space="preserve">In context of DC based HO, the is expected to maintain </w:t>
      </w:r>
      <w:proofErr w:type="spellStart"/>
      <w:r>
        <w:rPr>
          <w:lang w:val="en-GB"/>
        </w:rPr>
        <w:t>conection</w:t>
      </w:r>
      <w:proofErr w:type="spellEnd"/>
      <w:r>
        <w:rPr>
          <w:lang w:val="en-GB"/>
        </w:rPr>
        <w:t xml:space="preserve"> to both, source and target cell, simultaneously (to achieve 0ms interruption).</w:t>
      </w:r>
      <w:r w:rsidR="000973BE">
        <w:rPr>
          <w:lang w:val="en-GB"/>
        </w:rPr>
        <w:t xml:space="preserve"> This can also be considered for MBB to minimize the interruption.</w:t>
      </w:r>
      <w:r>
        <w:rPr>
          <w:lang w:val="en-GB"/>
        </w:rPr>
        <w:t xml:space="preserve"> Like raised in earlier meetings, the progress made in multi-TRP work (under MIMO agenda item) can be benefitted for DC based HO. In RAN1#96bis following agreements were made under multi-TRP:</w:t>
      </w:r>
    </w:p>
    <w:tbl>
      <w:tblPr>
        <w:tblStyle w:val="TableGrid"/>
        <w:tblW w:w="0" w:type="auto"/>
        <w:tblLook w:val="04A0" w:firstRow="1" w:lastRow="0" w:firstColumn="1" w:lastColumn="0" w:noHBand="0" w:noVBand="1"/>
      </w:tblPr>
      <w:tblGrid>
        <w:gridCol w:w="9629"/>
      </w:tblGrid>
      <w:tr w:rsidR="002819A1" w:rsidRPr="00B112AB" w14:paraId="7E17244F" w14:textId="77777777" w:rsidTr="00B21780">
        <w:tc>
          <w:tcPr>
            <w:tcW w:w="9629" w:type="dxa"/>
          </w:tcPr>
          <w:p w14:paraId="2BEADA48" w14:textId="77777777" w:rsidR="002819A1" w:rsidRPr="002819A1" w:rsidRDefault="002819A1" w:rsidP="002819A1">
            <w:pPr>
              <w:overflowPunct w:val="0"/>
              <w:autoSpaceDE w:val="0"/>
              <w:autoSpaceDN w:val="0"/>
              <w:adjustRightInd w:val="0"/>
              <w:spacing w:after="0" w:line="240" w:lineRule="auto"/>
              <w:jc w:val="both"/>
              <w:textAlignment w:val="baseline"/>
              <w:rPr>
                <w:rFonts w:ascii="Times New Roman" w:eastAsia="SimSun" w:hAnsi="Times New Roman" w:cs="Times New Roman"/>
                <w:b/>
                <w:sz w:val="20"/>
                <w:szCs w:val="24"/>
                <w:highlight w:val="green"/>
                <w:lang w:val="en-GB" w:eastAsia="en-US"/>
              </w:rPr>
            </w:pPr>
            <w:r w:rsidRPr="002819A1">
              <w:rPr>
                <w:rFonts w:ascii="Times New Roman" w:eastAsia="SimSun" w:hAnsi="Times New Roman" w:cs="Times New Roman"/>
                <w:b/>
                <w:sz w:val="20"/>
                <w:szCs w:val="24"/>
                <w:highlight w:val="green"/>
                <w:lang w:val="en-GB" w:eastAsia="en-US"/>
              </w:rPr>
              <w:t>Agreement</w:t>
            </w:r>
          </w:p>
          <w:p w14:paraId="6BC4D6BE" w14:textId="77777777" w:rsidR="002819A1" w:rsidRPr="002819A1" w:rsidRDefault="002819A1" w:rsidP="002819A1">
            <w:pPr>
              <w:overflowPunct w:val="0"/>
              <w:autoSpaceDE w:val="0"/>
              <w:autoSpaceDN w:val="0"/>
              <w:adjustRightInd w:val="0"/>
              <w:spacing w:after="0" w:line="240" w:lineRule="auto"/>
              <w:jc w:val="both"/>
              <w:textAlignment w:val="baseline"/>
              <w:rPr>
                <w:rFonts w:ascii="Times New Roman" w:eastAsia="SimSun" w:hAnsi="Times New Roman" w:cs="Times New Roman"/>
                <w:sz w:val="20"/>
                <w:szCs w:val="24"/>
                <w:lang w:val="en-GB" w:eastAsia="en-US"/>
              </w:rPr>
            </w:pPr>
            <w:r w:rsidRPr="002819A1">
              <w:rPr>
                <w:rFonts w:ascii="Times New Roman" w:eastAsia="SimSun" w:hAnsi="Times New Roman" w:cs="Times New Roman"/>
                <w:sz w:val="20"/>
                <w:szCs w:val="24"/>
                <w:lang w:val="en-GB" w:eastAsia="en-US"/>
              </w:rPr>
              <w:t xml:space="preserve">At least for </w:t>
            </w:r>
            <w:proofErr w:type="spellStart"/>
            <w:r w:rsidRPr="002819A1">
              <w:rPr>
                <w:rFonts w:ascii="Times New Roman" w:eastAsia="SimSun" w:hAnsi="Times New Roman" w:cs="Times New Roman"/>
                <w:sz w:val="20"/>
                <w:szCs w:val="24"/>
                <w:lang w:val="en-GB" w:eastAsia="en-US"/>
              </w:rPr>
              <w:t>eMBB</w:t>
            </w:r>
            <w:proofErr w:type="spellEnd"/>
            <w:r w:rsidRPr="002819A1">
              <w:rPr>
                <w:rFonts w:ascii="Times New Roman" w:eastAsia="SimSun" w:hAnsi="Times New Roman" w:cs="Times New Roman"/>
                <w:sz w:val="20"/>
                <w:szCs w:val="24"/>
                <w:lang w:val="en-GB" w:eastAsia="en-US"/>
              </w:rPr>
              <w:t xml:space="preserve"> with </w:t>
            </w:r>
            <w:r w:rsidRPr="002819A1">
              <w:rPr>
                <w:rFonts w:ascii="Times New Roman" w:eastAsia="Batang" w:hAnsi="Times New Roman" w:cs="Times New Roman"/>
                <w:sz w:val="20"/>
                <w:szCs w:val="24"/>
                <w:lang w:val="en-GB" w:eastAsia="en-US"/>
              </w:rPr>
              <w:t>multi-DCI based multi-TRP/panel transmission</w:t>
            </w:r>
            <w:r w:rsidRPr="002819A1">
              <w:rPr>
                <w:rFonts w:ascii="Times New Roman" w:eastAsia="SimSun" w:hAnsi="Times New Roman" w:cs="Times New Roman"/>
                <w:sz w:val="20"/>
                <w:szCs w:val="24"/>
                <w:lang w:val="en-GB" w:eastAsia="en-US"/>
              </w:rPr>
              <w:t xml:space="preserve">, different PDSCH scrambling sequences can be supported for PDSCHs, and selection one from the following alternatives in RAN1#97: </w:t>
            </w:r>
          </w:p>
          <w:p w14:paraId="796F2803" w14:textId="77777777" w:rsidR="002819A1" w:rsidRPr="002819A1" w:rsidRDefault="002819A1" w:rsidP="002819A1">
            <w:pPr>
              <w:numPr>
                <w:ilvl w:val="0"/>
                <w:numId w:val="16"/>
              </w:numPr>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0"/>
                <w:szCs w:val="24"/>
                <w:lang w:val="en-GB" w:eastAsia="x-none"/>
              </w:rPr>
            </w:pPr>
            <w:r w:rsidRPr="002819A1">
              <w:rPr>
                <w:rFonts w:ascii="Times New Roman" w:eastAsia="SimSun" w:hAnsi="Times New Roman" w:cs="Times New Roman"/>
                <w:sz w:val="20"/>
                <w:szCs w:val="24"/>
                <w:lang w:val="en-GB" w:eastAsia="x-none"/>
              </w:rPr>
              <w:t xml:space="preserve">Alt 1: enhance </w:t>
            </w:r>
            <w:proofErr w:type="spellStart"/>
            <w:r w:rsidRPr="002819A1">
              <w:rPr>
                <w:rFonts w:ascii="Times New Roman" w:eastAsia="SimSun" w:hAnsi="Times New Roman" w:cs="Times New Roman"/>
                <w:sz w:val="20"/>
                <w:szCs w:val="24"/>
                <w:lang w:val="en-GB" w:eastAsia="x-none"/>
              </w:rPr>
              <w:t>c_init</w:t>
            </w:r>
            <w:proofErr w:type="spellEnd"/>
            <w:r w:rsidRPr="002819A1">
              <w:rPr>
                <w:rFonts w:ascii="Times New Roman" w:eastAsia="SimSun" w:hAnsi="Times New Roman" w:cs="Times New Roman"/>
                <w:sz w:val="20"/>
                <w:szCs w:val="24"/>
                <w:lang w:val="en-GB" w:eastAsia="x-none"/>
              </w:rPr>
              <w:t>, FFS detailed design in RAN1 97</w:t>
            </w:r>
          </w:p>
          <w:p w14:paraId="385EF7FF" w14:textId="77777777" w:rsidR="002819A1" w:rsidRPr="002819A1" w:rsidRDefault="002819A1" w:rsidP="002819A1">
            <w:pPr>
              <w:numPr>
                <w:ilvl w:val="0"/>
                <w:numId w:val="16"/>
              </w:numPr>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0"/>
                <w:szCs w:val="24"/>
                <w:lang w:val="en-GB" w:eastAsia="x-none"/>
              </w:rPr>
            </w:pPr>
            <w:r w:rsidRPr="002819A1">
              <w:rPr>
                <w:rFonts w:ascii="Times New Roman" w:eastAsia="SimSun" w:hAnsi="Times New Roman" w:cs="Times New Roman"/>
                <w:sz w:val="20"/>
                <w:szCs w:val="24"/>
                <w:lang w:val="en-GB" w:eastAsia="x-none"/>
              </w:rPr>
              <w:t xml:space="preserve">Alt 2: enhance RRC configurations to support multiple </w:t>
            </w:r>
            <w:proofErr w:type="spellStart"/>
            <w:r w:rsidRPr="002819A1">
              <w:rPr>
                <w:rFonts w:ascii="Times New Roman" w:eastAsia="Malgun Gothic" w:hAnsi="Times New Roman" w:cs="Times New Roman"/>
                <w:sz w:val="20"/>
                <w:szCs w:val="24"/>
                <w:lang w:val="en-GB" w:eastAsia="ko-KR"/>
              </w:rPr>
              <w:t>dataScramblingIdentityPDSCH</w:t>
            </w:r>
            <w:proofErr w:type="spellEnd"/>
          </w:p>
          <w:p w14:paraId="2E5CC3AF" w14:textId="77777777" w:rsidR="002819A1" w:rsidRPr="002819A1" w:rsidRDefault="002819A1" w:rsidP="002819A1">
            <w:pPr>
              <w:spacing w:after="0" w:line="240" w:lineRule="auto"/>
              <w:rPr>
                <w:rFonts w:ascii="Times" w:eastAsia="Batang" w:hAnsi="Times" w:cs="Times New Roman"/>
                <w:sz w:val="20"/>
                <w:szCs w:val="24"/>
                <w:lang w:val="en-GB" w:eastAsia="x-none"/>
              </w:rPr>
            </w:pPr>
          </w:p>
          <w:p w14:paraId="37CBE671" w14:textId="77777777" w:rsidR="002819A1" w:rsidRPr="002819A1" w:rsidRDefault="002819A1" w:rsidP="002819A1">
            <w:pPr>
              <w:spacing w:after="0" w:line="240" w:lineRule="auto"/>
              <w:rPr>
                <w:rFonts w:ascii="Times" w:eastAsia="Batang" w:hAnsi="Times" w:cs="Times New Roman"/>
                <w:sz w:val="20"/>
                <w:szCs w:val="24"/>
                <w:lang w:val="en-GB" w:eastAsia="x-none"/>
              </w:rPr>
            </w:pPr>
          </w:p>
          <w:p w14:paraId="24545D09" w14:textId="77777777" w:rsidR="002819A1" w:rsidRPr="002819A1" w:rsidRDefault="002819A1" w:rsidP="002819A1">
            <w:pPr>
              <w:spacing w:after="0" w:line="240" w:lineRule="auto"/>
              <w:rPr>
                <w:rFonts w:ascii="Times" w:eastAsia="Batang" w:hAnsi="Times" w:cs="Times New Roman"/>
                <w:b/>
                <w:sz w:val="20"/>
                <w:szCs w:val="24"/>
                <w:highlight w:val="green"/>
                <w:lang w:val="en-GB" w:eastAsia="x-none"/>
              </w:rPr>
            </w:pPr>
            <w:r w:rsidRPr="002819A1">
              <w:rPr>
                <w:rFonts w:ascii="Times" w:eastAsia="Batang" w:hAnsi="Times" w:cs="Times New Roman"/>
                <w:b/>
                <w:sz w:val="20"/>
                <w:szCs w:val="24"/>
                <w:highlight w:val="green"/>
                <w:lang w:val="en-GB" w:eastAsia="x-none"/>
              </w:rPr>
              <w:t>Agreement</w:t>
            </w:r>
          </w:p>
          <w:p w14:paraId="5381EFE5" w14:textId="77777777" w:rsidR="002819A1" w:rsidRPr="002819A1" w:rsidRDefault="002819A1" w:rsidP="002819A1">
            <w:pPr>
              <w:tabs>
                <w:tab w:val="left" w:pos="0"/>
                <w:tab w:val="left" w:pos="2160"/>
              </w:tabs>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4"/>
                <w:lang w:val="en-GB" w:eastAsia="x-none"/>
              </w:rPr>
            </w:pPr>
            <w:r w:rsidRPr="002819A1">
              <w:rPr>
                <w:rFonts w:ascii="Times New Roman" w:eastAsia="Batang" w:hAnsi="Times New Roman" w:cs="Times New Roman"/>
                <w:sz w:val="20"/>
                <w:szCs w:val="24"/>
                <w:lang w:val="en-GB" w:eastAsia="x-none"/>
              </w:rPr>
              <w:t xml:space="preserve">For PDCCH monitoring and blind decoding for multi-DCI based multi-TRP/panel transmission,  </w:t>
            </w:r>
          </w:p>
          <w:p w14:paraId="3ADD04ED" w14:textId="77777777" w:rsidR="002819A1" w:rsidRPr="002819A1" w:rsidRDefault="002819A1" w:rsidP="002819A1">
            <w:pPr>
              <w:numPr>
                <w:ilvl w:val="0"/>
                <w:numId w:val="16"/>
              </w:numPr>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0"/>
                <w:szCs w:val="24"/>
                <w:lang w:val="en-GB" w:eastAsia="x-none"/>
              </w:rPr>
            </w:pPr>
            <w:r w:rsidRPr="002819A1">
              <w:rPr>
                <w:rFonts w:ascii="Times New Roman" w:eastAsia="SimSun" w:hAnsi="Times New Roman" w:cs="Times New Roman"/>
                <w:sz w:val="20"/>
                <w:szCs w:val="24"/>
                <w:lang w:val="en-GB" w:eastAsia="x-none"/>
              </w:rPr>
              <w:t>Increase the maximal number of CORESETs per “PDCCH-config” up to N</w:t>
            </w:r>
            <w:proofErr w:type="gramStart"/>
            <w:r w:rsidRPr="002819A1">
              <w:rPr>
                <w:rFonts w:ascii="Times New Roman" w:eastAsia="SimSun" w:hAnsi="Times New Roman" w:cs="Times New Roman"/>
                <w:sz w:val="20"/>
                <w:szCs w:val="24"/>
                <w:lang w:val="en-GB" w:eastAsia="x-none"/>
              </w:rPr>
              <w:t>=[</w:t>
            </w:r>
            <w:proofErr w:type="gramEnd"/>
            <w:r w:rsidRPr="002819A1">
              <w:rPr>
                <w:rFonts w:ascii="Times New Roman" w:eastAsia="SimSun" w:hAnsi="Times New Roman" w:cs="Times New Roman"/>
                <w:sz w:val="20"/>
                <w:szCs w:val="24"/>
                <w:lang w:val="en-GB" w:eastAsia="x-none"/>
              </w:rPr>
              <w:t>4, 5, or 6] subject to UE capability</w:t>
            </w:r>
          </w:p>
          <w:p w14:paraId="4C12BEAE" w14:textId="77777777" w:rsidR="002819A1" w:rsidRPr="002819A1" w:rsidRDefault="002819A1" w:rsidP="002819A1">
            <w:pPr>
              <w:numPr>
                <w:ilvl w:val="0"/>
                <w:numId w:val="16"/>
              </w:numPr>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0"/>
                <w:szCs w:val="24"/>
                <w:lang w:val="en-GB" w:eastAsia="x-none"/>
              </w:rPr>
            </w:pPr>
            <w:r w:rsidRPr="002819A1">
              <w:rPr>
                <w:rFonts w:ascii="Times New Roman" w:eastAsia="SimSun" w:hAnsi="Times New Roman" w:cs="Times New Roman"/>
                <w:sz w:val="20"/>
                <w:szCs w:val="24"/>
                <w:lang w:val="en-GB" w:eastAsia="x-none"/>
              </w:rPr>
              <w:t>Increase the maximal number of BD/CCE per slot per serving cell, subject to UE capability</w:t>
            </w:r>
          </w:p>
          <w:p w14:paraId="0629F71A" w14:textId="77777777" w:rsidR="002819A1" w:rsidRPr="002819A1" w:rsidRDefault="002819A1" w:rsidP="002819A1">
            <w:pPr>
              <w:spacing w:after="0" w:line="240" w:lineRule="auto"/>
              <w:rPr>
                <w:rFonts w:ascii="Times" w:eastAsia="Batang" w:hAnsi="Times" w:cs="Times New Roman"/>
                <w:sz w:val="20"/>
                <w:szCs w:val="24"/>
                <w:lang w:val="en-GB" w:eastAsia="x-none"/>
              </w:rPr>
            </w:pPr>
          </w:p>
          <w:p w14:paraId="12F9446A" w14:textId="77777777" w:rsidR="002819A1" w:rsidRPr="002819A1" w:rsidRDefault="002819A1" w:rsidP="002819A1">
            <w:pPr>
              <w:tabs>
                <w:tab w:val="left" w:pos="2160"/>
              </w:tabs>
              <w:overflowPunct w:val="0"/>
              <w:autoSpaceDE w:val="0"/>
              <w:autoSpaceDN w:val="0"/>
              <w:adjustRightInd w:val="0"/>
              <w:spacing w:after="0" w:line="240" w:lineRule="auto"/>
              <w:contextualSpacing/>
              <w:jc w:val="both"/>
              <w:textAlignment w:val="baseline"/>
              <w:rPr>
                <w:rFonts w:ascii="Times New Roman" w:eastAsia="Batang" w:hAnsi="Times New Roman" w:cs="Times New Roman"/>
                <w:b/>
                <w:sz w:val="20"/>
                <w:szCs w:val="24"/>
                <w:highlight w:val="green"/>
                <w:lang w:val="en-GB" w:eastAsia="x-none"/>
              </w:rPr>
            </w:pPr>
            <w:r w:rsidRPr="002819A1">
              <w:rPr>
                <w:rFonts w:ascii="Times New Roman" w:eastAsia="Batang" w:hAnsi="Times New Roman" w:cs="Times New Roman"/>
                <w:b/>
                <w:sz w:val="20"/>
                <w:szCs w:val="24"/>
                <w:highlight w:val="green"/>
                <w:lang w:val="en-GB" w:eastAsia="x-none"/>
              </w:rPr>
              <w:t>Agreement</w:t>
            </w:r>
          </w:p>
          <w:p w14:paraId="7FC2512C" w14:textId="77777777" w:rsidR="002819A1" w:rsidRPr="002819A1" w:rsidRDefault="002819A1" w:rsidP="002819A1">
            <w:pPr>
              <w:tabs>
                <w:tab w:val="left" w:pos="0"/>
                <w:tab w:val="left" w:pos="2160"/>
              </w:tabs>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4"/>
                <w:lang w:val="en-GB" w:eastAsia="x-none"/>
              </w:rPr>
            </w:pPr>
            <w:r w:rsidRPr="002819A1">
              <w:rPr>
                <w:rFonts w:ascii="Times New Roman" w:eastAsia="Batang" w:hAnsi="Times New Roman" w:cs="Times New Roman"/>
                <w:sz w:val="20"/>
                <w:szCs w:val="24"/>
                <w:lang w:val="en-GB" w:eastAsia="x-none"/>
              </w:rPr>
              <w:t xml:space="preserve">For separate ACK/NACK payload/feedback for received PDSCHs where multiple DCIs are used </w:t>
            </w:r>
          </w:p>
          <w:p w14:paraId="5CB10DCD" w14:textId="77777777" w:rsidR="002819A1" w:rsidRPr="002819A1" w:rsidRDefault="002819A1" w:rsidP="002819A1">
            <w:pPr>
              <w:numPr>
                <w:ilvl w:val="0"/>
                <w:numId w:val="16"/>
              </w:numPr>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0"/>
                <w:szCs w:val="24"/>
                <w:lang w:val="en-GB" w:eastAsia="x-none"/>
              </w:rPr>
            </w:pPr>
            <w:r w:rsidRPr="002819A1">
              <w:rPr>
                <w:rFonts w:ascii="Times New Roman" w:eastAsia="SimSun" w:hAnsi="Times New Roman" w:cs="Times New Roman"/>
                <w:sz w:val="20"/>
                <w:szCs w:val="24"/>
                <w:lang w:val="en-GB" w:eastAsia="x-none"/>
              </w:rPr>
              <w:t xml:space="preserve">Support </w:t>
            </w:r>
            <w:proofErr w:type="spellStart"/>
            <w:r w:rsidRPr="002819A1">
              <w:rPr>
                <w:rFonts w:ascii="Times New Roman" w:eastAsia="SimSun" w:hAnsi="Times New Roman" w:cs="Times New Roman"/>
                <w:sz w:val="20"/>
                <w:szCs w:val="24"/>
                <w:lang w:val="en-GB" w:eastAsia="x-none"/>
              </w:rPr>
              <w:t>TDMed</w:t>
            </w:r>
            <w:proofErr w:type="spellEnd"/>
            <w:r w:rsidRPr="002819A1">
              <w:rPr>
                <w:rFonts w:ascii="Times New Roman" w:eastAsia="SimSun" w:hAnsi="Times New Roman" w:cs="Times New Roman"/>
                <w:sz w:val="20"/>
                <w:szCs w:val="24"/>
                <w:lang w:val="en-GB" w:eastAsia="x-none"/>
              </w:rPr>
              <w:t xml:space="preserve"> PUCCH transmission within a slot to convey, at least separate ACK/NACK only feedback, with separated HARQ-ACK codebook for two TRPs</w:t>
            </w:r>
          </w:p>
          <w:p w14:paraId="0F6B6564" w14:textId="77777777" w:rsidR="002819A1" w:rsidRPr="002819A1" w:rsidRDefault="002819A1" w:rsidP="002819A1">
            <w:pPr>
              <w:numPr>
                <w:ilvl w:val="0"/>
                <w:numId w:val="16"/>
              </w:numPr>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0"/>
                <w:szCs w:val="24"/>
                <w:lang w:val="en-GB" w:eastAsia="x-none"/>
              </w:rPr>
            </w:pPr>
            <w:r w:rsidRPr="002819A1">
              <w:rPr>
                <w:rFonts w:ascii="Times New Roman" w:eastAsia="SimSun" w:hAnsi="Times New Roman" w:cs="Times New Roman"/>
                <w:sz w:val="20"/>
                <w:szCs w:val="24"/>
                <w:lang w:val="en-GB" w:eastAsia="x-none"/>
              </w:rPr>
              <w:t>FFS: Details on how this feature is supported in the specifications (for examples, introduction of restrictions and/or further enhancements)</w:t>
            </w:r>
          </w:p>
          <w:p w14:paraId="31CF7062" w14:textId="76DEBF6B" w:rsidR="002819A1" w:rsidRPr="002819A1" w:rsidRDefault="002819A1" w:rsidP="002819A1">
            <w:pPr>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0"/>
                <w:szCs w:val="24"/>
                <w:lang w:val="en-GB" w:eastAsia="x-none"/>
              </w:rPr>
            </w:pPr>
            <w:r w:rsidRPr="002819A1">
              <w:rPr>
                <w:rFonts w:ascii="Times New Roman" w:eastAsia="SimSun" w:hAnsi="Times New Roman" w:cs="Times New Roman"/>
                <w:sz w:val="20"/>
                <w:szCs w:val="24"/>
                <w:lang w:val="en-GB" w:eastAsia="x-none"/>
              </w:rPr>
              <w:t xml:space="preserve">Above applies at least for FR1 </w:t>
            </w:r>
          </w:p>
        </w:tc>
      </w:tr>
    </w:tbl>
    <w:p w14:paraId="2170CE9D" w14:textId="5A626182" w:rsidR="002819A1" w:rsidRDefault="002819A1" w:rsidP="006A0DD3">
      <w:pPr>
        <w:rPr>
          <w:lang w:val="en-GB"/>
        </w:rPr>
      </w:pPr>
    </w:p>
    <w:p w14:paraId="0B4398F6" w14:textId="4BAF21FB" w:rsidR="002819A1" w:rsidRDefault="002819A1" w:rsidP="006A0DD3">
      <w:pPr>
        <w:rPr>
          <w:lang w:val="en-GB"/>
        </w:rPr>
      </w:pPr>
      <w:r>
        <w:rPr>
          <w:lang w:val="en-GB"/>
        </w:rPr>
        <w:t xml:space="preserve">Thus, based on the multi-TRP agreements </w:t>
      </w:r>
      <w:r w:rsidR="00516747">
        <w:rPr>
          <w:lang w:val="en-GB"/>
        </w:rPr>
        <w:t>it would seem to be possible to s</w:t>
      </w:r>
      <w:r>
        <w:rPr>
          <w:lang w:val="en-GB"/>
        </w:rPr>
        <w:t>upport</w:t>
      </w:r>
      <w:r w:rsidR="00516747">
        <w:rPr>
          <w:lang w:val="en-GB"/>
        </w:rPr>
        <w:t xml:space="preserve"> following functionalities (that are relevant from simultaneous </w:t>
      </w:r>
      <w:proofErr w:type="spellStart"/>
      <w:r w:rsidR="00516747">
        <w:rPr>
          <w:lang w:val="en-GB"/>
        </w:rPr>
        <w:t>connecitivty</w:t>
      </w:r>
      <w:proofErr w:type="spellEnd"/>
      <w:r w:rsidR="00516747">
        <w:rPr>
          <w:lang w:val="en-GB"/>
        </w:rPr>
        <w:t xml:space="preserve"> for intra-frequency case)</w:t>
      </w:r>
      <w:r>
        <w:rPr>
          <w:lang w:val="en-GB"/>
        </w:rPr>
        <w:t>:</w:t>
      </w:r>
    </w:p>
    <w:p w14:paraId="470F7AF5" w14:textId="69AE1187" w:rsidR="002819A1" w:rsidRDefault="00516747" w:rsidP="002819A1">
      <w:pPr>
        <w:pStyle w:val="ListParagraph"/>
        <w:numPr>
          <w:ilvl w:val="0"/>
          <w:numId w:val="17"/>
        </w:numPr>
        <w:rPr>
          <w:sz w:val="22"/>
          <w:lang w:val="en-GB"/>
        </w:rPr>
      </w:pPr>
      <w:r>
        <w:rPr>
          <w:sz w:val="22"/>
          <w:lang w:val="en-GB"/>
        </w:rPr>
        <w:t>C</w:t>
      </w:r>
      <w:r w:rsidR="002819A1" w:rsidRPr="002819A1">
        <w:rPr>
          <w:sz w:val="22"/>
          <w:lang w:val="en-GB"/>
        </w:rPr>
        <w:t xml:space="preserve">onfiguring </w:t>
      </w:r>
      <w:r w:rsidR="002819A1">
        <w:rPr>
          <w:sz w:val="22"/>
          <w:lang w:val="en-GB"/>
        </w:rPr>
        <w:t xml:space="preserve">different PDCCH to be monitored from different </w:t>
      </w:r>
      <w:r>
        <w:rPr>
          <w:sz w:val="22"/>
          <w:lang w:val="en-GB"/>
        </w:rPr>
        <w:t>sources (</w:t>
      </w:r>
      <w:r w:rsidR="002819A1">
        <w:rPr>
          <w:sz w:val="22"/>
          <w:lang w:val="en-GB"/>
        </w:rPr>
        <w:t>cells</w:t>
      </w:r>
      <w:r>
        <w:rPr>
          <w:sz w:val="22"/>
          <w:lang w:val="en-GB"/>
        </w:rPr>
        <w:t>/TRPs)</w:t>
      </w:r>
    </w:p>
    <w:p w14:paraId="6CCCE938" w14:textId="18B77094" w:rsidR="00516747" w:rsidRDefault="00516747" w:rsidP="002819A1">
      <w:pPr>
        <w:pStyle w:val="ListParagraph"/>
        <w:numPr>
          <w:ilvl w:val="0"/>
          <w:numId w:val="17"/>
        </w:numPr>
        <w:rPr>
          <w:sz w:val="22"/>
          <w:lang w:val="en-GB"/>
        </w:rPr>
      </w:pPr>
      <w:r>
        <w:rPr>
          <w:sz w:val="22"/>
          <w:lang w:val="en-GB"/>
        </w:rPr>
        <w:t>Receiving PDSCH from different sources (cells/TRPs)</w:t>
      </w:r>
    </w:p>
    <w:p w14:paraId="5066A1CD" w14:textId="37D3958E" w:rsidR="00516747" w:rsidRPr="002819A1" w:rsidRDefault="00516747" w:rsidP="002819A1">
      <w:pPr>
        <w:pStyle w:val="ListParagraph"/>
        <w:numPr>
          <w:ilvl w:val="0"/>
          <w:numId w:val="17"/>
        </w:numPr>
        <w:rPr>
          <w:sz w:val="22"/>
          <w:lang w:val="en-GB"/>
        </w:rPr>
      </w:pPr>
      <w:r>
        <w:rPr>
          <w:sz w:val="22"/>
          <w:lang w:val="en-GB"/>
        </w:rPr>
        <w:t>PUCCH based HARQ-ACK feedback to different targets (cells/TRPs)</w:t>
      </w:r>
      <w:r w:rsidR="000973BE">
        <w:rPr>
          <w:sz w:val="22"/>
          <w:lang w:val="en-GB"/>
        </w:rPr>
        <w:t xml:space="preserve"> based on TDM</w:t>
      </w:r>
    </w:p>
    <w:p w14:paraId="4B4144FB" w14:textId="77777777" w:rsidR="003E3606" w:rsidRDefault="003E3606" w:rsidP="006A0DD3">
      <w:pPr>
        <w:rPr>
          <w:lang w:val="en-GB"/>
        </w:rPr>
      </w:pPr>
    </w:p>
    <w:p w14:paraId="62FE47FA" w14:textId="77576539" w:rsidR="000973BE" w:rsidRDefault="003E3606" w:rsidP="00691A34">
      <w:pPr>
        <w:spacing w:after="0"/>
        <w:rPr>
          <w:lang w:val="en-GB"/>
        </w:rPr>
      </w:pPr>
      <w:r w:rsidRPr="003E3606">
        <w:rPr>
          <w:b/>
          <w:lang w:val="en-GB"/>
        </w:rPr>
        <w:t>Observation</w:t>
      </w:r>
      <w:r>
        <w:rPr>
          <w:lang w:val="en-GB"/>
        </w:rPr>
        <w:t>: Based on multi-TRP agreements following functionalities would be supported in Rel-16, at least for FR1:</w:t>
      </w:r>
    </w:p>
    <w:p w14:paraId="7A2103BE" w14:textId="77777777" w:rsidR="003E3606" w:rsidRDefault="003E3606" w:rsidP="003E3606">
      <w:pPr>
        <w:pStyle w:val="ListParagraph"/>
        <w:numPr>
          <w:ilvl w:val="0"/>
          <w:numId w:val="17"/>
        </w:numPr>
        <w:rPr>
          <w:sz w:val="22"/>
          <w:lang w:val="en-GB"/>
        </w:rPr>
      </w:pPr>
      <w:r>
        <w:rPr>
          <w:sz w:val="22"/>
          <w:lang w:val="en-GB"/>
        </w:rPr>
        <w:t>C</w:t>
      </w:r>
      <w:r w:rsidRPr="002819A1">
        <w:rPr>
          <w:sz w:val="22"/>
          <w:lang w:val="en-GB"/>
        </w:rPr>
        <w:t xml:space="preserve">onfiguring </w:t>
      </w:r>
      <w:r>
        <w:rPr>
          <w:sz w:val="22"/>
          <w:lang w:val="en-GB"/>
        </w:rPr>
        <w:t>different PDCCH to be monitored from different sources (cells/TRPs)</w:t>
      </w:r>
    </w:p>
    <w:p w14:paraId="5F997D7E" w14:textId="77777777" w:rsidR="003E3606" w:rsidRDefault="003E3606" w:rsidP="003E3606">
      <w:pPr>
        <w:pStyle w:val="ListParagraph"/>
        <w:numPr>
          <w:ilvl w:val="0"/>
          <w:numId w:val="17"/>
        </w:numPr>
        <w:rPr>
          <w:sz w:val="22"/>
          <w:lang w:val="en-GB"/>
        </w:rPr>
      </w:pPr>
      <w:r>
        <w:rPr>
          <w:sz w:val="22"/>
          <w:lang w:val="en-GB"/>
        </w:rPr>
        <w:t>Receiving PDSCH from different sources (cells/TRPs)</w:t>
      </w:r>
    </w:p>
    <w:p w14:paraId="1E703327" w14:textId="77777777" w:rsidR="003E3606" w:rsidRPr="002819A1" w:rsidRDefault="003E3606" w:rsidP="003E3606">
      <w:pPr>
        <w:pStyle w:val="ListParagraph"/>
        <w:numPr>
          <w:ilvl w:val="0"/>
          <w:numId w:val="17"/>
        </w:numPr>
        <w:rPr>
          <w:sz w:val="22"/>
          <w:lang w:val="en-GB"/>
        </w:rPr>
      </w:pPr>
      <w:r>
        <w:rPr>
          <w:sz w:val="22"/>
          <w:lang w:val="en-GB"/>
        </w:rPr>
        <w:t>PUCCH based HARQ-ACK feedback to different targets (cells/TRPs) based on TDM</w:t>
      </w:r>
    </w:p>
    <w:p w14:paraId="7D146F30" w14:textId="77777777" w:rsidR="003E3606" w:rsidRDefault="003E3606" w:rsidP="006A0DD3">
      <w:pPr>
        <w:rPr>
          <w:lang w:val="en-GB"/>
        </w:rPr>
      </w:pPr>
    </w:p>
    <w:p w14:paraId="1A3DB92C" w14:textId="75523070" w:rsidR="000973BE" w:rsidRDefault="002819A1" w:rsidP="006A0DD3">
      <w:pPr>
        <w:rPr>
          <w:lang w:val="en-GB"/>
        </w:rPr>
      </w:pPr>
      <w:r>
        <w:rPr>
          <w:lang w:val="en-GB"/>
        </w:rPr>
        <w:t xml:space="preserve">Now it is understood that aforementioned agreement </w:t>
      </w:r>
      <w:proofErr w:type="gramStart"/>
      <w:r>
        <w:rPr>
          <w:lang w:val="en-GB"/>
        </w:rPr>
        <w:t>are</w:t>
      </w:r>
      <w:proofErr w:type="gramEnd"/>
      <w:r>
        <w:rPr>
          <w:lang w:val="en-GB"/>
        </w:rPr>
        <w:t xml:space="preserve"> to be considered mainly in context of FR1, and </w:t>
      </w:r>
      <w:proofErr w:type="spellStart"/>
      <w:r>
        <w:rPr>
          <w:lang w:val="en-GB"/>
        </w:rPr>
        <w:t>incase</w:t>
      </w:r>
      <w:proofErr w:type="spellEnd"/>
      <w:r>
        <w:rPr>
          <w:lang w:val="en-GB"/>
        </w:rPr>
        <w:t xml:space="preserve"> or FR2 there is a need to account </w:t>
      </w:r>
      <w:r w:rsidR="00516747">
        <w:rPr>
          <w:lang w:val="en-GB"/>
        </w:rPr>
        <w:t>possible restriction in spatial domain</w:t>
      </w:r>
      <w:r w:rsidR="000973BE">
        <w:rPr>
          <w:lang w:val="en-GB"/>
        </w:rPr>
        <w:t>.</w:t>
      </w:r>
      <w:r w:rsidR="003E3606">
        <w:rPr>
          <w:lang w:val="en-GB"/>
        </w:rPr>
        <w:t xml:space="preserve"> This may imply introducing some TDM pattern for reception and transmission.</w:t>
      </w:r>
    </w:p>
    <w:p w14:paraId="6D192AFD" w14:textId="02F1E883" w:rsidR="003E3606" w:rsidRDefault="003E3606" w:rsidP="006A0DD3">
      <w:pPr>
        <w:rPr>
          <w:lang w:val="en-GB"/>
        </w:rPr>
      </w:pPr>
      <w:r w:rsidRPr="003E3606">
        <w:rPr>
          <w:b/>
          <w:lang w:val="en-GB"/>
        </w:rPr>
        <w:lastRenderedPageBreak/>
        <w:t xml:space="preserve">Observation: </w:t>
      </w:r>
      <w:r>
        <w:rPr>
          <w:lang w:val="en-GB"/>
        </w:rPr>
        <w:t>Due to possible spatial domain restrictions</w:t>
      </w:r>
      <w:r w:rsidR="005848B5">
        <w:rPr>
          <w:lang w:val="en-GB"/>
        </w:rPr>
        <w:t xml:space="preserve"> in FR2</w:t>
      </w:r>
      <w:r>
        <w:rPr>
          <w:lang w:val="en-GB"/>
        </w:rPr>
        <w:t>, simultaneous connectivity may require some TDM pattern for reception and transmission, if supported.</w:t>
      </w:r>
    </w:p>
    <w:p w14:paraId="325C593B" w14:textId="729A6B8F" w:rsidR="000973BE" w:rsidRDefault="000973BE" w:rsidP="006A0DD3">
      <w:pPr>
        <w:rPr>
          <w:lang w:val="en-GB"/>
        </w:rPr>
      </w:pPr>
      <w:r>
        <w:rPr>
          <w:lang w:val="en-GB"/>
        </w:rPr>
        <w:t>The aspect that is not (yet) considered under multi-TRP work, is the procedures related to RACH transmission to target cell. Evidently the needed specification support would depend on the UE capability but following aspects would appear to require RAN1 attention:</w:t>
      </w:r>
    </w:p>
    <w:p w14:paraId="291D4F1A" w14:textId="6E624AB1" w:rsidR="000973BE" w:rsidRDefault="000973BE" w:rsidP="000973BE">
      <w:pPr>
        <w:pStyle w:val="ListParagraph"/>
        <w:numPr>
          <w:ilvl w:val="0"/>
          <w:numId w:val="18"/>
        </w:numPr>
        <w:rPr>
          <w:sz w:val="22"/>
          <w:lang w:val="en-GB"/>
        </w:rPr>
      </w:pPr>
      <w:r w:rsidRPr="003E3606">
        <w:rPr>
          <w:sz w:val="22"/>
          <w:lang w:val="en-GB"/>
        </w:rPr>
        <w:t xml:space="preserve">If UE support simultaneous transmission to two cells, behaviour and possibly transmit power control would need to be determined for the cases when RACH collides with transmission to </w:t>
      </w:r>
      <w:proofErr w:type="gramStart"/>
      <w:r w:rsidRPr="003E3606">
        <w:rPr>
          <w:sz w:val="22"/>
          <w:lang w:val="en-GB"/>
        </w:rPr>
        <w:t>other</w:t>
      </w:r>
      <w:proofErr w:type="gramEnd"/>
      <w:r w:rsidRPr="003E3606">
        <w:rPr>
          <w:sz w:val="22"/>
          <w:lang w:val="en-GB"/>
        </w:rPr>
        <w:t xml:space="preserve"> cell</w:t>
      </w:r>
    </w:p>
    <w:p w14:paraId="4BD869C7" w14:textId="0303F07E" w:rsidR="00AB1B43" w:rsidRPr="003E3606" w:rsidRDefault="00AB1B43" w:rsidP="00AB1B43">
      <w:pPr>
        <w:pStyle w:val="ListParagraph"/>
        <w:numPr>
          <w:ilvl w:val="1"/>
          <w:numId w:val="18"/>
        </w:numPr>
        <w:rPr>
          <w:sz w:val="22"/>
          <w:lang w:val="en-GB"/>
        </w:rPr>
      </w:pPr>
      <w:r>
        <w:rPr>
          <w:sz w:val="22"/>
          <w:lang w:val="en-GB"/>
        </w:rPr>
        <w:t xml:space="preserve">This could be </w:t>
      </w:r>
      <w:proofErr w:type="spellStart"/>
      <w:r>
        <w:rPr>
          <w:sz w:val="22"/>
          <w:lang w:val="en-GB"/>
        </w:rPr>
        <w:t>separetly</w:t>
      </w:r>
      <w:proofErr w:type="spellEnd"/>
      <w:r>
        <w:rPr>
          <w:sz w:val="22"/>
          <w:lang w:val="en-GB"/>
        </w:rPr>
        <w:t xml:space="preserve"> considered for 4-step and 2-step RACH</w:t>
      </w:r>
    </w:p>
    <w:p w14:paraId="3A7E322E" w14:textId="2CCFED62" w:rsidR="000973BE" w:rsidRDefault="000973BE" w:rsidP="000973BE">
      <w:pPr>
        <w:pStyle w:val="ListParagraph"/>
        <w:numPr>
          <w:ilvl w:val="0"/>
          <w:numId w:val="18"/>
        </w:numPr>
        <w:rPr>
          <w:sz w:val="22"/>
          <w:lang w:val="en-GB"/>
        </w:rPr>
      </w:pPr>
      <w:r w:rsidRPr="003E3606">
        <w:rPr>
          <w:sz w:val="22"/>
          <w:lang w:val="en-GB"/>
        </w:rPr>
        <w:t>If UE does not support simultaneous transmission, the TDM behaviour would need to be determined</w:t>
      </w:r>
      <w:r w:rsidR="00AB1B43">
        <w:rPr>
          <w:sz w:val="22"/>
          <w:lang w:val="en-GB"/>
        </w:rPr>
        <w:t>.</w:t>
      </w:r>
    </w:p>
    <w:p w14:paraId="29CCD3C2" w14:textId="6C982D8C" w:rsidR="00AB1B43" w:rsidRPr="00AB1B43" w:rsidRDefault="00AB1B43" w:rsidP="00AB1B43">
      <w:pPr>
        <w:rPr>
          <w:lang w:val="en-GB"/>
        </w:rPr>
      </w:pPr>
      <w:r w:rsidRPr="00AB1B43">
        <w:rPr>
          <w:lang w:val="en-GB"/>
        </w:rPr>
        <w:t>For power control behaviour NR-DC could provide baseline behaviour</w:t>
      </w:r>
      <w:r w:rsidR="006455EB">
        <w:rPr>
          <w:lang w:val="en-GB"/>
        </w:rPr>
        <w:t xml:space="preserve">, but some further consideration may be needed RACH, especially in case of intra-frequency simultaneous connectivity. </w:t>
      </w:r>
    </w:p>
    <w:p w14:paraId="387C5A06" w14:textId="77777777" w:rsidR="00AB1B43" w:rsidRPr="00AB1B43" w:rsidRDefault="00AB1B43" w:rsidP="00AB1B43">
      <w:pPr>
        <w:rPr>
          <w:lang w:val="en-GB"/>
        </w:rPr>
      </w:pPr>
    </w:p>
    <w:p w14:paraId="10445A01" w14:textId="4B2163E6" w:rsidR="00885580" w:rsidRPr="00B112AB" w:rsidRDefault="007820D0" w:rsidP="00885580">
      <w:pPr>
        <w:pStyle w:val="Heading1"/>
      </w:pPr>
      <w:r w:rsidRPr="00B112AB">
        <w:t>Conclusion</w:t>
      </w:r>
    </w:p>
    <w:p w14:paraId="72191028" w14:textId="68018496" w:rsidR="001E0E8B" w:rsidRDefault="00F2352A" w:rsidP="00AB1B43">
      <w:pPr>
        <w:rPr>
          <w:lang w:val="en-GB"/>
        </w:rPr>
      </w:pPr>
      <w:r w:rsidRPr="00B112AB">
        <w:rPr>
          <w:lang w:val="en-GB"/>
        </w:rPr>
        <w:t xml:space="preserve">In this contribution we </w:t>
      </w:r>
      <w:r w:rsidR="00845634">
        <w:rPr>
          <w:lang w:val="en-GB"/>
        </w:rPr>
        <w:t xml:space="preserve">discussed </w:t>
      </w:r>
      <w:r w:rsidR="001E0E8B">
        <w:rPr>
          <w:lang w:val="en-GB"/>
        </w:rPr>
        <w:t xml:space="preserve">the </w:t>
      </w:r>
      <w:r w:rsidR="003E3606">
        <w:rPr>
          <w:lang w:val="en-GB"/>
        </w:rPr>
        <w:t xml:space="preserve">physical layer aspects related to Rel-16 mobility enhancements. </w:t>
      </w:r>
    </w:p>
    <w:p w14:paraId="1D486EFF" w14:textId="2BAB2705" w:rsidR="00AB1B43" w:rsidRDefault="00AB1B43" w:rsidP="00AB1B43">
      <w:pPr>
        <w:rPr>
          <w:lang w:val="en-GB"/>
        </w:rPr>
      </w:pPr>
      <w:r>
        <w:rPr>
          <w:lang w:val="en-GB"/>
        </w:rPr>
        <w:t xml:space="preserve">In context of RACH-less HO we make following </w:t>
      </w:r>
      <w:proofErr w:type="gramStart"/>
      <w:r>
        <w:rPr>
          <w:lang w:val="en-GB"/>
        </w:rPr>
        <w:t>observations:-</w:t>
      </w:r>
      <w:proofErr w:type="gramEnd"/>
    </w:p>
    <w:p w14:paraId="6004B0CC" w14:textId="19375FC2" w:rsidR="009211CA" w:rsidRDefault="009211CA" w:rsidP="00AB1B43">
      <w:pPr>
        <w:rPr>
          <w:lang w:val="en-GB"/>
        </w:rPr>
      </w:pPr>
      <w:r w:rsidRPr="00692371">
        <w:rPr>
          <w:b/>
          <w:lang w:val="en-GB"/>
        </w:rPr>
        <w:t xml:space="preserve">Observation: </w:t>
      </w:r>
      <w:r w:rsidRPr="00692371">
        <w:rPr>
          <w:lang w:val="en-GB"/>
        </w:rPr>
        <w:t>In addition to UL grant and TA information in RACH-less HO, spatial relation is needed for UL resources.</w:t>
      </w:r>
    </w:p>
    <w:p w14:paraId="6EFA2BAB" w14:textId="58842EAE" w:rsidR="009211CA" w:rsidRDefault="009211CA" w:rsidP="00AB1B43">
      <w:pPr>
        <w:rPr>
          <w:lang w:val="en-GB"/>
        </w:rPr>
      </w:pPr>
      <w:r w:rsidRPr="00692371">
        <w:rPr>
          <w:b/>
          <w:lang w:val="en-GB"/>
        </w:rPr>
        <w:t xml:space="preserve">Observation: </w:t>
      </w:r>
      <w:r w:rsidRPr="00692371">
        <w:rPr>
          <w:lang w:val="en-GB"/>
        </w:rPr>
        <w:t xml:space="preserve">For the case that the UL resource is provided by PDCCH in target cell, PDCCH monitoring occasions need to be determined for the UE. </w:t>
      </w:r>
      <w:proofErr w:type="gramStart"/>
      <w:r w:rsidRPr="00692371">
        <w:rPr>
          <w:lang w:val="en-GB"/>
        </w:rPr>
        <w:t>Also</w:t>
      </w:r>
      <w:proofErr w:type="gramEnd"/>
      <w:r w:rsidRPr="00692371">
        <w:rPr>
          <w:lang w:val="en-GB"/>
        </w:rPr>
        <w:t xml:space="preserve"> some time window for UL grant monitoring could be determined</w:t>
      </w:r>
      <w:r>
        <w:rPr>
          <w:lang w:val="en-GB"/>
        </w:rPr>
        <w:t>.</w:t>
      </w:r>
    </w:p>
    <w:p w14:paraId="4441C366" w14:textId="5B63AC0E" w:rsidR="00AB1B43" w:rsidRDefault="009211CA" w:rsidP="00AB1B43">
      <w:pPr>
        <w:rPr>
          <w:lang w:val="en-GB"/>
        </w:rPr>
      </w:pPr>
      <w:r w:rsidRPr="00692371">
        <w:rPr>
          <w:b/>
          <w:lang w:val="en-GB"/>
        </w:rPr>
        <w:t>Observation:</w:t>
      </w:r>
      <w:r w:rsidRPr="00692371">
        <w:rPr>
          <w:lang w:val="en-GB"/>
        </w:rPr>
        <w:t xml:space="preserve"> For improving the robustness of RACH-less HO towards spatial domain changes, different mechanisms could be considered. It should be further discussed whether these are needed.</w:t>
      </w:r>
    </w:p>
    <w:p w14:paraId="784216D0" w14:textId="77777777" w:rsidR="009211CA" w:rsidRPr="00531A8A" w:rsidRDefault="009211CA" w:rsidP="009211CA">
      <w:pPr>
        <w:rPr>
          <w:b/>
          <w:lang w:val="en-GB"/>
        </w:rPr>
      </w:pPr>
      <w:r w:rsidRPr="00692371">
        <w:rPr>
          <w:b/>
          <w:lang w:val="en-GB"/>
        </w:rPr>
        <w:t xml:space="preserve">Observation: </w:t>
      </w:r>
      <w:r w:rsidRPr="00692371">
        <w:rPr>
          <w:lang w:val="en-GB"/>
        </w:rPr>
        <w:t>To account possible different UL allocations, Msg3 based approach could be considered for the transmit power definition.</w:t>
      </w:r>
      <w:r w:rsidRPr="00531A8A">
        <w:rPr>
          <w:b/>
          <w:lang w:val="en-GB"/>
        </w:rPr>
        <w:t xml:space="preserve">  </w:t>
      </w:r>
    </w:p>
    <w:p w14:paraId="2D5385D5" w14:textId="77777777" w:rsidR="009211CA" w:rsidRDefault="009211CA" w:rsidP="00AB1B43">
      <w:pPr>
        <w:rPr>
          <w:lang w:val="en-GB"/>
        </w:rPr>
      </w:pPr>
    </w:p>
    <w:p w14:paraId="4482470D" w14:textId="0D4C8246" w:rsidR="00AB1B43" w:rsidRDefault="00AB1B43" w:rsidP="00AB1B43">
      <w:pPr>
        <w:rPr>
          <w:lang w:val="en-GB"/>
        </w:rPr>
      </w:pPr>
      <w:r>
        <w:rPr>
          <w:lang w:val="en-GB"/>
        </w:rPr>
        <w:t>For the simultaneous connectivity cases, DC based HO and MBB, we make following observations:</w:t>
      </w:r>
    </w:p>
    <w:p w14:paraId="2D1F34DC" w14:textId="77777777" w:rsidR="00691A34" w:rsidRDefault="00691A34" w:rsidP="00691A34">
      <w:pPr>
        <w:spacing w:after="0"/>
        <w:rPr>
          <w:lang w:val="en-GB"/>
        </w:rPr>
      </w:pPr>
      <w:r w:rsidRPr="003E3606">
        <w:rPr>
          <w:b/>
          <w:lang w:val="en-GB"/>
        </w:rPr>
        <w:t>Observation</w:t>
      </w:r>
      <w:r>
        <w:rPr>
          <w:lang w:val="en-GB"/>
        </w:rPr>
        <w:t>: Based on multi-TRP agreements following functionalities would be supported in Rel-16, at least for FR1:</w:t>
      </w:r>
    </w:p>
    <w:p w14:paraId="213BAA39" w14:textId="77777777" w:rsidR="00691A34" w:rsidRDefault="00691A34" w:rsidP="00691A34">
      <w:pPr>
        <w:pStyle w:val="ListParagraph"/>
        <w:numPr>
          <w:ilvl w:val="0"/>
          <w:numId w:val="17"/>
        </w:numPr>
        <w:rPr>
          <w:sz w:val="22"/>
          <w:lang w:val="en-GB"/>
        </w:rPr>
      </w:pPr>
      <w:r>
        <w:rPr>
          <w:sz w:val="22"/>
          <w:lang w:val="en-GB"/>
        </w:rPr>
        <w:t>C</w:t>
      </w:r>
      <w:r w:rsidRPr="002819A1">
        <w:rPr>
          <w:sz w:val="22"/>
          <w:lang w:val="en-GB"/>
        </w:rPr>
        <w:t xml:space="preserve">onfiguring </w:t>
      </w:r>
      <w:r>
        <w:rPr>
          <w:sz w:val="22"/>
          <w:lang w:val="en-GB"/>
        </w:rPr>
        <w:t>different PDCCH to be monitored from different sources (cells/TRPs)</w:t>
      </w:r>
    </w:p>
    <w:p w14:paraId="08FE1F6E" w14:textId="77777777" w:rsidR="00691A34" w:rsidRDefault="00691A34" w:rsidP="00691A34">
      <w:pPr>
        <w:pStyle w:val="ListParagraph"/>
        <w:numPr>
          <w:ilvl w:val="0"/>
          <w:numId w:val="17"/>
        </w:numPr>
        <w:rPr>
          <w:sz w:val="22"/>
          <w:lang w:val="en-GB"/>
        </w:rPr>
      </w:pPr>
      <w:r>
        <w:rPr>
          <w:sz w:val="22"/>
          <w:lang w:val="en-GB"/>
        </w:rPr>
        <w:t>Receiving PDSCH from different sources (cells/TRPs)</w:t>
      </w:r>
    </w:p>
    <w:p w14:paraId="4B2E5C85" w14:textId="3F6446D3" w:rsidR="00AB1B43" w:rsidRPr="00691A34" w:rsidRDefault="00691A34" w:rsidP="00AB1B43">
      <w:pPr>
        <w:pStyle w:val="ListParagraph"/>
        <w:numPr>
          <w:ilvl w:val="0"/>
          <w:numId w:val="17"/>
        </w:numPr>
        <w:rPr>
          <w:sz w:val="22"/>
          <w:lang w:val="en-GB"/>
        </w:rPr>
      </w:pPr>
      <w:r>
        <w:rPr>
          <w:sz w:val="22"/>
          <w:lang w:val="en-GB"/>
        </w:rPr>
        <w:t>PUCCH based HARQ-ACK feedback to different targets (cells/TRPs) based on TDM</w:t>
      </w:r>
    </w:p>
    <w:p w14:paraId="1A91AC2F" w14:textId="77777777" w:rsidR="00691A34" w:rsidRDefault="00691A34" w:rsidP="00691A34">
      <w:pPr>
        <w:rPr>
          <w:b/>
          <w:lang w:val="en-GB"/>
        </w:rPr>
      </w:pPr>
    </w:p>
    <w:p w14:paraId="780967B6" w14:textId="1DB89D8E" w:rsidR="00691A34" w:rsidRDefault="00691A34" w:rsidP="00691A34">
      <w:pPr>
        <w:rPr>
          <w:lang w:val="en-GB"/>
        </w:rPr>
      </w:pPr>
      <w:r w:rsidRPr="003E3606">
        <w:rPr>
          <w:b/>
          <w:lang w:val="en-GB"/>
        </w:rPr>
        <w:t xml:space="preserve">Observation: </w:t>
      </w:r>
      <w:r>
        <w:rPr>
          <w:lang w:val="en-GB"/>
        </w:rPr>
        <w:t>Due to possible spatial domain restrictions</w:t>
      </w:r>
      <w:r w:rsidR="005848B5">
        <w:rPr>
          <w:lang w:val="en-GB"/>
        </w:rPr>
        <w:t xml:space="preserve"> in FR2</w:t>
      </w:r>
      <w:bookmarkStart w:id="1" w:name="_GoBack"/>
      <w:bookmarkEnd w:id="1"/>
      <w:r>
        <w:rPr>
          <w:lang w:val="en-GB"/>
        </w:rPr>
        <w:t>, simultaneous connectivity may require some TDM pattern for reception and transmission, if supported.</w:t>
      </w:r>
    </w:p>
    <w:p w14:paraId="77AE6298" w14:textId="77777777" w:rsidR="00691A34" w:rsidRDefault="00691A34" w:rsidP="00AB1B43">
      <w:pPr>
        <w:rPr>
          <w:lang w:val="en-GB"/>
        </w:rPr>
      </w:pPr>
    </w:p>
    <w:p w14:paraId="0FACC9CC" w14:textId="77777777" w:rsidR="00F2352A" w:rsidRPr="00B112AB" w:rsidRDefault="00F2352A" w:rsidP="00885580">
      <w:pPr>
        <w:rPr>
          <w:lang w:val="en-GB"/>
        </w:rPr>
      </w:pPr>
    </w:p>
    <w:p w14:paraId="53CD9119" w14:textId="77777777" w:rsidR="00885580" w:rsidRPr="00B112AB" w:rsidRDefault="00885580" w:rsidP="00885580">
      <w:pPr>
        <w:pStyle w:val="Heading1"/>
        <w:numPr>
          <w:ilvl w:val="0"/>
          <w:numId w:val="0"/>
        </w:numPr>
      </w:pPr>
      <w:r w:rsidRPr="00B112AB">
        <w:lastRenderedPageBreak/>
        <w:t>References</w:t>
      </w:r>
    </w:p>
    <w:p w14:paraId="42585CD1" w14:textId="50CC0B7A" w:rsidR="00366C1B" w:rsidRPr="00B112AB" w:rsidRDefault="00671655" w:rsidP="007820D0">
      <w:pPr>
        <w:pStyle w:val="ListParagraph"/>
        <w:numPr>
          <w:ilvl w:val="0"/>
          <w:numId w:val="12"/>
        </w:numPr>
        <w:rPr>
          <w:sz w:val="20"/>
          <w:lang w:val="en-GB"/>
        </w:rPr>
      </w:pPr>
      <w:bookmarkStart w:id="2" w:name="_Ref769929"/>
      <w:r w:rsidRPr="00B112AB">
        <w:rPr>
          <w:sz w:val="20"/>
          <w:lang w:val="en-GB"/>
        </w:rPr>
        <w:t>RP-181433</w:t>
      </w:r>
      <w:r w:rsidR="00366C1B" w:rsidRPr="00B112AB">
        <w:rPr>
          <w:sz w:val="20"/>
          <w:lang w:val="en-GB"/>
        </w:rPr>
        <w:t xml:space="preserve">, </w:t>
      </w:r>
      <w:r w:rsidRPr="00B112AB">
        <w:rPr>
          <w:sz w:val="20"/>
          <w:lang w:val="en-GB"/>
        </w:rPr>
        <w:t>New WID: NR mobility enhancements, 3GPP TSG RAN#80</w:t>
      </w:r>
      <w:bookmarkEnd w:id="2"/>
    </w:p>
    <w:p w14:paraId="0E6D4111" w14:textId="7C362CDA" w:rsidR="001E104C" w:rsidRDefault="001E104C" w:rsidP="007820D0">
      <w:pPr>
        <w:pStyle w:val="ListParagraph"/>
        <w:numPr>
          <w:ilvl w:val="0"/>
          <w:numId w:val="12"/>
        </w:numPr>
        <w:rPr>
          <w:sz w:val="20"/>
          <w:lang w:val="en-GB"/>
        </w:rPr>
      </w:pPr>
      <w:bookmarkStart w:id="3" w:name="_Ref7542162"/>
      <w:bookmarkStart w:id="4" w:name="_Ref4763489"/>
      <w:r w:rsidRPr="001E104C">
        <w:rPr>
          <w:sz w:val="20"/>
          <w:lang w:val="en-GB"/>
        </w:rPr>
        <w:t>R1-1905780</w:t>
      </w:r>
      <w:r>
        <w:rPr>
          <w:sz w:val="20"/>
          <w:lang w:val="en-GB"/>
        </w:rPr>
        <w:t xml:space="preserve">, </w:t>
      </w:r>
      <w:r w:rsidRPr="001E104C">
        <w:rPr>
          <w:sz w:val="20"/>
          <w:lang w:val="en-GB"/>
        </w:rPr>
        <w:t>Reply LS on NR mobility enhancements</w:t>
      </w:r>
      <w:r>
        <w:rPr>
          <w:sz w:val="20"/>
          <w:lang w:val="en-GB"/>
        </w:rPr>
        <w:t>, RAN1</w:t>
      </w:r>
      <w:bookmarkEnd w:id="3"/>
    </w:p>
    <w:bookmarkEnd w:id="4"/>
    <w:p w14:paraId="7FF5F37B" w14:textId="7A1BE7F4" w:rsidR="00961EE9" w:rsidRPr="00B112AB" w:rsidRDefault="00961EE9" w:rsidP="00D37A1A">
      <w:pPr>
        <w:rPr>
          <w:lang w:val="en-GB"/>
        </w:rPr>
      </w:pPr>
    </w:p>
    <w:p w14:paraId="1B9E7387" w14:textId="77777777" w:rsidR="00626BE0" w:rsidRPr="00B112AB" w:rsidRDefault="00626BE0" w:rsidP="00D37A1A">
      <w:pPr>
        <w:rPr>
          <w:lang w:val="en-GB"/>
        </w:rPr>
      </w:pPr>
    </w:p>
    <w:sectPr w:rsidR="00626BE0" w:rsidRPr="00B112A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1C750" w14:textId="77777777" w:rsidR="007D5B8B" w:rsidRDefault="007D5B8B">
      <w:r>
        <w:separator/>
      </w:r>
    </w:p>
  </w:endnote>
  <w:endnote w:type="continuationSeparator" w:id="0">
    <w:p w14:paraId="0FD1CBE4" w14:textId="77777777" w:rsidR="007D5B8B" w:rsidRDefault="007D5B8B">
      <w:r>
        <w:continuationSeparator/>
      </w:r>
    </w:p>
  </w:endnote>
  <w:endnote w:type="continuationNotice" w:id="1">
    <w:p w14:paraId="33938C0B" w14:textId="77777777" w:rsidR="007D5B8B" w:rsidRDefault="007D5B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7F423" w14:textId="77777777" w:rsidR="007D5B8B" w:rsidRDefault="007D5B8B">
      <w:r>
        <w:separator/>
      </w:r>
    </w:p>
  </w:footnote>
  <w:footnote w:type="continuationSeparator" w:id="0">
    <w:p w14:paraId="1E6941F8" w14:textId="77777777" w:rsidR="007D5B8B" w:rsidRDefault="007D5B8B">
      <w:r>
        <w:continuationSeparator/>
      </w:r>
    </w:p>
  </w:footnote>
  <w:footnote w:type="continuationNotice" w:id="1">
    <w:p w14:paraId="7C7D4D5B" w14:textId="77777777" w:rsidR="007D5B8B" w:rsidRDefault="007D5B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EC1681"/>
    <w:multiLevelType w:val="hybridMultilevel"/>
    <w:tmpl w:val="32A8DA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6" w15:restartNumberingAfterBreak="0">
    <w:nsid w:val="646F460E"/>
    <w:multiLevelType w:val="hybridMultilevel"/>
    <w:tmpl w:val="6E6216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0"/>
  </w:num>
  <w:num w:numId="4">
    <w:abstractNumId w:val="1"/>
  </w:num>
  <w:num w:numId="5">
    <w:abstractNumId w:val="9"/>
  </w:num>
  <w:num w:numId="6">
    <w:abstractNumId w:val="15"/>
  </w:num>
  <w:num w:numId="7">
    <w:abstractNumId w:val="11"/>
  </w:num>
  <w:num w:numId="8">
    <w:abstractNumId w:val="8"/>
  </w:num>
  <w:num w:numId="9">
    <w:abstractNumId w:val="17"/>
  </w:num>
  <w:num w:numId="10">
    <w:abstractNumId w:val="4"/>
  </w:num>
  <w:num w:numId="11">
    <w:abstractNumId w:val="12"/>
  </w:num>
  <w:num w:numId="12">
    <w:abstractNumId w:val="2"/>
  </w:num>
  <w:num w:numId="13">
    <w:abstractNumId w:val="7"/>
  </w:num>
  <w:num w:numId="14">
    <w:abstractNumId w:val="13"/>
  </w:num>
  <w:num w:numId="15">
    <w:abstractNumId w:val="3"/>
  </w:num>
  <w:num w:numId="16">
    <w:abstractNumId w:val="6"/>
  </w:num>
  <w:num w:numId="17">
    <w:abstractNumId w:val="10"/>
  </w:num>
  <w:num w:numId="18">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7D0"/>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37F49"/>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67A19"/>
    <w:rsid w:val="000701AD"/>
    <w:rsid w:val="000707CA"/>
    <w:rsid w:val="00070D21"/>
    <w:rsid w:val="000717FB"/>
    <w:rsid w:val="000719BF"/>
    <w:rsid w:val="0007208A"/>
    <w:rsid w:val="0007213C"/>
    <w:rsid w:val="00072BBA"/>
    <w:rsid w:val="00072FF5"/>
    <w:rsid w:val="000730DC"/>
    <w:rsid w:val="00073535"/>
    <w:rsid w:val="00074314"/>
    <w:rsid w:val="00075965"/>
    <w:rsid w:val="00075FDA"/>
    <w:rsid w:val="00076386"/>
    <w:rsid w:val="00076D82"/>
    <w:rsid w:val="00081EC2"/>
    <w:rsid w:val="00082154"/>
    <w:rsid w:val="00083800"/>
    <w:rsid w:val="00084A65"/>
    <w:rsid w:val="0008559A"/>
    <w:rsid w:val="000902C2"/>
    <w:rsid w:val="00091A92"/>
    <w:rsid w:val="00093C49"/>
    <w:rsid w:val="00095A80"/>
    <w:rsid w:val="0009723F"/>
    <w:rsid w:val="000973BE"/>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1F2"/>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E7EA2"/>
    <w:rsid w:val="000F15B2"/>
    <w:rsid w:val="000F19DE"/>
    <w:rsid w:val="000F2E1F"/>
    <w:rsid w:val="000F37B0"/>
    <w:rsid w:val="000F4595"/>
    <w:rsid w:val="000F4CB2"/>
    <w:rsid w:val="000F4E44"/>
    <w:rsid w:val="000F4E90"/>
    <w:rsid w:val="000F53C2"/>
    <w:rsid w:val="000F568D"/>
    <w:rsid w:val="000F68D0"/>
    <w:rsid w:val="000F6B15"/>
    <w:rsid w:val="000F6D8E"/>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69BF"/>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5818"/>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6FB"/>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E8B"/>
    <w:rsid w:val="001E104C"/>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032"/>
    <w:rsid w:val="001F4DAC"/>
    <w:rsid w:val="001F5019"/>
    <w:rsid w:val="001F51C5"/>
    <w:rsid w:val="001F65B0"/>
    <w:rsid w:val="001F67AA"/>
    <w:rsid w:val="001F6AFD"/>
    <w:rsid w:val="001F738D"/>
    <w:rsid w:val="001F7599"/>
    <w:rsid w:val="00202F4E"/>
    <w:rsid w:val="00204307"/>
    <w:rsid w:val="00204A2A"/>
    <w:rsid w:val="00204B22"/>
    <w:rsid w:val="00204B3A"/>
    <w:rsid w:val="0020535A"/>
    <w:rsid w:val="002055CB"/>
    <w:rsid w:val="002059EF"/>
    <w:rsid w:val="00205BDB"/>
    <w:rsid w:val="00206955"/>
    <w:rsid w:val="00206A79"/>
    <w:rsid w:val="00210309"/>
    <w:rsid w:val="002106A0"/>
    <w:rsid w:val="00211519"/>
    <w:rsid w:val="0021224B"/>
    <w:rsid w:val="00212950"/>
    <w:rsid w:val="00212FB8"/>
    <w:rsid w:val="00213709"/>
    <w:rsid w:val="002149AF"/>
    <w:rsid w:val="00214A86"/>
    <w:rsid w:val="00215947"/>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19A1"/>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4D21"/>
    <w:rsid w:val="002A607D"/>
    <w:rsid w:val="002B132E"/>
    <w:rsid w:val="002B1499"/>
    <w:rsid w:val="002B1F83"/>
    <w:rsid w:val="002B2813"/>
    <w:rsid w:val="002B2D29"/>
    <w:rsid w:val="002B3B31"/>
    <w:rsid w:val="002B3BBD"/>
    <w:rsid w:val="002C0930"/>
    <w:rsid w:val="002C0C4B"/>
    <w:rsid w:val="002C1EEA"/>
    <w:rsid w:val="002C47AD"/>
    <w:rsid w:val="002C5510"/>
    <w:rsid w:val="002C6034"/>
    <w:rsid w:val="002C635B"/>
    <w:rsid w:val="002C7276"/>
    <w:rsid w:val="002C770F"/>
    <w:rsid w:val="002C7CFF"/>
    <w:rsid w:val="002D0BC6"/>
    <w:rsid w:val="002D12DB"/>
    <w:rsid w:val="002D17C5"/>
    <w:rsid w:val="002D365F"/>
    <w:rsid w:val="002D3A54"/>
    <w:rsid w:val="002D51DF"/>
    <w:rsid w:val="002D6892"/>
    <w:rsid w:val="002D68C2"/>
    <w:rsid w:val="002D7C86"/>
    <w:rsid w:val="002E0692"/>
    <w:rsid w:val="002E1D74"/>
    <w:rsid w:val="002E2943"/>
    <w:rsid w:val="002E2CF1"/>
    <w:rsid w:val="002E34AF"/>
    <w:rsid w:val="002E418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116"/>
    <w:rsid w:val="003224AA"/>
    <w:rsid w:val="003224E7"/>
    <w:rsid w:val="003237BC"/>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0A2C"/>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1AF2"/>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3606"/>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472B"/>
    <w:rsid w:val="00406B4D"/>
    <w:rsid w:val="004100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08E"/>
    <w:rsid w:val="00452CA7"/>
    <w:rsid w:val="00453341"/>
    <w:rsid w:val="004545C6"/>
    <w:rsid w:val="00454DCA"/>
    <w:rsid w:val="00454E26"/>
    <w:rsid w:val="00456544"/>
    <w:rsid w:val="00456649"/>
    <w:rsid w:val="004567B7"/>
    <w:rsid w:val="00456856"/>
    <w:rsid w:val="004571EF"/>
    <w:rsid w:val="00457DEE"/>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06E6D"/>
    <w:rsid w:val="00510ABC"/>
    <w:rsid w:val="00511079"/>
    <w:rsid w:val="00511411"/>
    <w:rsid w:val="00511CDF"/>
    <w:rsid w:val="00512829"/>
    <w:rsid w:val="00513839"/>
    <w:rsid w:val="00513DEF"/>
    <w:rsid w:val="0051423C"/>
    <w:rsid w:val="005148D4"/>
    <w:rsid w:val="00514C91"/>
    <w:rsid w:val="005153CE"/>
    <w:rsid w:val="00516241"/>
    <w:rsid w:val="00516747"/>
    <w:rsid w:val="00516FD9"/>
    <w:rsid w:val="0051701F"/>
    <w:rsid w:val="0051791D"/>
    <w:rsid w:val="00520D6D"/>
    <w:rsid w:val="005212FD"/>
    <w:rsid w:val="00521425"/>
    <w:rsid w:val="00523E75"/>
    <w:rsid w:val="005243E0"/>
    <w:rsid w:val="005256F3"/>
    <w:rsid w:val="005265A3"/>
    <w:rsid w:val="00526783"/>
    <w:rsid w:val="00526F82"/>
    <w:rsid w:val="0052773A"/>
    <w:rsid w:val="00527FB1"/>
    <w:rsid w:val="00530423"/>
    <w:rsid w:val="0053107E"/>
    <w:rsid w:val="005312CB"/>
    <w:rsid w:val="0053162F"/>
    <w:rsid w:val="00531777"/>
    <w:rsid w:val="00531A8A"/>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48B5"/>
    <w:rsid w:val="00585484"/>
    <w:rsid w:val="0058700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1B9"/>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65B9"/>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84A"/>
    <w:rsid w:val="00624BA1"/>
    <w:rsid w:val="0062661B"/>
    <w:rsid w:val="00626BE0"/>
    <w:rsid w:val="00627832"/>
    <w:rsid w:val="00630118"/>
    <w:rsid w:val="00630514"/>
    <w:rsid w:val="006310AE"/>
    <w:rsid w:val="00631762"/>
    <w:rsid w:val="00632196"/>
    <w:rsid w:val="00632BA2"/>
    <w:rsid w:val="00633BF2"/>
    <w:rsid w:val="00633F67"/>
    <w:rsid w:val="006345C3"/>
    <w:rsid w:val="0063530F"/>
    <w:rsid w:val="0063542B"/>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5EB"/>
    <w:rsid w:val="00645C9F"/>
    <w:rsid w:val="00646305"/>
    <w:rsid w:val="00646864"/>
    <w:rsid w:val="00646A6C"/>
    <w:rsid w:val="006475E6"/>
    <w:rsid w:val="006508B9"/>
    <w:rsid w:val="00650CA1"/>
    <w:rsid w:val="0065143C"/>
    <w:rsid w:val="00651854"/>
    <w:rsid w:val="00652578"/>
    <w:rsid w:val="0065263C"/>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655"/>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1603"/>
    <w:rsid w:val="00691A34"/>
    <w:rsid w:val="00692371"/>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A6BAA"/>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3C15"/>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377"/>
    <w:rsid w:val="00735C6F"/>
    <w:rsid w:val="00737A31"/>
    <w:rsid w:val="00742A6A"/>
    <w:rsid w:val="00742B44"/>
    <w:rsid w:val="0074656E"/>
    <w:rsid w:val="007472D5"/>
    <w:rsid w:val="00751E82"/>
    <w:rsid w:val="00752B03"/>
    <w:rsid w:val="00753454"/>
    <w:rsid w:val="00753BB5"/>
    <w:rsid w:val="007544F1"/>
    <w:rsid w:val="00755E4A"/>
    <w:rsid w:val="00756169"/>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B8B"/>
    <w:rsid w:val="007D5E27"/>
    <w:rsid w:val="007D6F64"/>
    <w:rsid w:val="007E1782"/>
    <w:rsid w:val="007E25AB"/>
    <w:rsid w:val="007E2F41"/>
    <w:rsid w:val="007E3A93"/>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0762A"/>
    <w:rsid w:val="008100AC"/>
    <w:rsid w:val="00810C05"/>
    <w:rsid w:val="0081151E"/>
    <w:rsid w:val="00812498"/>
    <w:rsid w:val="008127E6"/>
    <w:rsid w:val="0081336E"/>
    <w:rsid w:val="00813928"/>
    <w:rsid w:val="008154EC"/>
    <w:rsid w:val="00817A3C"/>
    <w:rsid w:val="00820DC7"/>
    <w:rsid w:val="00820FFB"/>
    <w:rsid w:val="00821698"/>
    <w:rsid w:val="008221FE"/>
    <w:rsid w:val="00822BF5"/>
    <w:rsid w:val="00823A7D"/>
    <w:rsid w:val="00824894"/>
    <w:rsid w:val="00825366"/>
    <w:rsid w:val="00825E84"/>
    <w:rsid w:val="00826C7B"/>
    <w:rsid w:val="00826DD9"/>
    <w:rsid w:val="00826E01"/>
    <w:rsid w:val="008277A8"/>
    <w:rsid w:val="008278B6"/>
    <w:rsid w:val="008307ED"/>
    <w:rsid w:val="00830B3B"/>
    <w:rsid w:val="00831155"/>
    <w:rsid w:val="0083302C"/>
    <w:rsid w:val="0083350F"/>
    <w:rsid w:val="00834358"/>
    <w:rsid w:val="008346BD"/>
    <w:rsid w:val="00834923"/>
    <w:rsid w:val="008359EB"/>
    <w:rsid w:val="00836B7A"/>
    <w:rsid w:val="00837B90"/>
    <w:rsid w:val="00837BDE"/>
    <w:rsid w:val="008409AA"/>
    <w:rsid w:val="00840FB8"/>
    <w:rsid w:val="00842E0C"/>
    <w:rsid w:val="00843A7A"/>
    <w:rsid w:val="008447F5"/>
    <w:rsid w:val="00845634"/>
    <w:rsid w:val="00846292"/>
    <w:rsid w:val="00847AE7"/>
    <w:rsid w:val="008506E1"/>
    <w:rsid w:val="00850D96"/>
    <w:rsid w:val="008515EE"/>
    <w:rsid w:val="00851A8E"/>
    <w:rsid w:val="00851EC7"/>
    <w:rsid w:val="008528D3"/>
    <w:rsid w:val="008533C2"/>
    <w:rsid w:val="00854553"/>
    <w:rsid w:val="00855B86"/>
    <w:rsid w:val="00856D47"/>
    <w:rsid w:val="00860874"/>
    <w:rsid w:val="008609A3"/>
    <w:rsid w:val="00862008"/>
    <w:rsid w:val="00862720"/>
    <w:rsid w:val="008628C8"/>
    <w:rsid w:val="00862B2A"/>
    <w:rsid w:val="008630B9"/>
    <w:rsid w:val="00863F37"/>
    <w:rsid w:val="0086406B"/>
    <w:rsid w:val="00864C8C"/>
    <w:rsid w:val="008657E9"/>
    <w:rsid w:val="008659FB"/>
    <w:rsid w:val="0086709D"/>
    <w:rsid w:val="00867461"/>
    <w:rsid w:val="00867651"/>
    <w:rsid w:val="00867B5A"/>
    <w:rsid w:val="00874009"/>
    <w:rsid w:val="00874158"/>
    <w:rsid w:val="008743F3"/>
    <w:rsid w:val="0087444A"/>
    <w:rsid w:val="00875139"/>
    <w:rsid w:val="00875410"/>
    <w:rsid w:val="00880B29"/>
    <w:rsid w:val="00880EDF"/>
    <w:rsid w:val="008811FD"/>
    <w:rsid w:val="00882DE6"/>
    <w:rsid w:val="00883A20"/>
    <w:rsid w:val="00883D4D"/>
    <w:rsid w:val="00884B59"/>
    <w:rsid w:val="008850BA"/>
    <w:rsid w:val="00885580"/>
    <w:rsid w:val="00885876"/>
    <w:rsid w:val="00886185"/>
    <w:rsid w:val="008861D9"/>
    <w:rsid w:val="0088638C"/>
    <w:rsid w:val="00886627"/>
    <w:rsid w:val="00886EDF"/>
    <w:rsid w:val="008908E5"/>
    <w:rsid w:val="00891216"/>
    <w:rsid w:val="00892F0D"/>
    <w:rsid w:val="00894B58"/>
    <w:rsid w:val="00894FDC"/>
    <w:rsid w:val="008957D3"/>
    <w:rsid w:val="00896414"/>
    <w:rsid w:val="0089716F"/>
    <w:rsid w:val="00897C71"/>
    <w:rsid w:val="008A0F54"/>
    <w:rsid w:val="008A16F9"/>
    <w:rsid w:val="008A1D3E"/>
    <w:rsid w:val="008A3038"/>
    <w:rsid w:val="008A34F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B79CB"/>
    <w:rsid w:val="008C2CFD"/>
    <w:rsid w:val="008C3FDC"/>
    <w:rsid w:val="008C47AD"/>
    <w:rsid w:val="008C603A"/>
    <w:rsid w:val="008C71C8"/>
    <w:rsid w:val="008D0825"/>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1CA"/>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18"/>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BB6"/>
    <w:rsid w:val="009A2CB8"/>
    <w:rsid w:val="009A3789"/>
    <w:rsid w:val="009A37EA"/>
    <w:rsid w:val="009A45A2"/>
    <w:rsid w:val="009A6919"/>
    <w:rsid w:val="009A6AC7"/>
    <w:rsid w:val="009B00BB"/>
    <w:rsid w:val="009B0408"/>
    <w:rsid w:val="009B0843"/>
    <w:rsid w:val="009B0DEE"/>
    <w:rsid w:val="009B1335"/>
    <w:rsid w:val="009B176D"/>
    <w:rsid w:val="009B17A3"/>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3A2"/>
    <w:rsid w:val="009D19BC"/>
    <w:rsid w:val="009D2348"/>
    <w:rsid w:val="009D2EA8"/>
    <w:rsid w:val="009D2F0C"/>
    <w:rsid w:val="009D3102"/>
    <w:rsid w:val="009D3306"/>
    <w:rsid w:val="009D3578"/>
    <w:rsid w:val="009D3A5F"/>
    <w:rsid w:val="009D4F88"/>
    <w:rsid w:val="009D5193"/>
    <w:rsid w:val="009D5C32"/>
    <w:rsid w:val="009D5C56"/>
    <w:rsid w:val="009D6472"/>
    <w:rsid w:val="009D79F4"/>
    <w:rsid w:val="009D7D19"/>
    <w:rsid w:val="009E126D"/>
    <w:rsid w:val="009E33D7"/>
    <w:rsid w:val="009E3CD1"/>
    <w:rsid w:val="009E419D"/>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684"/>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7FB"/>
    <w:rsid w:val="00A66F36"/>
    <w:rsid w:val="00A676D9"/>
    <w:rsid w:val="00A67EFC"/>
    <w:rsid w:val="00A7031E"/>
    <w:rsid w:val="00A71140"/>
    <w:rsid w:val="00A71CA4"/>
    <w:rsid w:val="00A7205E"/>
    <w:rsid w:val="00A72285"/>
    <w:rsid w:val="00A74692"/>
    <w:rsid w:val="00A74CA8"/>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890"/>
    <w:rsid w:val="00AA591E"/>
    <w:rsid w:val="00AA5DF4"/>
    <w:rsid w:val="00AA65C9"/>
    <w:rsid w:val="00AA66CB"/>
    <w:rsid w:val="00AB0A32"/>
    <w:rsid w:val="00AB0B90"/>
    <w:rsid w:val="00AB0C1B"/>
    <w:rsid w:val="00AB0E56"/>
    <w:rsid w:val="00AB0ED5"/>
    <w:rsid w:val="00AB18AC"/>
    <w:rsid w:val="00AB1B43"/>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BEA"/>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2AB"/>
    <w:rsid w:val="00B11775"/>
    <w:rsid w:val="00B12F75"/>
    <w:rsid w:val="00B1302D"/>
    <w:rsid w:val="00B1513F"/>
    <w:rsid w:val="00B15B89"/>
    <w:rsid w:val="00B160E5"/>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286"/>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21CD"/>
    <w:rsid w:val="00B7267A"/>
    <w:rsid w:val="00B726FF"/>
    <w:rsid w:val="00B72A5B"/>
    <w:rsid w:val="00B72AA4"/>
    <w:rsid w:val="00B7471E"/>
    <w:rsid w:val="00B75454"/>
    <w:rsid w:val="00B76BCD"/>
    <w:rsid w:val="00B76EE9"/>
    <w:rsid w:val="00B77231"/>
    <w:rsid w:val="00B77880"/>
    <w:rsid w:val="00B80D90"/>
    <w:rsid w:val="00B82451"/>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5878"/>
    <w:rsid w:val="00B96413"/>
    <w:rsid w:val="00B97CA3"/>
    <w:rsid w:val="00BA1872"/>
    <w:rsid w:val="00BA1913"/>
    <w:rsid w:val="00BA2AC4"/>
    <w:rsid w:val="00BA2BC9"/>
    <w:rsid w:val="00BA4641"/>
    <w:rsid w:val="00BA4A54"/>
    <w:rsid w:val="00BA76A9"/>
    <w:rsid w:val="00BB0595"/>
    <w:rsid w:val="00BB2F36"/>
    <w:rsid w:val="00BB3E2B"/>
    <w:rsid w:val="00BB5D1C"/>
    <w:rsid w:val="00BB6552"/>
    <w:rsid w:val="00BB65E0"/>
    <w:rsid w:val="00BB6B9B"/>
    <w:rsid w:val="00BB754F"/>
    <w:rsid w:val="00BB7F07"/>
    <w:rsid w:val="00BC0058"/>
    <w:rsid w:val="00BC07D4"/>
    <w:rsid w:val="00BC0A5D"/>
    <w:rsid w:val="00BC0BE3"/>
    <w:rsid w:val="00BC1AD9"/>
    <w:rsid w:val="00BC1AF1"/>
    <w:rsid w:val="00BC3257"/>
    <w:rsid w:val="00BC32E7"/>
    <w:rsid w:val="00BC4F81"/>
    <w:rsid w:val="00BC5670"/>
    <w:rsid w:val="00BC58B9"/>
    <w:rsid w:val="00BD214C"/>
    <w:rsid w:val="00BD2F13"/>
    <w:rsid w:val="00BD3056"/>
    <w:rsid w:val="00BD3846"/>
    <w:rsid w:val="00BD3E68"/>
    <w:rsid w:val="00BD4E05"/>
    <w:rsid w:val="00BD598A"/>
    <w:rsid w:val="00BD5C7A"/>
    <w:rsid w:val="00BD723F"/>
    <w:rsid w:val="00BD75B4"/>
    <w:rsid w:val="00BD7D14"/>
    <w:rsid w:val="00BE02B4"/>
    <w:rsid w:val="00BE0A38"/>
    <w:rsid w:val="00BE28C1"/>
    <w:rsid w:val="00BE2C2F"/>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2A7"/>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B1C"/>
    <w:rsid w:val="00C61D4B"/>
    <w:rsid w:val="00C62B0A"/>
    <w:rsid w:val="00C63C52"/>
    <w:rsid w:val="00C63F08"/>
    <w:rsid w:val="00C6528C"/>
    <w:rsid w:val="00C6608A"/>
    <w:rsid w:val="00C661E8"/>
    <w:rsid w:val="00C70084"/>
    <w:rsid w:val="00C7090B"/>
    <w:rsid w:val="00C7235B"/>
    <w:rsid w:val="00C72E18"/>
    <w:rsid w:val="00C731AD"/>
    <w:rsid w:val="00C7380B"/>
    <w:rsid w:val="00C74421"/>
    <w:rsid w:val="00C747A7"/>
    <w:rsid w:val="00C75F2F"/>
    <w:rsid w:val="00C75FEE"/>
    <w:rsid w:val="00C76804"/>
    <w:rsid w:val="00C76F1D"/>
    <w:rsid w:val="00C77937"/>
    <w:rsid w:val="00C77CA4"/>
    <w:rsid w:val="00C77D26"/>
    <w:rsid w:val="00C80144"/>
    <w:rsid w:val="00C80BDF"/>
    <w:rsid w:val="00C815DF"/>
    <w:rsid w:val="00C81819"/>
    <w:rsid w:val="00C82FEE"/>
    <w:rsid w:val="00C84D39"/>
    <w:rsid w:val="00C85277"/>
    <w:rsid w:val="00C85806"/>
    <w:rsid w:val="00C85D76"/>
    <w:rsid w:val="00C87190"/>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3E2"/>
    <w:rsid w:val="00CB1CAC"/>
    <w:rsid w:val="00CB1DE8"/>
    <w:rsid w:val="00CB1E3B"/>
    <w:rsid w:val="00CB1F1D"/>
    <w:rsid w:val="00CB6795"/>
    <w:rsid w:val="00CB71F8"/>
    <w:rsid w:val="00CC180A"/>
    <w:rsid w:val="00CC1D2F"/>
    <w:rsid w:val="00CC26DB"/>
    <w:rsid w:val="00CC300C"/>
    <w:rsid w:val="00CC3201"/>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4D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AC2"/>
    <w:rsid w:val="00D35F97"/>
    <w:rsid w:val="00D36964"/>
    <w:rsid w:val="00D37A1A"/>
    <w:rsid w:val="00D4081B"/>
    <w:rsid w:val="00D413C3"/>
    <w:rsid w:val="00D42240"/>
    <w:rsid w:val="00D427C3"/>
    <w:rsid w:val="00D42EB8"/>
    <w:rsid w:val="00D43D3C"/>
    <w:rsid w:val="00D43E0B"/>
    <w:rsid w:val="00D441E2"/>
    <w:rsid w:val="00D44932"/>
    <w:rsid w:val="00D45E00"/>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6EC5"/>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0F56"/>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6A04"/>
    <w:rsid w:val="00DE18A3"/>
    <w:rsid w:val="00DE1904"/>
    <w:rsid w:val="00DE1DAA"/>
    <w:rsid w:val="00DE3DBB"/>
    <w:rsid w:val="00DE43A2"/>
    <w:rsid w:val="00DE4A74"/>
    <w:rsid w:val="00DE4B05"/>
    <w:rsid w:val="00DE541C"/>
    <w:rsid w:val="00DE737B"/>
    <w:rsid w:val="00DF100B"/>
    <w:rsid w:val="00DF11B7"/>
    <w:rsid w:val="00DF4359"/>
    <w:rsid w:val="00DF438E"/>
    <w:rsid w:val="00DF4F98"/>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55FE"/>
    <w:rsid w:val="00E564C4"/>
    <w:rsid w:val="00E567C9"/>
    <w:rsid w:val="00E57E1A"/>
    <w:rsid w:val="00E604C4"/>
    <w:rsid w:val="00E60809"/>
    <w:rsid w:val="00E61300"/>
    <w:rsid w:val="00E61A5D"/>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3F8C"/>
    <w:rsid w:val="00E843B5"/>
    <w:rsid w:val="00E84A3B"/>
    <w:rsid w:val="00E85307"/>
    <w:rsid w:val="00E85B0A"/>
    <w:rsid w:val="00E867C7"/>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941"/>
    <w:rsid w:val="00ED6D4A"/>
    <w:rsid w:val="00ED721A"/>
    <w:rsid w:val="00ED738C"/>
    <w:rsid w:val="00ED7918"/>
    <w:rsid w:val="00ED7FD3"/>
    <w:rsid w:val="00EE0E5D"/>
    <w:rsid w:val="00EE11C2"/>
    <w:rsid w:val="00EE2183"/>
    <w:rsid w:val="00EE2A61"/>
    <w:rsid w:val="00EE3663"/>
    <w:rsid w:val="00EE41C4"/>
    <w:rsid w:val="00EE5A27"/>
    <w:rsid w:val="00EE6E77"/>
    <w:rsid w:val="00EE76A9"/>
    <w:rsid w:val="00EE799E"/>
    <w:rsid w:val="00EE7CA8"/>
    <w:rsid w:val="00EE7FA7"/>
    <w:rsid w:val="00EF0322"/>
    <w:rsid w:val="00EF1093"/>
    <w:rsid w:val="00EF1FCB"/>
    <w:rsid w:val="00EF21C3"/>
    <w:rsid w:val="00EF2C5B"/>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1481"/>
    <w:rsid w:val="00F12351"/>
    <w:rsid w:val="00F15193"/>
    <w:rsid w:val="00F16739"/>
    <w:rsid w:val="00F16DE2"/>
    <w:rsid w:val="00F2052B"/>
    <w:rsid w:val="00F22183"/>
    <w:rsid w:val="00F2260F"/>
    <w:rsid w:val="00F2352A"/>
    <w:rsid w:val="00F242AD"/>
    <w:rsid w:val="00F247F2"/>
    <w:rsid w:val="00F2518F"/>
    <w:rsid w:val="00F252A8"/>
    <w:rsid w:val="00F25FDA"/>
    <w:rsid w:val="00F265F7"/>
    <w:rsid w:val="00F27FA6"/>
    <w:rsid w:val="00F31F86"/>
    <w:rsid w:val="00F33DC8"/>
    <w:rsid w:val="00F34444"/>
    <w:rsid w:val="00F378F1"/>
    <w:rsid w:val="00F403A1"/>
    <w:rsid w:val="00F403DB"/>
    <w:rsid w:val="00F4065A"/>
    <w:rsid w:val="00F4275C"/>
    <w:rsid w:val="00F434B2"/>
    <w:rsid w:val="00F45693"/>
    <w:rsid w:val="00F52339"/>
    <w:rsid w:val="00F5277A"/>
    <w:rsid w:val="00F532E8"/>
    <w:rsid w:val="00F53533"/>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31E7"/>
    <w:rsid w:val="00FA413A"/>
    <w:rsid w:val="00FA4144"/>
    <w:rsid w:val="00FA43D5"/>
    <w:rsid w:val="00FA4DDF"/>
    <w:rsid w:val="00FA5541"/>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5A2DA7"/>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48B5"/>
    <w:pPr>
      <w:spacing w:after="160" w:line="259" w:lineRule="auto"/>
    </w:pPr>
    <w:rPr>
      <w:rFonts w:asciiTheme="minorHAnsi" w:eastAsiaTheme="minorHAnsi" w:hAnsiTheme="minorHAnsi" w:cstheme="minorBidi"/>
      <w:sz w:val="22"/>
      <w:szCs w:val="22"/>
      <w:lang w:val="fi-FI" w:eastAsia="fi-FI"/>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5848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48B5"/>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aliases w:val="left"/>
    <w:basedOn w:val="TH"/>
    <w:link w:val="TFChar"/>
    <w:qFormat/>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TFChar">
    <w:name w:val="TF Char"/>
    <w:link w:val="TF"/>
    <w:rsid w:val="00E61A5D"/>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183848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010782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74787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90819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953004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B2297-6F96-46D6-96AC-688448C0F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1804</Words>
  <Characters>9965</Characters>
  <Application>Microsoft Office Word</Application>
  <DocSecurity>0</DocSecurity>
  <Lines>83</Lines>
  <Paragraphs>23</Paragraphs>
  <ScaleCrop>false</ScaleCrop>
  <Company/>
  <LinksUpToDate>false</LinksUpToDate>
  <CharactersWithSpaces>11746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2019-05-03T12:25:00Z</dcterms:created>
  <dcterms:modified xsi:type="dcterms:W3CDTF">2019-05-03T12:26:00Z</dcterms:modified>
</cp:coreProperties>
</file>