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B26C51" w14:textId="084E39C7" w:rsidR="00693AE2" w:rsidRPr="0056520D" w:rsidRDefault="00693AE2" w:rsidP="00693AE2">
      <w:pPr>
        <w:pStyle w:val="Header"/>
        <w:rPr>
          <w:lang w:val="de-DE"/>
        </w:rPr>
      </w:pPr>
      <w:r w:rsidRPr="0056520D">
        <w:rPr>
          <w:lang w:val="de-DE"/>
        </w:rPr>
        <w:t>3GPP TSG-RAN WG1</w:t>
      </w:r>
      <w:r w:rsidR="00416929">
        <w:rPr>
          <w:lang w:val="de-DE"/>
        </w:rPr>
        <w:t xml:space="preserve"> #</w:t>
      </w:r>
      <w:r>
        <w:t>9</w:t>
      </w:r>
      <w:r w:rsidR="00434CA7">
        <w:t>7</w:t>
      </w:r>
      <w:r>
        <w:tab/>
      </w:r>
      <w:r>
        <w:rPr>
          <w:lang w:val="de-DE"/>
        </w:rPr>
        <w:tab/>
        <w:t>R1-</w:t>
      </w:r>
      <w:r w:rsidR="00651D01">
        <w:rPr>
          <w:lang w:val="de-DE"/>
        </w:rPr>
        <w:t>1907333</w:t>
      </w:r>
    </w:p>
    <w:p w14:paraId="5BF25463" w14:textId="7378B843" w:rsidR="00693AE2" w:rsidRDefault="00235FA3" w:rsidP="00693AE2">
      <w:pPr>
        <w:pStyle w:val="Header"/>
        <w:rPr>
          <w:lang w:val="de-DE"/>
        </w:rPr>
      </w:pPr>
      <w:r>
        <w:rPr>
          <w:lang w:val="de-DE"/>
        </w:rPr>
        <w:t>Reno</w:t>
      </w:r>
      <w:r w:rsidR="00693AE2">
        <w:rPr>
          <w:lang w:val="de-DE"/>
        </w:rPr>
        <w:t xml:space="preserve">, </w:t>
      </w:r>
      <w:r>
        <w:rPr>
          <w:lang w:val="de-DE"/>
        </w:rPr>
        <w:t>USA</w:t>
      </w:r>
      <w:r w:rsidR="00693AE2">
        <w:rPr>
          <w:lang w:val="de-DE"/>
        </w:rPr>
        <w:t xml:space="preserve">, </w:t>
      </w:r>
      <w:r>
        <w:rPr>
          <w:lang w:val="de-DE"/>
        </w:rPr>
        <w:t>May</w:t>
      </w:r>
      <w:r w:rsidR="00693AE2">
        <w:rPr>
          <w:lang w:val="de-DE"/>
        </w:rPr>
        <w:t xml:space="preserve"> </w:t>
      </w:r>
      <w:r>
        <w:rPr>
          <w:lang w:val="de-DE"/>
        </w:rPr>
        <w:t>13</w:t>
      </w:r>
      <w:r w:rsidR="00693AE2">
        <w:rPr>
          <w:lang w:val="de-DE"/>
        </w:rPr>
        <w:t>-1</w:t>
      </w:r>
      <w:r>
        <w:rPr>
          <w:lang w:val="de-DE"/>
        </w:rPr>
        <w:t>7</w:t>
      </w:r>
      <w:r w:rsidR="00693AE2">
        <w:rPr>
          <w:lang w:val="de-DE"/>
        </w:rPr>
        <w:t>, 2019</w:t>
      </w:r>
    </w:p>
    <w:p w14:paraId="718953D8" w14:textId="77777777" w:rsidR="00693AE2" w:rsidRPr="000833FA" w:rsidRDefault="00693AE2" w:rsidP="00693AE2">
      <w:pPr>
        <w:pStyle w:val="Header"/>
      </w:pPr>
    </w:p>
    <w:p w14:paraId="3C6285F9" w14:textId="77777777" w:rsidR="00693AE2" w:rsidRPr="0003368D" w:rsidRDefault="00693AE2" w:rsidP="00693AE2">
      <w:pPr>
        <w:pStyle w:val="Header"/>
        <w:tabs>
          <w:tab w:val="clear" w:pos="4536"/>
          <w:tab w:val="left" w:pos="1800"/>
        </w:tabs>
        <w:ind w:left="1800" w:hanging="1800"/>
      </w:pPr>
      <w:r w:rsidRPr="0003368D">
        <w:t>Source:</w:t>
      </w:r>
      <w:r w:rsidRPr="0003368D">
        <w:tab/>
        <w:t>Ericsson</w:t>
      </w:r>
    </w:p>
    <w:p w14:paraId="2ABA68B7" w14:textId="77777777" w:rsidR="00693AE2" w:rsidRPr="00E220C0" w:rsidRDefault="00693AE2" w:rsidP="00693AE2">
      <w:pPr>
        <w:pStyle w:val="Header"/>
        <w:tabs>
          <w:tab w:val="clear" w:pos="4536"/>
          <w:tab w:val="left" w:pos="1800"/>
        </w:tabs>
      </w:pPr>
      <w:r w:rsidRPr="0003368D">
        <w:t>Title:</w:t>
      </w:r>
      <w:bookmarkStart w:id="0" w:name="Title"/>
      <w:bookmarkEnd w:id="0"/>
      <w:r w:rsidRPr="0003368D">
        <w:tab/>
      </w:r>
      <w:r>
        <w:t xml:space="preserve">Reduced latency </w:t>
      </w:r>
      <w:proofErr w:type="spellStart"/>
      <w:r>
        <w:t>Scell</w:t>
      </w:r>
      <w:proofErr w:type="spellEnd"/>
      <w:r>
        <w:t xml:space="preserve"> management for NR-NR CA</w:t>
      </w:r>
    </w:p>
    <w:p w14:paraId="4C50045B" w14:textId="77777777" w:rsidR="00693AE2" w:rsidRPr="00E220C0" w:rsidRDefault="00693AE2" w:rsidP="00693AE2">
      <w:pPr>
        <w:pStyle w:val="Header"/>
        <w:tabs>
          <w:tab w:val="left" w:pos="1800"/>
        </w:tabs>
      </w:pPr>
      <w:r w:rsidRPr="00E220C0">
        <w:t>Agenda Item:</w:t>
      </w:r>
      <w:bookmarkStart w:id="1" w:name="Source"/>
      <w:bookmarkEnd w:id="1"/>
      <w:r w:rsidRPr="00E220C0">
        <w:tab/>
      </w:r>
      <w:r>
        <w:t>7.2.13.4</w:t>
      </w:r>
    </w:p>
    <w:p w14:paraId="34C3E2AA" w14:textId="77777777" w:rsidR="00693AE2" w:rsidRPr="0003368D" w:rsidRDefault="00693AE2" w:rsidP="00693AE2">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59DB51CC" w14:textId="77777777" w:rsidR="00693AE2" w:rsidRPr="002100D2" w:rsidRDefault="00693AE2" w:rsidP="00693AE2">
      <w:pPr>
        <w:pBdr>
          <w:bottom w:val="single" w:sz="4" w:space="1" w:color="auto"/>
        </w:pBdr>
        <w:tabs>
          <w:tab w:val="left" w:pos="2552"/>
        </w:tabs>
      </w:pPr>
    </w:p>
    <w:p w14:paraId="4DDDE83C" w14:textId="77777777" w:rsidR="00693AE2" w:rsidRDefault="00693AE2" w:rsidP="00693AE2">
      <w:pPr>
        <w:pStyle w:val="Heading1"/>
        <w:spacing w:before="180"/>
        <w:ind w:left="562" w:hanging="562"/>
      </w:pPr>
      <w:r>
        <w:t>Introduction</w:t>
      </w:r>
    </w:p>
    <w:p w14:paraId="53BA3C3F" w14:textId="05E2D405" w:rsidR="00235FA3" w:rsidRDefault="00235FA3" w:rsidP="00693AE2">
      <w:pPr>
        <w:pStyle w:val="BodyText"/>
        <w:rPr>
          <w:lang w:val="en-AU"/>
        </w:rPr>
      </w:pPr>
      <w:bookmarkStart w:id="3" w:name="_Ref178064866"/>
      <w:r>
        <w:rPr>
          <w:lang w:val="en-AU"/>
        </w:rPr>
        <w:t xml:space="preserve">Reduced latency </w:t>
      </w:r>
      <w:proofErr w:type="spellStart"/>
      <w:r>
        <w:rPr>
          <w:lang w:val="en-AU"/>
        </w:rPr>
        <w:t>Scell</w:t>
      </w:r>
      <w:proofErr w:type="spellEnd"/>
      <w:r>
        <w:rPr>
          <w:lang w:val="en-AU"/>
        </w:rPr>
        <w:t xml:space="preserve"> management was discussed in RAN1#96bis [1</w:t>
      </w:r>
      <w:proofErr w:type="gramStart"/>
      <w:r>
        <w:rPr>
          <w:lang w:val="en-AU"/>
        </w:rPr>
        <w:t>]</w:t>
      </w:r>
      <w:r w:rsidR="006E7403">
        <w:rPr>
          <w:lang w:val="en-AU"/>
        </w:rPr>
        <w:t>,</w:t>
      </w:r>
      <w:r>
        <w:rPr>
          <w:lang w:val="en-AU"/>
        </w:rPr>
        <w:t>[</w:t>
      </w:r>
      <w:proofErr w:type="gramEnd"/>
      <w:r>
        <w:rPr>
          <w:lang w:val="en-AU"/>
        </w:rPr>
        <w:t xml:space="preserve">2] and an LS was sent to RAN4 [3] requesting RAN4 input on feasibility of reducing </w:t>
      </w:r>
      <w:r w:rsidRPr="00235FA3">
        <w:rPr>
          <w:lang w:val="en-AU"/>
        </w:rPr>
        <w:t>maximum allowed activation delay requirements</w:t>
      </w:r>
      <w:r>
        <w:rPr>
          <w:lang w:val="en-AU"/>
        </w:rPr>
        <w:t>.</w:t>
      </w:r>
    </w:p>
    <w:p w14:paraId="300C58C5" w14:textId="0C810DB2" w:rsidR="006E7403" w:rsidRDefault="00235FA3" w:rsidP="00693AE2">
      <w:pPr>
        <w:pStyle w:val="BodyText"/>
        <w:rPr>
          <w:lang w:val="en-AU"/>
        </w:rPr>
      </w:pPr>
      <w:r>
        <w:rPr>
          <w:lang w:val="en-AU"/>
        </w:rPr>
        <w:t xml:space="preserve">In [4] we </w:t>
      </w:r>
      <w:r w:rsidR="00C3552D">
        <w:rPr>
          <w:lang w:val="en-AU"/>
        </w:rPr>
        <w:t>proposed some</w:t>
      </w:r>
      <w:r>
        <w:rPr>
          <w:lang w:val="en-AU"/>
        </w:rPr>
        <w:t xml:space="preserve"> approaches for faster </w:t>
      </w:r>
      <w:proofErr w:type="spellStart"/>
      <w:r>
        <w:rPr>
          <w:lang w:val="en-AU"/>
        </w:rPr>
        <w:t>SCell</w:t>
      </w:r>
      <w:proofErr w:type="spellEnd"/>
      <w:r>
        <w:rPr>
          <w:lang w:val="en-AU"/>
        </w:rPr>
        <w:t xml:space="preserve"> management</w:t>
      </w:r>
      <w:r w:rsidR="006E7403">
        <w:rPr>
          <w:lang w:val="en-AU"/>
        </w:rPr>
        <w:t xml:space="preserve">. One approach is to improve the </w:t>
      </w:r>
      <w:proofErr w:type="spellStart"/>
      <w:r w:rsidR="006E7403">
        <w:rPr>
          <w:lang w:val="en-AU"/>
        </w:rPr>
        <w:t>Scell</w:t>
      </w:r>
      <w:proofErr w:type="spellEnd"/>
      <w:r w:rsidR="006E7403">
        <w:rPr>
          <w:lang w:val="en-AU"/>
        </w:rPr>
        <w:t xml:space="preserve"> activation latency by moving to L1 based activation/deactivation signalling. Another approach is to retain the existing MAC CE based </w:t>
      </w:r>
      <w:proofErr w:type="spellStart"/>
      <w:r w:rsidR="006E7403">
        <w:rPr>
          <w:lang w:val="en-AU"/>
        </w:rPr>
        <w:t>Scell</w:t>
      </w:r>
      <w:proofErr w:type="spellEnd"/>
      <w:r w:rsidR="006E7403">
        <w:rPr>
          <w:lang w:val="en-AU"/>
        </w:rPr>
        <w:t xml:space="preserve"> activation/deactivation framework but provide additional L1 based signalling to control PDCCH monitoring on </w:t>
      </w:r>
      <w:r w:rsidR="00FC3933">
        <w:rPr>
          <w:lang w:val="en-AU"/>
        </w:rPr>
        <w:t xml:space="preserve">activated </w:t>
      </w:r>
      <w:proofErr w:type="spellStart"/>
      <w:r w:rsidR="006E7403">
        <w:rPr>
          <w:lang w:val="en-AU"/>
        </w:rPr>
        <w:t>Scells</w:t>
      </w:r>
      <w:proofErr w:type="spellEnd"/>
      <w:r w:rsidR="006E7403">
        <w:rPr>
          <w:lang w:val="en-AU"/>
        </w:rPr>
        <w:t>.</w:t>
      </w:r>
    </w:p>
    <w:p w14:paraId="4315B479" w14:textId="55E98951" w:rsidR="00235FA3" w:rsidRDefault="006E7403" w:rsidP="00693AE2">
      <w:pPr>
        <w:pStyle w:val="BodyText"/>
        <w:rPr>
          <w:lang w:val="en-AU"/>
        </w:rPr>
      </w:pPr>
      <w:r>
        <w:rPr>
          <w:lang w:val="en-AU"/>
        </w:rPr>
        <w:t xml:space="preserve">In this document we further discuss details. </w:t>
      </w:r>
    </w:p>
    <w:bookmarkEnd w:id="3"/>
    <w:p w14:paraId="1CC7D15D" w14:textId="77777777" w:rsidR="00693AE2" w:rsidRDefault="00693AE2" w:rsidP="00693AE2">
      <w:pPr>
        <w:pStyle w:val="Heading1"/>
      </w:pPr>
      <w:r>
        <w:t>Discussion</w:t>
      </w:r>
    </w:p>
    <w:p w14:paraId="090B8024" w14:textId="1588AC72" w:rsidR="00FC3933" w:rsidRPr="00FC3933" w:rsidRDefault="000E09E0" w:rsidP="00B1181E">
      <w:pPr>
        <w:pStyle w:val="Heading2"/>
        <w:rPr>
          <w:u w:val="single"/>
        </w:rPr>
      </w:pPr>
      <w:r>
        <w:rPr>
          <w:u w:val="single"/>
        </w:rPr>
        <w:t xml:space="preserve">L1 mechanisms for fast </w:t>
      </w:r>
      <w:proofErr w:type="spellStart"/>
      <w:r w:rsidR="00B1181E">
        <w:rPr>
          <w:u w:val="single"/>
        </w:rPr>
        <w:t>Scell</w:t>
      </w:r>
      <w:proofErr w:type="spellEnd"/>
      <w:r w:rsidR="00B1181E">
        <w:rPr>
          <w:u w:val="single"/>
        </w:rPr>
        <w:t xml:space="preserve"> management</w:t>
      </w:r>
    </w:p>
    <w:p w14:paraId="359219D9" w14:textId="1C1D0159" w:rsidR="00FC3933" w:rsidRDefault="00E03202" w:rsidP="00B1181E">
      <w:pPr>
        <w:pStyle w:val="BodyText"/>
      </w:pPr>
      <w:r>
        <w:t xml:space="preserve">Here we discuss the case </w:t>
      </w:r>
      <w:r w:rsidR="00FC3933">
        <w:t xml:space="preserve">when </w:t>
      </w:r>
      <w:r w:rsidR="00D84C2C">
        <w:t xml:space="preserve">the </w:t>
      </w:r>
      <w:r w:rsidR="00FC3933">
        <w:t xml:space="preserve">UE is not configured with cross-carrier scheduling (i.e., UE </w:t>
      </w:r>
      <w:r w:rsidR="00D84C2C">
        <w:t xml:space="preserve">is </w:t>
      </w:r>
      <w:r w:rsidR="00FC3933">
        <w:t>not configured with CIF).</w:t>
      </w:r>
    </w:p>
    <w:p w14:paraId="28E343AC" w14:textId="53BA0B0D" w:rsidR="00FC3933" w:rsidRDefault="00FC3933" w:rsidP="00B1181E">
      <w:pPr>
        <w:pStyle w:val="BodyText"/>
      </w:pPr>
      <w:r>
        <w:t xml:space="preserve">To start transmitting a data burst on </w:t>
      </w:r>
      <w:proofErr w:type="gramStart"/>
      <w:r>
        <w:t>an</w:t>
      </w:r>
      <w:proofErr w:type="gramEnd"/>
      <w:r>
        <w:t xml:space="preserve"> </w:t>
      </w:r>
      <w:proofErr w:type="spellStart"/>
      <w:r>
        <w:t>Scell</w:t>
      </w:r>
      <w:proofErr w:type="spellEnd"/>
      <w:r>
        <w:t xml:space="preserve">, </w:t>
      </w:r>
    </w:p>
    <w:p w14:paraId="7B606FF4" w14:textId="7FE1BD44" w:rsidR="00FC3933" w:rsidRDefault="00FC3933" w:rsidP="00FC3933">
      <w:pPr>
        <w:pStyle w:val="BodyText"/>
        <w:numPr>
          <w:ilvl w:val="0"/>
          <w:numId w:val="4"/>
        </w:numPr>
      </w:pPr>
      <w:r>
        <w:t xml:space="preserve">UE should be monitoring PDCCH on the </w:t>
      </w:r>
      <w:proofErr w:type="spellStart"/>
      <w:r>
        <w:t>Scell</w:t>
      </w:r>
      <w:proofErr w:type="spellEnd"/>
      <w:r>
        <w:t xml:space="preserve"> </w:t>
      </w:r>
      <w:r w:rsidR="00E574AD">
        <w:t>using which PDSCH carrying the data burst can be scheduled</w:t>
      </w:r>
    </w:p>
    <w:p w14:paraId="3701C35F" w14:textId="21DF117B" w:rsidR="00FC3933" w:rsidRDefault="00FC3933" w:rsidP="00FC3933">
      <w:pPr>
        <w:pStyle w:val="BodyText"/>
        <w:numPr>
          <w:ilvl w:val="0"/>
          <w:numId w:val="4"/>
        </w:numPr>
      </w:pPr>
      <w:r>
        <w:t xml:space="preserve">CSI needed for </w:t>
      </w:r>
      <w:r w:rsidR="00E574AD">
        <w:t>efficient</w:t>
      </w:r>
      <w:r>
        <w:t xml:space="preserve"> scheduling o</w:t>
      </w:r>
      <w:r w:rsidR="00E574AD">
        <w:t>f the data burst on</w:t>
      </w:r>
      <w:r>
        <w:t xml:space="preserve"> the </w:t>
      </w:r>
      <w:proofErr w:type="spellStart"/>
      <w:r>
        <w:t>SCell</w:t>
      </w:r>
      <w:proofErr w:type="spellEnd"/>
      <w:r>
        <w:t xml:space="preserve"> should be available </w:t>
      </w:r>
      <w:r w:rsidR="00D84C2C">
        <w:t>to</w:t>
      </w:r>
      <w:r>
        <w:t xml:space="preserve"> the network</w:t>
      </w:r>
    </w:p>
    <w:p w14:paraId="20B76CF7" w14:textId="4AACBCB6" w:rsidR="00E574AD" w:rsidRDefault="00E574AD" w:rsidP="00FC3933">
      <w:pPr>
        <w:pStyle w:val="BodyText"/>
      </w:pPr>
      <w:r>
        <w:t xml:space="preserve">NR provides multiple approaches for CSI reporting for </w:t>
      </w:r>
      <w:proofErr w:type="spellStart"/>
      <w:r>
        <w:t>Scells</w:t>
      </w:r>
      <w:proofErr w:type="spellEnd"/>
      <w:r>
        <w:t xml:space="preserve"> (</w:t>
      </w:r>
      <w:r w:rsidR="00EA07AD">
        <w:t>as shown in the Table from 38.214 in Annex A</w:t>
      </w:r>
      <w:r>
        <w:t xml:space="preserve">). For the UE to measure and report valid CSI for </w:t>
      </w:r>
      <w:proofErr w:type="gramStart"/>
      <w:r>
        <w:t>an</w:t>
      </w:r>
      <w:proofErr w:type="gramEnd"/>
      <w:r>
        <w:t xml:space="preserve"> </w:t>
      </w:r>
      <w:proofErr w:type="spellStart"/>
      <w:r>
        <w:t>Scell</w:t>
      </w:r>
      <w:proofErr w:type="spellEnd"/>
      <w:r>
        <w:t xml:space="preserve">, the </w:t>
      </w:r>
      <w:proofErr w:type="spellStart"/>
      <w:r>
        <w:t>Scell</w:t>
      </w:r>
      <w:proofErr w:type="spellEnd"/>
      <w:r>
        <w:t xml:space="preserve"> needs to be activated. If the </w:t>
      </w:r>
      <w:proofErr w:type="spellStart"/>
      <w:r>
        <w:t>Scell</w:t>
      </w:r>
      <w:proofErr w:type="spellEnd"/>
      <w:r>
        <w:t xml:space="preserve"> is activated, the UE also monitors PDCCH on that </w:t>
      </w:r>
      <w:proofErr w:type="spellStart"/>
      <w:r>
        <w:t>Scell</w:t>
      </w:r>
      <w:proofErr w:type="spellEnd"/>
      <w:r w:rsidR="00EA07AD">
        <w:t xml:space="preserve"> using which PDSCH carrying the data burst can be scheduled.</w:t>
      </w:r>
    </w:p>
    <w:p w14:paraId="4562F6CC" w14:textId="77777777" w:rsidR="0037786F" w:rsidRDefault="00EA07AD" w:rsidP="00FC3933">
      <w:pPr>
        <w:pStyle w:val="BodyText"/>
      </w:pPr>
      <w:r>
        <w:t xml:space="preserve">Ideally, if the </w:t>
      </w:r>
      <w:proofErr w:type="spellStart"/>
      <w:r>
        <w:t>Scell</w:t>
      </w:r>
      <w:proofErr w:type="spellEnd"/>
      <w:r>
        <w:t xml:space="preserve"> activation delay is small (e.g. a few slots), the </w:t>
      </w:r>
      <w:proofErr w:type="spellStart"/>
      <w:r>
        <w:t>Scell</w:t>
      </w:r>
      <w:proofErr w:type="spellEnd"/>
      <w:r>
        <w:t xml:space="preserve"> can be quickly activated at the onset of data burst arrival, the data burst is then scheduled and the </w:t>
      </w:r>
      <w:proofErr w:type="spellStart"/>
      <w:r>
        <w:t>Scell</w:t>
      </w:r>
      <w:proofErr w:type="spellEnd"/>
      <w:r>
        <w:t xml:space="preserve"> is then deactivated</w:t>
      </w:r>
      <w:r w:rsidR="0037786F">
        <w:t xml:space="preserve"> to provide UE power saving</w:t>
      </w:r>
      <w:r>
        <w:t>.</w:t>
      </w:r>
    </w:p>
    <w:p w14:paraId="014A65C6" w14:textId="4D164AA7" w:rsidR="00E574AD" w:rsidRPr="00B1181E" w:rsidRDefault="00EA07AD" w:rsidP="00FC3933">
      <w:pPr>
        <w:pStyle w:val="BodyText"/>
      </w:pPr>
      <w:r>
        <w:t xml:space="preserve">However, </w:t>
      </w:r>
      <w:r w:rsidR="00CF5D05">
        <w:t xml:space="preserve">if </w:t>
      </w:r>
      <w:r>
        <w:t xml:space="preserve">the </w:t>
      </w:r>
      <w:proofErr w:type="spellStart"/>
      <w:r>
        <w:t>Scell</w:t>
      </w:r>
      <w:proofErr w:type="spellEnd"/>
      <w:r>
        <w:t xml:space="preserve"> activation delay is not small </w:t>
      </w:r>
      <w:r w:rsidR="0037786F">
        <w:t>and due to long activation delays,</w:t>
      </w:r>
      <w:r w:rsidR="005F10C4">
        <w:t xml:space="preserve"> </w:t>
      </w:r>
      <w:r w:rsidR="0037786F">
        <w:t xml:space="preserve">it is risky for the NW to frequently deactivate the </w:t>
      </w:r>
      <w:proofErr w:type="spellStart"/>
      <w:r w:rsidR="0037786F">
        <w:t>Scell</w:t>
      </w:r>
      <w:proofErr w:type="spellEnd"/>
      <w:r w:rsidR="0037786F">
        <w:t xml:space="preserve"> since bringing the UE back to </w:t>
      </w:r>
      <w:proofErr w:type="spellStart"/>
      <w:r w:rsidR="0037786F">
        <w:t>Scell</w:t>
      </w:r>
      <w:proofErr w:type="spellEnd"/>
      <w:r w:rsidR="0037786F">
        <w:t xml:space="preserve"> activated state can take anywhere from a minimum of ~5ms to maximum allowed RAN4 values of tens or hundreds of milliseconds depending on the specific scenario and UE implementation</w:t>
      </w:r>
      <w:r w:rsidR="00C3552D">
        <w:t xml:space="preserve"> (as discussed in [4])</w:t>
      </w:r>
      <w:r w:rsidR="0037786F">
        <w:t xml:space="preserve">. </w:t>
      </w:r>
    </w:p>
    <w:p w14:paraId="758ADE7C" w14:textId="0CD78AE2" w:rsidR="00693AE2" w:rsidRDefault="00342945" w:rsidP="00693AE2">
      <w:pPr>
        <w:jc w:val="both"/>
      </w:pPr>
      <w:r>
        <w:t>O</w:t>
      </w:r>
      <w:r w:rsidR="0037786F">
        <w:t xml:space="preserve">ne approach to retain the ability to quickly schedule data bursts while still providing UE power saving is to </w:t>
      </w:r>
      <w:r w:rsidR="00094B85">
        <w:t xml:space="preserve">keep the </w:t>
      </w:r>
      <w:proofErr w:type="spellStart"/>
      <w:r w:rsidR="00094B85">
        <w:t>Scell</w:t>
      </w:r>
      <w:proofErr w:type="spellEnd"/>
      <w:r w:rsidR="00094B85">
        <w:t xml:space="preserve"> activated</w:t>
      </w:r>
      <w:r>
        <w:t xml:space="preserve"> (so that CSI </w:t>
      </w:r>
      <w:r w:rsidR="00C3552D">
        <w:t xml:space="preserve">measurement on the </w:t>
      </w:r>
      <w:proofErr w:type="spellStart"/>
      <w:r w:rsidR="00C3552D">
        <w:t>Scell</w:t>
      </w:r>
      <w:proofErr w:type="spellEnd"/>
      <w:r w:rsidR="00C3552D">
        <w:t xml:space="preserve"> and </w:t>
      </w:r>
      <w:r>
        <w:t xml:space="preserve">reporting for </w:t>
      </w:r>
      <w:r w:rsidR="00C3552D">
        <w:t xml:space="preserve">the </w:t>
      </w:r>
      <w:proofErr w:type="spellStart"/>
      <w:r>
        <w:t>Scell</w:t>
      </w:r>
      <w:proofErr w:type="spellEnd"/>
      <w:r>
        <w:t xml:space="preserve"> is still possible) but adapt the PDCCH monitoring on the activated </w:t>
      </w:r>
      <w:proofErr w:type="spellStart"/>
      <w:r>
        <w:t>Scell</w:t>
      </w:r>
      <w:proofErr w:type="spellEnd"/>
      <w:r>
        <w:t xml:space="preserve"> using an additional L1 mechanism. </w:t>
      </w:r>
      <w:r w:rsidR="005F10C4">
        <w:t>Some L1</w:t>
      </w:r>
      <w:r w:rsidR="00A41977">
        <w:t xml:space="preserve"> </w:t>
      </w:r>
      <w:r w:rsidR="005F10C4">
        <w:t>mechanisms related to this approach were</w:t>
      </w:r>
      <w:r w:rsidR="00A41977">
        <w:t xml:space="preserve"> discussed in RAN1#96bis</w:t>
      </w:r>
      <w:r w:rsidR="005F10C4">
        <w:t xml:space="preserve"> [2]</w:t>
      </w:r>
      <w:r w:rsidR="00C3552D">
        <w:t>.</w:t>
      </w:r>
    </w:p>
    <w:p w14:paraId="43F7A7D0" w14:textId="0EEDBABF" w:rsidR="00C3552D" w:rsidRDefault="00C3552D" w:rsidP="00693AE2">
      <w:pPr>
        <w:jc w:val="both"/>
      </w:pPr>
    </w:p>
    <w:p w14:paraId="0775D7A3" w14:textId="28BB8AD0" w:rsidR="00D30957" w:rsidRDefault="00C3552D" w:rsidP="00693AE2">
      <w:pPr>
        <w:jc w:val="both"/>
      </w:pPr>
      <w:r>
        <w:t>One possible L1 mechanism is to use a dedicated DCI format to control PDCCH moni</w:t>
      </w:r>
      <w:r w:rsidR="00504F4A">
        <w:t xml:space="preserve">toring on/off for </w:t>
      </w:r>
      <w:proofErr w:type="spellStart"/>
      <w:r w:rsidR="00504F4A">
        <w:t>Scells</w:t>
      </w:r>
      <w:proofErr w:type="spellEnd"/>
      <w:r w:rsidR="00504F4A">
        <w:t xml:space="preserve">. </w:t>
      </w:r>
      <w:r w:rsidR="00615CD9">
        <w:t xml:space="preserve">As discussed in [4], this can be done by having a bitmap in the DCI indicating the PDCCH on/off status for each of the configured </w:t>
      </w:r>
      <w:proofErr w:type="spellStart"/>
      <w:r w:rsidR="00615CD9">
        <w:t>SCell</w:t>
      </w:r>
      <w:proofErr w:type="spellEnd"/>
      <w:r w:rsidR="00615CD9">
        <w:t xml:space="preserve">(s) for the UE. </w:t>
      </w:r>
      <w:r w:rsidR="00546493">
        <w:t xml:space="preserve">Since up to </w:t>
      </w:r>
      <w:r w:rsidR="00651D01">
        <w:t xml:space="preserve">16 </w:t>
      </w:r>
      <w:r w:rsidR="00546493">
        <w:t>DL CCs can be configured for NR, this would need up</w:t>
      </w:r>
      <w:r w:rsidR="00A260F7">
        <w:t xml:space="preserve"> </w:t>
      </w:r>
      <w:r w:rsidR="00546493">
        <w:t>to</w:t>
      </w:r>
      <w:r w:rsidR="00651D01">
        <w:t xml:space="preserve"> </w:t>
      </w:r>
      <w:r w:rsidR="00546493">
        <w:t>15 bits in the DCI</w:t>
      </w:r>
      <w:r w:rsidR="00651D01">
        <w:t xml:space="preserve"> (one per </w:t>
      </w:r>
      <w:proofErr w:type="spellStart"/>
      <w:r w:rsidR="00651D01">
        <w:t>Scell</w:t>
      </w:r>
      <w:proofErr w:type="spellEnd"/>
      <w:r w:rsidR="00651D01">
        <w:t>)</w:t>
      </w:r>
      <w:r w:rsidR="00546493">
        <w:t>.</w:t>
      </w:r>
      <w:r w:rsidR="008153BA">
        <w:t xml:space="preserve"> For the case when </w:t>
      </w:r>
      <w:proofErr w:type="gramStart"/>
      <w:r w:rsidR="00A260F7">
        <w:t>an</w:t>
      </w:r>
      <w:proofErr w:type="gramEnd"/>
      <w:r w:rsidR="00A260F7">
        <w:t xml:space="preserve"> </w:t>
      </w:r>
      <w:proofErr w:type="spellStart"/>
      <w:r w:rsidR="008153BA">
        <w:t>Scell</w:t>
      </w:r>
      <w:proofErr w:type="spellEnd"/>
      <w:r w:rsidR="008153BA">
        <w:t xml:space="preserve"> is configured with multiple BWPs, PDCCH monitoring is turned off</w:t>
      </w:r>
      <w:r w:rsidR="00715866">
        <w:t xml:space="preserve">/restarted on the current active BWP of that </w:t>
      </w:r>
      <w:proofErr w:type="spellStart"/>
      <w:r w:rsidR="00715866">
        <w:t>Scell</w:t>
      </w:r>
      <w:proofErr w:type="spellEnd"/>
      <w:r w:rsidR="008153BA">
        <w:t>.</w:t>
      </w:r>
      <w:r w:rsidR="000F3F71">
        <w:t xml:space="preserve"> </w:t>
      </w:r>
    </w:p>
    <w:p w14:paraId="3FCFB986" w14:textId="77777777" w:rsidR="00D30957" w:rsidRDefault="00D30957" w:rsidP="00693AE2">
      <w:pPr>
        <w:jc w:val="both"/>
      </w:pPr>
    </w:p>
    <w:p w14:paraId="361B5FD0" w14:textId="1E62641E" w:rsidR="00D30957" w:rsidRDefault="000F3F71" w:rsidP="00693AE2">
      <w:pPr>
        <w:jc w:val="both"/>
      </w:pPr>
      <w:r>
        <w:t>Figure 1 below illustrates this approach</w:t>
      </w:r>
      <w:r w:rsidR="00FA378E">
        <w:t xml:space="preserve">. </w:t>
      </w:r>
      <w:r w:rsidR="00651D01">
        <w:t>U</w:t>
      </w:r>
      <w:r w:rsidR="00D30957">
        <w:t xml:space="preserve">nlike L1 based </w:t>
      </w:r>
      <w:proofErr w:type="spellStart"/>
      <w:r w:rsidR="00D30957">
        <w:t>Scell</w:t>
      </w:r>
      <w:proofErr w:type="spellEnd"/>
      <w:r w:rsidR="00D30957">
        <w:t xml:space="preserve"> activation/deactivation, the L1 on/off signaling does not impact CSI reporting. Given this, </w:t>
      </w:r>
      <w:r w:rsidR="0077559C">
        <w:t xml:space="preserve">if </w:t>
      </w:r>
      <w:r w:rsidR="00DE2110">
        <w:t>PDCCH monitoring on/off</w:t>
      </w:r>
      <w:r w:rsidR="0077559C">
        <w:t xml:space="preserve"> is indicated for </w:t>
      </w:r>
      <w:proofErr w:type="gramStart"/>
      <w:r w:rsidR="0077559C">
        <w:t>an</w:t>
      </w:r>
      <w:proofErr w:type="gramEnd"/>
      <w:r w:rsidR="0077559C">
        <w:t xml:space="preserve"> </w:t>
      </w:r>
      <w:proofErr w:type="spellStart"/>
      <w:r w:rsidR="0077559C">
        <w:t>Scell</w:t>
      </w:r>
      <w:proofErr w:type="spellEnd"/>
      <w:r w:rsidR="0077559C">
        <w:t xml:space="preserve"> </w:t>
      </w:r>
      <w:r w:rsidR="00D30957">
        <w:t xml:space="preserve">it </w:t>
      </w:r>
      <w:r w:rsidR="00651D01">
        <w:t xml:space="preserve">is </w:t>
      </w:r>
      <w:r w:rsidR="00D30957">
        <w:t xml:space="preserve">less essential to wait till </w:t>
      </w:r>
      <w:r w:rsidR="00651D01">
        <w:t xml:space="preserve">reception of </w:t>
      </w:r>
      <w:r w:rsidR="00D30957">
        <w:t>an ACK from the UE</w:t>
      </w:r>
      <w:r w:rsidR="004324D4">
        <w:t xml:space="preserve"> </w:t>
      </w:r>
      <w:r w:rsidR="0077559C">
        <w:t xml:space="preserve">(i.e., </w:t>
      </w:r>
      <w:r w:rsidR="00651D01">
        <w:t xml:space="preserve">in </w:t>
      </w:r>
      <w:r w:rsidR="00D30957">
        <w:t>response to the L1 on/off command</w:t>
      </w:r>
      <w:r w:rsidR="0077559C">
        <w:t xml:space="preserve">) before starting/stopping PDCCH monitoring on that </w:t>
      </w:r>
      <w:proofErr w:type="spellStart"/>
      <w:r w:rsidR="0077559C">
        <w:t>Scell</w:t>
      </w:r>
      <w:proofErr w:type="spellEnd"/>
      <w:r w:rsidR="00D30957">
        <w:t xml:space="preserve">. </w:t>
      </w:r>
    </w:p>
    <w:p w14:paraId="0A564BD4" w14:textId="30B97C04" w:rsidR="00FA378E" w:rsidRDefault="00FA378E" w:rsidP="00FA378E"/>
    <w:p w14:paraId="2BA7A98E" w14:textId="3618DF73" w:rsidR="00FA378E" w:rsidRPr="00912AB6" w:rsidRDefault="00B23886" w:rsidP="00FA378E">
      <w:r w:rsidRPr="005C7CBB">
        <w:rPr>
          <w:noProof/>
        </w:rPr>
        <w:lastRenderedPageBreak/>
        <w:drawing>
          <wp:inline distT="0" distB="0" distL="0" distR="0" wp14:anchorId="73410462" wp14:editId="205219FE">
            <wp:extent cx="5759450" cy="49885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4988560"/>
                    </a:xfrm>
                    <a:prstGeom prst="rect">
                      <a:avLst/>
                    </a:prstGeom>
                    <a:noFill/>
                    <a:ln>
                      <a:noFill/>
                    </a:ln>
                  </pic:spPr>
                </pic:pic>
              </a:graphicData>
            </a:graphic>
          </wp:inline>
        </w:drawing>
      </w:r>
    </w:p>
    <w:p w14:paraId="57D60640" w14:textId="77777777" w:rsidR="00E53241" w:rsidRDefault="00E53241" w:rsidP="00FA378E">
      <w:pPr>
        <w:jc w:val="center"/>
        <w:rPr>
          <w:rFonts w:ascii="Arial" w:hAnsi="Arial" w:cs="Arial"/>
          <w:b/>
          <w:u w:val="single"/>
        </w:rPr>
      </w:pPr>
    </w:p>
    <w:p w14:paraId="5A208680" w14:textId="6DDD24B4" w:rsidR="00FA378E" w:rsidRPr="001F2D9F" w:rsidRDefault="00FA378E" w:rsidP="00FA378E">
      <w:pPr>
        <w:jc w:val="center"/>
        <w:rPr>
          <w:rFonts w:ascii="Arial" w:hAnsi="Arial" w:cs="Arial"/>
          <w:b/>
          <w:u w:val="single"/>
        </w:rPr>
      </w:pPr>
      <w:r w:rsidRPr="001F2D9F">
        <w:rPr>
          <w:rFonts w:ascii="Arial" w:hAnsi="Arial" w:cs="Arial"/>
          <w:b/>
          <w:u w:val="single"/>
        </w:rPr>
        <w:t xml:space="preserve">Figure </w:t>
      </w:r>
      <w:r>
        <w:rPr>
          <w:rFonts w:ascii="Arial" w:hAnsi="Arial" w:cs="Arial"/>
          <w:b/>
          <w:u w:val="single"/>
        </w:rPr>
        <w:t>1</w:t>
      </w:r>
      <w:r w:rsidRPr="001F2D9F">
        <w:rPr>
          <w:rFonts w:ascii="Arial" w:hAnsi="Arial" w:cs="Arial"/>
          <w:b/>
          <w:u w:val="single"/>
        </w:rPr>
        <w:t xml:space="preserve"> – </w:t>
      </w:r>
      <w:r>
        <w:rPr>
          <w:rFonts w:ascii="Arial" w:hAnsi="Arial" w:cs="Arial"/>
          <w:b/>
          <w:u w:val="single"/>
        </w:rPr>
        <w:t xml:space="preserve">Additional L1 based on/off for NR Rel16 </w:t>
      </w:r>
      <w:proofErr w:type="spellStart"/>
      <w:r>
        <w:rPr>
          <w:rFonts w:ascii="Arial" w:hAnsi="Arial" w:cs="Arial"/>
          <w:b/>
          <w:u w:val="single"/>
        </w:rPr>
        <w:t>Scell</w:t>
      </w:r>
      <w:proofErr w:type="spellEnd"/>
      <w:r>
        <w:rPr>
          <w:rFonts w:ascii="Arial" w:hAnsi="Arial" w:cs="Arial"/>
          <w:b/>
          <w:u w:val="single"/>
        </w:rPr>
        <w:t xml:space="preserve"> management</w:t>
      </w:r>
    </w:p>
    <w:p w14:paraId="033CE2E7" w14:textId="77777777" w:rsidR="000F3F71" w:rsidRDefault="000F3F71" w:rsidP="00693AE2">
      <w:pPr>
        <w:jc w:val="both"/>
      </w:pPr>
    </w:p>
    <w:p w14:paraId="0B9F702B" w14:textId="7E9EC8CE" w:rsidR="008153BA" w:rsidRDefault="008153BA" w:rsidP="00693AE2">
      <w:pPr>
        <w:jc w:val="both"/>
      </w:pPr>
    </w:p>
    <w:p w14:paraId="0C15FE15" w14:textId="0D13D311" w:rsidR="0057434A" w:rsidRDefault="008153BA" w:rsidP="00693AE2">
      <w:pPr>
        <w:jc w:val="both"/>
      </w:pPr>
      <w:r>
        <w:t xml:space="preserve">Another L1 mechanism is to configure each </w:t>
      </w:r>
      <w:proofErr w:type="spellStart"/>
      <w:r>
        <w:t>Scell</w:t>
      </w:r>
      <w:proofErr w:type="spellEnd"/>
      <w:r>
        <w:t xml:space="preserve"> with a ‘dormant BWP’ </w:t>
      </w:r>
      <w:r w:rsidR="00B44469">
        <w:t>that has</w:t>
      </w:r>
      <w:r>
        <w:t xml:space="preserve"> no PDCCH monitoring candidates and to turn off PDCCH monitoring on the </w:t>
      </w:r>
      <w:proofErr w:type="spellStart"/>
      <w:r>
        <w:t>Scell</w:t>
      </w:r>
      <w:proofErr w:type="spellEnd"/>
      <w:r>
        <w:t>, switch</w:t>
      </w:r>
      <w:r w:rsidR="00B263A1">
        <w:t xml:space="preserve"> the UE</w:t>
      </w:r>
      <w:r>
        <w:t xml:space="preserve"> to the dormant BWP of that </w:t>
      </w:r>
      <w:proofErr w:type="spellStart"/>
      <w:r>
        <w:t>Scell</w:t>
      </w:r>
      <w:proofErr w:type="spellEnd"/>
      <w:r>
        <w:t xml:space="preserve">. This was discussed e.g. in [5][6]. </w:t>
      </w:r>
      <w:r w:rsidR="00FA3DAA">
        <w:t xml:space="preserve">Rel15 supports fast BWP switching via DCI formats used for scheduling PDSCH/PUSCH. However, the Rel15 mechanism cannot be used for switching the UE from dormant BWP to ‘regular BWP’ (i.e., BWP with PDCCH monitoring used for transmitting data bursts to the UE) as there will be no PDCCH </w:t>
      </w:r>
      <w:r w:rsidR="00651D01">
        <w:t xml:space="preserve">for the UE to monitor </w:t>
      </w:r>
      <w:r w:rsidR="00FA3DAA">
        <w:t xml:space="preserve">on the dormant BWP. Given this, the dormant BWP </w:t>
      </w:r>
      <w:r w:rsidR="00E83087">
        <w:t xml:space="preserve">approach </w:t>
      </w:r>
      <w:r w:rsidR="0057434A">
        <w:t xml:space="preserve">would need some additional </w:t>
      </w:r>
      <w:r w:rsidR="00FA3DAA">
        <w:t xml:space="preserve">mechanism </w:t>
      </w:r>
      <w:r w:rsidR="0057434A">
        <w:t xml:space="preserve">compared to Rel15 </w:t>
      </w:r>
      <w:r w:rsidR="00E83087">
        <w:t xml:space="preserve">(i.e., </w:t>
      </w:r>
      <w:r w:rsidR="0057434A">
        <w:t>to switch from dormant BWP to regular BWP</w:t>
      </w:r>
      <w:r w:rsidR="00E83087">
        <w:t>)</w:t>
      </w:r>
      <w:r w:rsidR="0057434A">
        <w:t xml:space="preserve">. The explicit approach to support this would be to use a </w:t>
      </w:r>
      <w:r w:rsidR="00FA3DAA">
        <w:t xml:space="preserve">dedicated DCI format </w:t>
      </w:r>
      <w:r w:rsidR="00A615E7">
        <w:t xml:space="preserve">(e.g. sent on </w:t>
      </w:r>
      <w:proofErr w:type="spellStart"/>
      <w:r w:rsidR="00A615E7">
        <w:t>Pcell</w:t>
      </w:r>
      <w:proofErr w:type="spellEnd"/>
      <w:r w:rsidR="00A615E7">
        <w:t xml:space="preserve">) </w:t>
      </w:r>
      <w:r w:rsidR="00FA3DAA">
        <w:t xml:space="preserve">to switch the UE from dormant BWP to ‘regular BWP’ on </w:t>
      </w:r>
      <w:r w:rsidR="00E264B0">
        <w:t xml:space="preserve">the </w:t>
      </w:r>
      <w:proofErr w:type="spellStart"/>
      <w:r w:rsidR="00E264B0">
        <w:t>Scells</w:t>
      </w:r>
      <w:proofErr w:type="spellEnd"/>
      <w:r w:rsidR="00FA3DAA">
        <w:t>.</w:t>
      </w:r>
      <w:r w:rsidR="00E264B0">
        <w:t xml:space="preserve"> Again, this can be done by a bitmap with 1 bit </w:t>
      </w:r>
      <w:r w:rsidR="004962F7">
        <w:t>per</w:t>
      </w:r>
      <w:r w:rsidR="00E264B0">
        <w:t xml:space="preserve"> configured </w:t>
      </w:r>
      <w:proofErr w:type="spellStart"/>
      <w:r w:rsidR="00E264B0">
        <w:t>Scell</w:t>
      </w:r>
      <w:proofErr w:type="spellEnd"/>
      <w:r w:rsidR="00E264B0">
        <w:t xml:space="preserve">. 0 would mean UE switches to ‘dormant BWP’ for the </w:t>
      </w:r>
      <w:proofErr w:type="spellStart"/>
      <w:r w:rsidR="00E264B0">
        <w:t>Scell</w:t>
      </w:r>
      <w:proofErr w:type="spellEnd"/>
      <w:r w:rsidR="00E264B0">
        <w:t xml:space="preserve"> and ‘1’ would mean UE </w:t>
      </w:r>
      <w:r w:rsidR="0057434A">
        <w:t xml:space="preserve">either </w:t>
      </w:r>
      <w:r w:rsidR="00E264B0">
        <w:t xml:space="preserve">continues </w:t>
      </w:r>
      <w:r w:rsidR="0057434A">
        <w:t xml:space="preserve">operating </w:t>
      </w:r>
      <w:r w:rsidR="00E264B0">
        <w:t xml:space="preserve">on existing </w:t>
      </w:r>
      <w:r w:rsidR="0057434A">
        <w:t xml:space="preserve">regular </w:t>
      </w:r>
      <w:r w:rsidR="00E264B0">
        <w:t xml:space="preserve">BWP </w:t>
      </w:r>
      <w:r w:rsidR="002F3F00">
        <w:t xml:space="preserve">if operating on regular BWP, </w:t>
      </w:r>
      <w:r w:rsidR="00E264B0">
        <w:t xml:space="preserve">or </w:t>
      </w:r>
      <w:r w:rsidR="002F3F00">
        <w:t xml:space="preserve">if operating on dormant BWP, </w:t>
      </w:r>
      <w:r w:rsidR="00E264B0">
        <w:t xml:space="preserve">switch </w:t>
      </w:r>
      <w:r w:rsidR="0057434A">
        <w:t xml:space="preserve">to </w:t>
      </w:r>
      <w:r w:rsidR="00E264B0">
        <w:t xml:space="preserve">previous active regular BWP. </w:t>
      </w:r>
      <w:r w:rsidR="0057434A">
        <w:t xml:space="preserve">In [5],[6], an implicit  </w:t>
      </w:r>
      <w:r w:rsidR="00E83087">
        <w:t xml:space="preserve">approach was also discussed where BWP switch on </w:t>
      </w:r>
      <w:proofErr w:type="spellStart"/>
      <w:r w:rsidR="00E83087">
        <w:t>Pcell</w:t>
      </w:r>
      <w:proofErr w:type="spellEnd"/>
      <w:r w:rsidR="00E83087">
        <w:t xml:space="preserve"> </w:t>
      </w:r>
      <w:r w:rsidR="00644F75">
        <w:t xml:space="preserve">from ‘regular’ to ‘power savings’ BWP is linked to BWP switch on all </w:t>
      </w:r>
      <w:proofErr w:type="spellStart"/>
      <w:r w:rsidR="00644F75">
        <w:t>Scells</w:t>
      </w:r>
      <w:proofErr w:type="spellEnd"/>
      <w:r w:rsidR="00644F75">
        <w:t xml:space="preserve"> from ‘regular’ to ‘dormant BWP’. </w:t>
      </w:r>
    </w:p>
    <w:p w14:paraId="431F8569" w14:textId="2B4DF526" w:rsidR="00644F75" w:rsidRDefault="00644F75" w:rsidP="00693AE2">
      <w:pPr>
        <w:jc w:val="both"/>
      </w:pPr>
    </w:p>
    <w:p w14:paraId="68C26AC6" w14:textId="59E5294D" w:rsidR="00644F75" w:rsidRDefault="000D018B" w:rsidP="00693AE2">
      <w:pPr>
        <w:jc w:val="both"/>
      </w:pPr>
      <w:r>
        <w:t xml:space="preserve">From </w:t>
      </w:r>
      <w:r w:rsidR="00FB63AC">
        <w:t xml:space="preserve">a </w:t>
      </w:r>
      <w:r>
        <w:t xml:space="preserve">CSI measurement/reporting perspective, Rel15 NR already provides enough flexibility to adapt the CSI reporting for activated </w:t>
      </w:r>
      <w:proofErr w:type="spellStart"/>
      <w:r>
        <w:t>Scells</w:t>
      </w:r>
      <w:proofErr w:type="spellEnd"/>
      <w:r>
        <w:t>. For aperiodic CSI reporting,</w:t>
      </w:r>
      <w:r w:rsidR="00BE6645">
        <w:t xml:space="preserve"> </w:t>
      </w:r>
      <w:proofErr w:type="spellStart"/>
      <w:r w:rsidR="00BE6645">
        <w:t>gNB</w:t>
      </w:r>
      <w:proofErr w:type="spellEnd"/>
      <w:r>
        <w:t xml:space="preserve"> can trigger an aperiodic CSI report</w:t>
      </w:r>
      <w:r w:rsidR="00BE6645">
        <w:t xml:space="preserve"> for an activated </w:t>
      </w:r>
      <w:proofErr w:type="spellStart"/>
      <w:r w:rsidR="00BE6645">
        <w:t>Scell</w:t>
      </w:r>
      <w:proofErr w:type="spellEnd"/>
      <w:r w:rsidR="00BE6645">
        <w:t xml:space="preserve"> from the </w:t>
      </w:r>
      <w:proofErr w:type="spellStart"/>
      <w:r w:rsidR="00BE6645">
        <w:t>Pcell</w:t>
      </w:r>
      <w:proofErr w:type="spellEnd"/>
      <w:r w:rsidR="00BE6645">
        <w:t xml:space="preserve"> with the desired reporting configuration </w:t>
      </w:r>
      <w:r w:rsidR="004962F7">
        <w:t xml:space="preserve">(e.g. frequent/infrequent) </w:t>
      </w:r>
      <w:r w:rsidR="00BE6645">
        <w:t xml:space="preserve">and this can be used regardless of whether PDCCH is monitored on </w:t>
      </w:r>
      <w:proofErr w:type="spellStart"/>
      <w:r w:rsidR="00BE6645">
        <w:t>Scell</w:t>
      </w:r>
      <w:proofErr w:type="spellEnd"/>
      <w:r w:rsidR="00BE6645">
        <w:t xml:space="preserve"> or not. For semi-persi</w:t>
      </w:r>
      <w:r w:rsidR="00A269A7">
        <w:t>stent CSI reporting, Rel15 signaling allows activation/deactivation of SP-</w:t>
      </w:r>
      <w:r w:rsidR="000327E0">
        <w:t xml:space="preserve">CSI </w:t>
      </w:r>
      <w:r w:rsidR="00A269A7">
        <w:t xml:space="preserve">reporting on </w:t>
      </w:r>
      <w:proofErr w:type="spellStart"/>
      <w:r w:rsidR="00A269A7">
        <w:t>SCells</w:t>
      </w:r>
      <w:proofErr w:type="spellEnd"/>
      <w:r w:rsidR="00A269A7">
        <w:t xml:space="preserve"> via MAC CE based mechanism. </w:t>
      </w:r>
      <w:r w:rsidR="00D0689D">
        <w:t xml:space="preserve">Periodic CSI reporting </w:t>
      </w:r>
      <w:r w:rsidR="00EC5FC9">
        <w:t xml:space="preserve">on activated </w:t>
      </w:r>
      <w:proofErr w:type="spellStart"/>
      <w:r w:rsidR="00EC5FC9">
        <w:t>Scells</w:t>
      </w:r>
      <w:proofErr w:type="spellEnd"/>
      <w:r w:rsidR="00EC5FC9">
        <w:t xml:space="preserve"> </w:t>
      </w:r>
      <w:r w:rsidR="00D0689D">
        <w:t>is RRC configured and there is no need for fast adaptation of this reporting type as SP-CSI reporting can be used for such situations.</w:t>
      </w:r>
    </w:p>
    <w:p w14:paraId="4F6780E0" w14:textId="50C7F780" w:rsidR="00734D2A" w:rsidRDefault="00734D2A" w:rsidP="00693AE2">
      <w:pPr>
        <w:jc w:val="both"/>
      </w:pPr>
    </w:p>
    <w:p w14:paraId="226ED972" w14:textId="023575DB" w:rsidR="00734D2A" w:rsidRDefault="00734D2A" w:rsidP="00693AE2">
      <w:pPr>
        <w:jc w:val="both"/>
      </w:pPr>
      <w:r>
        <w:lastRenderedPageBreak/>
        <w:t xml:space="preserve">In our view, </w:t>
      </w:r>
      <w:r w:rsidR="000D5B50">
        <w:t>the approa</w:t>
      </w:r>
      <w:r w:rsidR="00572C08">
        <w:t xml:space="preserve">ch of using dedicated DCI to control PDCCH monitoring on/off for </w:t>
      </w:r>
      <w:proofErr w:type="spellStart"/>
      <w:r w:rsidR="00572C08">
        <w:t>Scells</w:t>
      </w:r>
      <w:proofErr w:type="spellEnd"/>
      <w:r w:rsidR="00572C08">
        <w:t xml:space="preserve"> provides the desired benefits for fast </w:t>
      </w:r>
      <w:proofErr w:type="spellStart"/>
      <w:r w:rsidR="00572C08">
        <w:t>Scell</w:t>
      </w:r>
      <w:proofErr w:type="spellEnd"/>
      <w:r w:rsidR="00572C08">
        <w:t xml:space="preserve"> management. For </w:t>
      </w:r>
      <w:proofErr w:type="spellStart"/>
      <w:r w:rsidR="00572C08">
        <w:t>Scells</w:t>
      </w:r>
      <w:proofErr w:type="spellEnd"/>
      <w:r w:rsidR="00572C08">
        <w:t xml:space="preserve"> configured with multiple BWPs, the ‘dormant BWP’ approach is also applicable. However, </w:t>
      </w:r>
      <w:r w:rsidR="009C12FB">
        <w:t>this approach also requires a dedicated DCI to switch the UE from ‘dormant’ to ‘regular’ BWPS</w:t>
      </w:r>
      <w:r w:rsidR="007D2A8E">
        <w:t>s</w:t>
      </w:r>
      <w:r w:rsidR="00241034">
        <w:t xml:space="preserve"> </w:t>
      </w:r>
      <w:r w:rsidR="009C12FB">
        <w:t xml:space="preserve">on the </w:t>
      </w:r>
      <w:proofErr w:type="spellStart"/>
      <w:r w:rsidR="009C12FB">
        <w:t>Scells</w:t>
      </w:r>
      <w:proofErr w:type="spellEnd"/>
      <w:r w:rsidR="00572C08">
        <w:t>.</w:t>
      </w:r>
      <w:r w:rsidR="009C12FB">
        <w:t xml:space="preserve"> The implicit approach of linking BWP switch between different cells is </w:t>
      </w:r>
      <w:r w:rsidR="006C4556">
        <w:t xml:space="preserve">not flexible enough as </w:t>
      </w:r>
      <w:proofErr w:type="spellStart"/>
      <w:r w:rsidR="006C4556">
        <w:t>Scells</w:t>
      </w:r>
      <w:proofErr w:type="spellEnd"/>
      <w:r w:rsidR="006C4556">
        <w:t xml:space="preserve"> cannot be managed independently. </w:t>
      </w:r>
      <w:r w:rsidR="00241034">
        <w:t xml:space="preserve">From CSI reporting perspective, as discussed above, NR Rel15 signaling already provides enough adaptability and the additional benefit provided by the ‘dormant BWP’ mechanism for this aspect is unclear. </w:t>
      </w:r>
    </w:p>
    <w:p w14:paraId="57F6FE51" w14:textId="39874644" w:rsidR="00241034" w:rsidRDefault="00241034" w:rsidP="00693AE2">
      <w:pPr>
        <w:jc w:val="both"/>
      </w:pPr>
    </w:p>
    <w:p w14:paraId="159F6B35" w14:textId="5E7CDBAB" w:rsidR="00241034" w:rsidRDefault="00241034" w:rsidP="00693AE2">
      <w:pPr>
        <w:jc w:val="both"/>
      </w:pPr>
      <w:r>
        <w:t>Considering the above, we propose the following</w:t>
      </w:r>
    </w:p>
    <w:p w14:paraId="770428E0" w14:textId="75A11FF1" w:rsidR="00241034" w:rsidRDefault="00241034" w:rsidP="00693AE2">
      <w:pPr>
        <w:jc w:val="both"/>
      </w:pPr>
    </w:p>
    <w:p w14:paraId="41536972" w14:textId="1F47B7DD" w:rsidR="00241034" w:rsidRDefault="00241034" w:rsidP="00693AE2">
      <w:pPr>
        <w:jc w:val="both"/>
        <w:rPr>
          <w:b/>
          <w:u w:val="single"/>
        </w:rPr>
      </w:pPr>
      <w:r w:rsidRPr="00241034">
        <w:rPr>
          <w:b/>
          <w:u w:val="single"/>
        </w:rPr>
        <w:t>Proposal</w:t>
      </w:r>
    </w:p>
    <w:p w14:paraId="1D654E30" w14:textId="5275440E" w:rsidR="00241034" w:rsidRDefault="00241034" w:rsidP="00693AE2">
      <w:pPr>
        <w:jc w:val="both"/>
        <w:rPr>
          <w:b/>
          <w:u w:val="single"/>
        </w:rPr>
      </w:pPr>
    </w:p>
    <w:p w14:paraId="77C0A4E6" w14:textId="0EAC4100" w:rsidR="00241034" w:rsidRPr="00241034" w:rsidRDefault="00241034" w:rsidP="00241034">
      <w:pPr>
        <w:pStyle w:val="ListParagraph"/>
        <w:numPr>
          <w:ilvl w:val="0"/>
          <w:numId w:val="5"/>
        </w:numPr>
        <w:jc w:val="both"/>
        <w:rPr>
          <w:b/>
          <w:u w:val="single"/>
        </w:rPr>
      </w:pPr>
      <w:r>
        <w:t xml:space="preserve">Support dedicated DCI format using which PDCCH monitoring on activated </w:t>
      </w:r>
      <w:proofErr w:type="spellStart"/>
      <w:r>
        <w:t>SCell</w:t>
      </w:r>
      <w:proofErr w:type="spellEnd"/>
      <w:r>
        <w:t>(s) can be turned on/off</w:t>
      </w:r>
    </w:p>
    <w:p w14:paraId="47D43A72" w14:textId="77777777" w:rsidR="00241034" w:rsidRPr="00241034" w:rsidRDefault="00241034" w:rsidP="00241034">
      <w:pPr>
        <w:pStyle w:val="ListParagraph"/>
        <w:numPr>
          <w:ilvl w:val="1"/>
          <w:numId w:val="5"/>
        </w:numPr>
        <w:jc w:val="both"/>
        <w:rPr>
          <w:b/>
          <w:u w:val="single"/>
        </w:rPr>
      </w:pPr>
      <w:r>
        <w:t xml:space="preserve">1 bit per </w:t>
      </w:r>
      <w:proofErr w:type="spellStart"/>
      <w:r>
        <w:t>Scell</w:t>
      </w:r>
      <w:proofErr w:type="spellEnd"/>
      <w:r>
        <w:t xml:space="preserve"> is used in the DCI</w:t>
      </w:r>
    </w:p>
    <w:p w14:paraId="43B56BD3" w14:textId="77777777" w:rsidR="00241034" w:rsidRPr="00241034" w:rsidRDefault="00241034" w:rsidP="00241034">
      <w:pPr>
        <w:pStyle w:val="ListParagraph"/>
        <w:numPr>
          <w:ilvl w:val="2"/>
          <w:numId w:val="5"/>
        </w:numPr>
        <w:jc w:val="both"/>
        <w:rPr>
          <w:b/>
          <w:u w:val="single"/>
        </w:rPr>
      </w:pPr>
      <w:r>
        <w:t xml:space="preserve">0 indicates PDCCH monitoring is stopped on the corresponding activated </w:t>
      </w:r>
      <w:proofErr w:type="spellStart"/>
      <w:r>
        <w:t>Scell</w:t>
      </w:r>
      <w:proofErr w:type="spellEnd"/>
      <w:r>
        <w:t xml:space="preserve">, </w:t>
      </w:r>
    </w:p>
    <w:p w14:paraId="51D9688C" w14:textId="33D31410" w:rsidR="00241034" w:rsidRPr="00241034" w:rsidRDefault="00241034" w:rsidP="00241034">
      <w:pPr>
        <w:pStyle w:val="ListParagraph"/>
        <w:numPr>
          <w:ilvl w:val="2"/>
          <w:numId w:val="5"/>
        </w:numPr>
        <w:jc w:val="both"/>
        <w:rPr>
          <w:b/>
          <w:u w:val="single"/>
        </w:rPr>
      </w:pPr>
      <w:r>
        <w:t xml:space="preserve">1 indicates continue/restart PDCCH monitoring on the corresponding activated </w:t>
      </w:r>
      <w:proofErr w:type="spellStart"/>
      <w:r>
        <w:t>Scell</w:t>
      </w:r>
      <w:proofErr w:type="spellEnd"/>
    </w:p>
    <w:p w14:paraId="49C2AE83" w14:textId="7C908E18" w:rsidR="00241034" w:rsidRPr="00715866" w:rsidRDefault="00241034" w:rsidP="00BC0801">
      <w:pPr>
        <w:pStyle w:val="ListParagraph"/>
        <w:numPr>
          <w:ilvl w:val="1"/>
          <w:numId w:val="5"/>
        </w:numPr>
        <w:jc w:val="both"/>
        <w:rPr>
          <w:b/>
          <w:u w:val="single"/>
        </w:rPr>
      </w:pPr>
      <w:r>
        <w:t xml:space="preserve">When UE is configured with multiple BWPs for the </w:t>
      </w:r>
      <w:proofErr w:type="spellStart"/>
      <w:r>
        <w:t>Scell</w:t>
      </w:r>
      <w:proofErr w:type="spellEnd"/>
      <w:r w:rsidR="00BC0801">
        <w:t xml:space="preserve">, </w:t>
      </w:r>
      <w:r>
        <w:t>PDCCH monitoring is stopped</w:t>
      </w:r>
      <w:r w:rsidR="00BC0801">
        <w:t>/restarted</w:t>
      </w:r>
      <w:r>
        <w:t xml:space="preserve"> on current active BWP</w:t>
      </w:r>
      <w:r w:rsidR="00BC0801">
        <w:t xml:space="preserve"> at the time when the DCI format is received.</w:t>
      </w:r>
    </w:p>
    <w:p w14:paraId="50A81C1D" w14:textId="75A2F685" w:rsidR="00715866" w:rsidRDefault="00715866" w:rsidP="00715866">
      <w:pPr>
        <w:jc w:val="both"/>
        <w:rPr>
          <w:b/>
          <w:u w:val="single"/>
        </w:rPr>
      </w:pPr>
    </w:p>
    <w:p w14:paraId="5DBD7ED2" w14:textId="77777777" w:rsidR="00693AE2" w:rsidRDefault="00693AE2" w:rsidP="00693AE2">
      <w:pPr>
        <w:pStyle w:val="Heading1"/>
      </w:pPr>
      <w:r>
        <w:t>Conclusions</w:t>
      </w:r>
    </w:p>
    <w:p w14:paraId="34FAC2ED" w14:textId="077D770C" w:rsidR="00F60113" w:rsidRDefault="00693AE2" w:rsidP="00693AE2">
      <w:pPr>
        <w:pStyle w:val="BodyText"/>
        <w:rPr>
          <w:lang w:val="en-AU"/>
        </w:rPr>
      </w:pPr>
      <w:r>
        <w:t xml:space="preserve">In this document, we discuss </w:t>
      </w:r>
      <w:r>
        <w:rPr>
          <w:lang w:val="en-AU"/>
        </w:rPr>
        <w:t>improving the</w:t>
      </w:r>
      <w:r w:rsidRPr="00E832CA">
        <w:rPr>
          <w:lang w:val="en-AU"/>
        </w:rPr>
        <w:t xml:space="preserve"> latency needed for</w:t>
      </w:r>
      <w:r>
        <w:rPr>
          <w:lang w:val="en-AU"/>
        </w:rPr>
        <w:t xml:space="preserve"> </w:t>
      </w:r>
      <w:proofErr w:type="spellStart"/>
      <w:r>
        <w:rPr>
          <w:lang w:val="en-AU"/>
        </w:rPr>
        <w:t>Scell</w:t>
      </w:r>
      <w:proofErr w:type="spellEnd"/>
      <w:r>
        <w:rPr>
          <w:lang w:val="en-AU"/>
        </w:rPr>
        <w:t xml:space="preserve"> activation and data transmission</w:t>
      </w:r>
      <w:r w:rsidR="00F60113">
        <w:rPr>
          <w:lang w:val="en-AU"/>
        </w:rPr>
        <w:t xml:space="preserve"> and </w:t>
      </w:r>
      <w:r w:rsidR="00C60195">
        <w:rPr>
          <w:lang w:val="en-AU"/>
        </w:rPr>
        <w:t>propose the following</w:t>
      </w:r>
      <w:r w:rsidR="00F60113">
        <w:rPr>
          <w:lang w:val="en-AU"/>
        </w:rPr>
        <w:t xml:space="preserve">.  </w:t>
      </w:r>
    </w:p>
    <w:p w14:paraId="3CB505FC" w14:textId="77777777" w:rsidR="00C60195" w:rsidRDefault="00C60195" w:rsidP="00C60195">
      <w:pPr>
        <w:jc w:val="both"/>
        <w:rPr>
          <w:b/>
          <w:u w:val="single"/>
        </w:rPr>
      </w:pPr>
      <w:r w:rsidRPr="00241034">
        <w:rPr>
          <w:b/>
          <w:u w:val="single"/>
        </w:rPr>
        <w:t>Proposal</w:t>
      </w:r>
    </w:p>
    <w:p w14:paraId="07B37116" w14:textId="77777777" w:rsidR="00C60195" w:rsidRDefault="00C60195" w:rsidP="00C60195">
      <w:pPr>
        <w:jc w:val="both"/>
        <w:rPr>
          <w:b/>
          <w:u w:val="single"/>
        </w:rPr>
      </w:pPr>
    </w:p>
    <w:p w14:paraId="0A0618FC" w14:textId="77777777" w:rsidR="00C60195" w:rsidRPr="00241034" w:rsidRDefault="00C60195" w:rsidP="00C60195">
      <w:pPr>
        <w:pStyle w:val="ListParagraph"/>
        <w:numPr>
          <w:ilvl w:val="0"/>
          <w:numId w:val="5"/>
        </w:numPr>
        <w:jc w:val="both"/>
        <w:rPr>
          <w:b/>
          <w:u w:val="single"/>
        </w:rPr>
      </w:pPr>
      <w:r>
        <w:t xml:space="preserve">Support dedicated DCI format using which PDCCH monitoring on activated </w:t>
      </w:r>
      <w:proofErr w:type="spellStart"/>
      <w:r>
        <w:t>SCell</w:t>
      </w:r>
      <w:proofErr w:type="spellEnd"/>
      <w:r>
        <w:t>(s) can be turned on/off</w:t>
      </w:r>
    </w:p>
    <w:p w14:paraId="26F933AC" w14:textId="77777777" w:rsidR="00C60195" w:rsidRPr="00241034" w:rsidRDefault="00C60195" w:rsidP="00C60195">
      <w:pPr>
        <w:pStyle w:val="ListParagraph"/>
        <w:numPr>
          <w:ilvl w:val="1"/>
          <w:numId w:val="5"/>
        </w:numPr>
        <w:jc w:val="both"/>
        <w:rPr>
          <w:b/>
          <w:u w:val="single"/>
        </w:rPr>
      </w:pPr>
      <w:r>
        <w:t xml:space="preserve">1 bit per </w:t>
      </w:r>
      <w:proofErr w:type="spellStart"/>
      <w:r>
        <w:t>Scell</w:t>
      </w:r>
      <w:proofErr w:type="spellEnd"/>
      <w:r>
        <w:t xml:space="preserve"> is used in the DCI</w:t>
      </w:r>
    </w:p>
    <w:p w14:paraId="414002D5" w14:textId="77777777" w:rsidR="00C60195" w:rsidRPr="00241034" w:rsidRDefault="00C60195" w:rsidP="00C60195">
      <w:pPr>
        <w:pStyle w:val="ListParagraph"/>
        <w:numPr>
          <w:ilvl w:val="2"/>
          <w:numId w:val="5"/>
        </w:numPr>
        <w:jc w:val="both"/>
        <w:rPr>
          <w:b/>
          <w:u w:val="single"/>
        </w:rPr>
      </w:pPr>
      <w:r>
        <w:t xml:space="preserve">0 indicates PDCCH monitoring is stopped on the corresponding activated </w:t>
      </w:r>
      <w:proofErr w:type="spellStart"/>
      <w:r>
        <w:t>Scell</w:t>
      </w:r>
      <w:proofErr w:type="spellEnd"/>
      <w:r>
        <w:t xml:space="preserve">, </w:t>
      </w:r>
    </w:p>
    <w:p w14:paraId="4FB98BCE" w14:textId="77777777" w:rsidR="00C60195" w:rsidRPr="00241034" w:rsidRDefault="00C60195" w:rsidP="00C60195">
      <w:pPr>
        <w:pStyle w:val="ListParagraph"/>
        <w:numPr>
          <w:ilvl w:val="2"/>
          <w:numId w:val="5"/>
        </w:numPr>
        <w:jc w:val="both"/>
        <w:rPr>
          <w:b/>
          <w:u w:val="single"/>
        </w:rPr>
      </w:pPr>
      <w:r>
        <w:t xml:space="preserve">1 indicates continue/restart PDCCH monitoring on the corresponding activated </w:t>
      </w:r>
      <w:proofErr w:type="spellStart"/>
      <w:r>
        <w:t>Scell</w:t>
      </w:r>
      <w:proofErr w:type="spellEnd"/>
    </w:p>
    <w:p w14:paraId="1C35434B" w14:textId="77777777" w:rsidR="00C60195" w:rsidRPr="00715866" w:rsidRDefault="00C60195" w:rsidP="00C60195">
      <w:pPr>
        <w:pStyle w:val="ListParagraph"/>
        <w:numPr>
          <w:ilvl w:val="1"/>
          <w:numId w:val="5"/>
        </w:numPr>
        <w:jc w:val="both"/>
        <w:rPr>
          <w:b/>
          <w:u w:val="single"/>
        </w:rPr>
      </w:pPr>
      <w:r>
        <w:t xml:space="preserve">When UE is configured with multiple BWPs for the </w:t>
      </w:r>
      <w:proofErr w:type="spellStart"/>
      <w:r>
        <w:t>Scell</w:t>
      </w:r>
      <w:proofErr w:type="spellEnd"/>
      <w:r>
        <w:t>, PDCCH monitoring is stopped/restarted on current active BWP at the time when the DCI format is received.</w:t>
      </w:r>
    </w:p>
    <w:p w14:paraId="066C1458" w14:textId="77777777" w:rsidR="00693AE2" w:rsidRDefault="00693AE2" w:rsidP="00693AE2">
      <w:pPr>
        <w:jc w:val="both"/>
      </w:pPr>
    </w:p>
    <w:p w14:paraId="0F83334F" w14:textId="77777777" w:rsidR="00693AE2" w:rsidRDefault="00693AE2" w:rsidP="00693AE2">
      <w:pPr>
        <w:pStyle w:val="Heading1"/>
      </w:pPr>
      <w:r>
        <w:t>References</w:t>
      </w:r>
    </w:p>
    <w:p w14:paraId="719CD253" w14:textId="64D820E0" w:rsidR="00693AE2" w:rsidRPr="00DA3D01" w:rsidRDefault="00235FA3" w:rsidP="00693AE2">
      <w:pPr>
        <w:pStyle w:val="BodyText"/>
      </w:pPr>
      <w:r>
        <w:t xml:space="preserve"> </w:t>
      </w:r>
      <w:r w:rsidR="00693AE2">
        <w:t>[</w:t>
      </w:r>
      <w:r>
        <w:t>1</w:t>
      </w:r>
      <w:r w:rsidR="00693AE2">
        <w:t>]</w:t>
      </w:r>
      <w:r w:rsidR="00693AE2" w:rsidRPr="00693AE2">
        <w:t xml:space="preserve"> R1-19</w:t>
      </w:r>
      <w:r>
        <w:t>0</w:t>
      </w:r>
      <w:r w:rsidR="006E7403">
        <w:t>5900</w:t>
      </w:r>
      <w:r w:rsidR="00693AE2">
        <w:t xml:space="preserve"> – “</w:t>
      </w:r>
      <w:r w:rsidR="006E7403" w:rsidRPr="006E7403">
        <w:t>Summary#2 of Efficient and low latency serving cell configuration/activation/</w:t>
      </w:r>
      <w:proofErr w:type="spellStart"/>
      <w:r w:rsidR="006E7403" w:rsidRPr="006E7403">
        <w:t>setu</w:t>
      </w:r>
      <w:proofErr w:type="spellEnd"/>
      <w:r w:rsidR="00693AE2">
        <w:t>”, Ericsson, RAN1</w:t>
      </w:r>
      <w:r>
        <w:t>#96bis</w:t>
      </w:r>
      <w:r w:rsidR="00693AE2">
        <w:t xml:space="preserve">, </w:t>
      </w:r>
      <w:r>
        <w:t>Xi’an</w:t>
      </w:r>
      <w:r w:rsidR="00693AE2">
        <w:t xml:space="preserve">, </w:t>
      </w:r>
      <w:r>
        <w:t>China</w:t>
      </w:r>
      <w:r w:rsidR="00693AE2">
        <w:t xml:space="preserve">, </w:t>
      </w:r>
      <w:r>
        <w:t>April</w:t>
      </w:r>
      <w:r w:rsidR="00693AE2">
        <w:t xml:space="preserve"> 2019. </w:t>
      </w:r>
    </w:p>
    <w:p w14:paraId="5BF2DD66" w14:textId="6A25F152" w:rsidR="006E7403" w:rsidRPr="00DA3D01" w:rsidRDefault="006E7403" w:rsidP="006E7403">
      <w:pPr>
        <w:pStyle w:val="BodyText"/>
      </w:pPr>
      <w:r>
        <w:t>[2]</w:t>
      </w:r>
      <w:r w:rsidRPr="00693AE2">
        <w:t xml:space="preserve"> R1-19</w:t>
      </w:r>
      <w:r>
        <w:t>05915 – “</w:t>
      </w:r>
      <w:r w:rsidRPr="006E7403">
        <w:t>Summary of email discussion [96b-NR-11]</w:t>
      </w:r>
      <w:r>
        <w:t xml:space="preserve">”, Ericsson, RAN1#96bis, Xi’an, China, April 2019. </w:t>
      </w:r>
    </w:p>
    <w:p w14:paraId="0F248586" w14:textId="2BF91499" w:rsidR="006E7403" w:rsidRPr="00DA3D01" w:rsidRDefault="006E7403" w:rsidP="006E7403">
      <w:pPr>
        <w:pStyle w:val="BodyText"/>
      </w:pPr>
      <w:r>
        <w:t>[3]</w:t>
      </w:r>
      <w:r w:rsidRPr="00693AE2">
        <w:t xml:space="preserve"> R1-19</w:t>
      </w:r>
      <w:r>
        <w:t>05912 – “</w:t>
      </w:r>
      <w:r w:rsidRPr="006E7403">
        <w:t xml:space="preserve">LS on maximum allowed </w:t>
      </w:r>
      <w:proofErr w:type="spellStart"/>
      <w:r w:rsidRPr="006E7403">
        <w:t>SCell</w:t>
      </w:r>
      <w:proofErr w:type="spellEnd"/>
      <w:r w:rsidRPr="006E7403">
        <w:t xml:space="preserve"> activation delay for Rel16 CA</w:t>
      </w:r>
      <w:r>
        <w:t xml:space="preserve">”, RAN1 </w:t>
      </w:r>
      <w:r>
        <w:sym w:font="Wingdings" w:char="F0E0"/>
      </w:r>
      <w:r>
        <w:t xml:space="preserve"> RAN4 LS, RAN1#96bis, Xi’an, China, April 2019. </w:t>
      </w:r>
    </w:p>
    <w:p w14:paraId="072315A3" w14:textId="63D4B806" w:rsidR="006E7403" w:rsidRDefault="006E7403" w:rsidP="006E7403">
      <w:pPr>
        <w:pStyle w:val="BodyText"/>
      </w:pPr>
      <w:r>
        <w:t>[4]</w:t>
      </w:r>
      <w:r w:rsidRPr="00693AE2">
        <w:t xml:space="preserve"> R1-19</w:t>
      </w:r>
      <w:r>
        <w:t xml:space="preserve">05144 – “Reduced latency </w:t>
      </w:r>
      <w:proofErr w:type="spellStart"/>
      <w:r>
        <w:t>Scell</w:t>
      </w:r>
      <w:proofErr w:type="spellEnd"/>
      <w:r>
        <w:t xml:space="preserve"> management for NR-NR CA”, Ericsson, RAN1#96bis, Xi’an, China, April 2019. </w:t>
      </w:r>
    </w:p>
    <w:p w14:paraId="72A4A534" w14:textId="52F81938" w:rsidR="00B44469" w:rsidRDefault="00B44469" w:rsidP="006E7403">
      <w:pPr>
        <w:pStyle w:val="BodyText"/>
      </w:pPr>
      <w:r>
        <w:t xml:space="preserve">[5] </w:t>
      </w:r>
      <w:r w:rsidRPr="002703CE">
        <w:rPr>
          <w:szCs w:val="20"/>
        </w:rPr>
        <w:t>R1-19</w:t>
      </w:r>
      <w:r>
        <w:rPr>
          <w:szCs w:val="20"/>
        </w:rPr>
        <w:t>05281 – “</w:t>
      </w:r>
      <w:r w:rsidRPr="002703CE">
        <w:rPr>
          <w:szCs w:val="20"/>
        </w:rPr>
        <w:t xml:space="preserve">Fast SCG and </w:t>
      </w:r>
      <w:proofErr w:type="spellStart"/>
      <w:r w:rsidRPr="002703CE">
        <w:rPr>
          <w:szCs w:val="20"/>
        </w:rPr>
        <w:t>Scell</w:t>
      </w:r>
      <w:proofErr w:type="spellEnd"/>
      <w:r w:rsidRPr="002703CE">
        <w:rPr>
          <w:szCs w:val="20"/>
        </w:rPr>
        <w:t xml:space="preserve"> </w:t>
      </w:r>
      <w:r w:rsidR="00263055" w:rsidRPr="002703CE">
        <w:rPr>
          <w:szCs w:val="20"/>
        </w:rPr>
        <w:t>activation</w:t>
      </w:r>
      <w:bookmarkStart w:id="4" w:name="_GoBack"/>
      <w:bookmarkEnd w:id="4"/>
      <w:r>
        <w:rPr>
          <w:szCs w:val="20"/>
        </w:rPr>
        <w:t xml:space="preserve">”, </w:t>
      </w:r>
      <w:r w:rsidRPr="002703CE">
        <w:rPr>
          <w:szCs w:val="20"/>
        </w:rPr>
        <w:t>Qualcomm Incorporated</w:t>
      </w:r>
      <w:r>
        <w:rPr>
          <w:szCs w:val="20"/>
        </w:rPr>
        <w:t xml:space="preserve">, </w:t>
      </w:r>
      <w:r>
        <w:t>RAN1#96bis, Xi’an, China, April 2019.</w:t>
      </w:r>
    </w:p>
    <w:p w14:paraId="6815914C" w14:textId="48EDCD11" w:rsidR="00B44469" w:rsidRPr="00DA3D01" w:rsidRDefault="00B44469" w:rsidP="006E7403">
      <w:pPr>
        <w:pStyle w:val="BodyText"/>
      </w:pPr>
      <w:r>
        <w:t xml:space="preserve">[6] </w:t>
      </w:r>
      <w:r w:rsidR="00AE2D80" w:rsidRPr="002703CE">
        <w:rPr>
          <w:szCs w:val="20"/>
        </w:rPr>
        <w:t>R1-190</w:t>
      </w:r>
      <w:r w:rsidR="00AE2D80">
        <w:rPr>
          <w:szCs w:val="20"/>
        </w:rPr>
        <w:t>4491 – “</w:t>
      </w:r>
      <w:r w:rsidR="00AE2D80" w:rsidRPr="002703CE">
        <w:rPr>
          <w:szCs w:val="20"/>
        </w:rPr>
        <w:t xml:space="preserve">Efficient </w:t>
      </w:r>
      <w:proofErr w:type="spellStart"/>
      <w:r w:rsidR="00AE2D80" w:rsidRPr="002703CE">
        <w:rPr>
          <w:szCs w:val="20"/>
        </w:rPr>
        <w:t>SCell</w:t>
      </w:r>
      <w:proofErr w:type="spellEnd"/>
      <w:r w:rsidR="00AE2D80" w:rsidRPr="002703CE">
        <w:rPr>
          <w:szCs w:val="20"/>
        </w:rPr>
        <w:t xml:space="preserve"> Access Switching for NR</w:t>
      </w:r>
      <w:r w:rsidR="00AE2D80">
        <w:rPr>
          <w:szCs w:val="20"/>
        </w:rPr>
        <w:t xml:space="preserve">”, </w:t>
      </w:r>
      <w:r w:rsidR="00AE2D80" w:rsidRPr="002703CE">
        <w:rPr>
          <w:szCs w:val="20"/>
        </w:rPr>
        <w:t>MediaTek Inc.</w:t>
      </w:r>
      <w:r w:rsidR="00AE2D80">
        <w:rPr>
          <w:szCs w:val="20"/>
        </w:rPr>
        <w:t xml:space="preserve">, </w:t>
      </w:r>
      <w:r w:rsidR="00AE2D80">
        <w:t>RAN1#96bis, Xi’an, China, April 2019.</w:t>
      </w:r>
    </w:p>
    <w:p w14:paraId="3190A116" w14:textId="77777777" w:rsidR="00693AE2" w:rsidRDefault="00693AE2" w:rsidP="00693AE2">
      <w:pPr>
        <w:pStyle w:val="BodyText"/>
      </w:pPr>
    </w:p>
    <w:p w14:paraId="14809A98" w14:textId="77777777" w:rsidR="00693AE2" w:rsidRDefault="00693AE2" w:rsidP="00693AE2">
      <w:pPr>
        <w:rPr>
          <w:rFonts w:ascii="Helvetica" w:eastAsia="MS Mincho" w:hAnsi="Helvetica" w:cs="Arial"/>
          <w:b/>
          <w:bCs/>
          <w:kern w:val="32"/>
          <w:sz w:val="28"/>
          <w:szCs w:val="32"/>
        </w:rPr>
      </w:pPr>
      <w:r>
        <w:br w:type="page"/>
      </w:r>
    </w:p>
    <w:p w14:paraId="24B76547" w14:textId="77777777" w:rsidR="00693AE2" w:rsidRDefault="00693AE2" w:rsidP="00693AE2">
      <w:pPr>
        <w:pStyle w:val="Heading1"/>
      </w:pPr>
      <w:r>
        <w:lastRenderedPageBreak/>
        <w:t>Annex A – Rel15 spec excerpts</w:t>
      </w:r>
    </w:p>
    <w:p w14:paraId="2AB52724" w14:textId="77777777" w:rsidR="00693AE2" w:rsidRDefault="00693AE2" w:rsidP="00693AE2">
      <w:pPr>
        <w:pStyle w:val="BodyText"/>
      </w:pPr>
    </w:p>
    <w:p w14:paraId="5ED05C0B" w14:textId="33C4E1DF" w:rsidR="00EA07AD" w:rsidRDefault="00EA07AD" w:rsidP="00EA07AD">
      <w:pPr>
        <w:pStyle w:val="Heading2"/>
        <w:rPr>
          <w:u w:val="single"/>
        </w:rPr>
      </w:pPr>
      <w:r>
        <w:rPr>
          <w:u w:val="single"/>
        </w:rPr>
        <w:t>TS 38.214</w:t>
      </w:r>
    </w:p>
    <w:p w14:paraId="2319E981" w14:textId="341FBAE7" w:rsidR="00EA07AD" w:rsidRDefault="00EA07AD" w:rsidP="00EA07AD">
      <w:pPr>
        <w:pStyle w:val="BodyText"/>
      </w:pPr>
    </w:p>
    <w:p w14:paraId="4051FCDF" w14:textId="59E0567D" w:rsidR="00EA07AD" w:rsidRDefault="00EA07AD" w:rsidP="00EA07AD">
      <w:pPr>
        <w:pStyle w:val="BodyText"/>
      </w:pPr>
      <w:r>
        <w:rPr>
          <w:noProof/>
        </w:rPr>
        <w:drawing>
          <wp:inline distT="0" distB="0" distL="0" distR="0" wp14:anchorId="64E3A761" wp14:editId="2E63288E">
            <wp:extent cx="5760720" cy="2590165"/>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720" cy="2590165"/>
                    </a:xfrm>
                    <a:prstGeom prst="rect">
                      <a:avLst/>
                    </a:prstGeom>
                  </pic:spPr>
                </pic:pic>
              </a:graphicData>
            </a:graphic>
          </wp:inline>
        </w:drawing>
      </w:r>
    </w:p>
    <w:p w14:paraId="049EDE44" w14:textId="7EBFA420" w:rsidR="00010C57" w:rsidRDefault="00010C57" w:rsidP="00010C57">
      <w:pPr>
        <w:pStyle w:val="Heading2"/>
        <w:rPr>
          <w:u w:val="single"/>
        </w:rPr>
      </w:pPr>
      <w:r>
        <w:rPr>
          <w:u w:val="single"/>
        </w:rPr>
        <w:t>TS 38.321</w:t>
      </w:r>
    </w:p>
    <w:p w14:paraId="0E62F006" w14:textId="77777777" w:rsidR="00010C57" w:rsidRPr="00EA07AD" w:rsidRDefault="00010C57" w:rsidP="00EA07AD">
      <w:pPr>
        <w:pStyle w:val="BodyText"/>
      </w:pPr>
    </w:p>
    <w:p w14:paraId="38180CF1" w14:textId="7026269C" w:rsidR="00E116F3" w:rsidRDefault="00010C57">
      <w:r>
        <w:rPr>
          <w:noProof/>
        </w:rPr>
        <w:drawing>
          <wp:inline distT="0" distB="0" distL="0" distR="0" wp14:anchorId="5D044415" wp14:editId="62A86E74">
            <wp:extent cx="5760720" cy="304355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720" cy="3043555"/>
                    </a:xfrm>
                    <a:prstGeom prst="rect">
                      <a:avLst/>
                    </a:prstGeom>
                  </pic:spPr>
                </pic:pic>
              </a:graphicData>
            </a:graphic>
          </wp:inline>
        </w:drawing>
      </w:r>
    </w:p>
    <w:p w14:paraId="02A42A15" w14:textId="46BF3F5E" w:rsidR="00010C57" w:rsidRDefault="00010C57">
      <w:r>
        <w:rPr>
          <w:noProof/>
        </w:rPr>
        <w:drawing>
          <wp:inline distT="0" distB="0" distL="0" distR="0" wp14:anchorId="05E95FC2" wp14:editId="7E9BECFE">
            <wp:extent cx="5760720" cy="161163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720" cy="1611630"/>
                    </a:xfrm>
                    <a:prstGeom prst="rect">
                      <a:avLst/>
                    </a:prstGeom>
                  </pic:spPr>
                </pic:pic>
              </a:graphicData>
            </a:graphic>
          </wp:inline>
        </w:drawing>
      </w:r>
    </w:p>
    <w:p w14:paraId="31EECF18" w14:textId="6A977E2A" w:rsidR="00010C57" w:rsidRDefault="00010C57"/>
    <w:p w14:paraId="50D00ACA" w14:textId="0924C4F8" w:rsidR="00010C57" w:rsidRDefault="00010C57">
      <w:r>
        <w:rPr>
          <w:noProof/>
        </w:rPr>
        <w:drawing>
          <wp:inline distT="0" distB="0" distL="0" distR="0" wp14:anchorId="20645C0F" wp14:editId="329494FF">
            <wp:extent cx="5760720" cy="1598295"/>
            <wp:effectExtent l="0" t="0" r="0"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720" cy="1598295"/>
                    </a:xfrm>
                    <a:prstGeom prst="rect">
                      <a:avLst/>
                    </a:prstGeom>
                  </pic:spPr>
                </pic:pic>
              </a:graphicData>
            </a:graphic>
          </wp:inline>
        </w:drawing>
      </w:r>
    </w:p>
    <w:p w14:paraId="62A518C3" w14:textId="3BA4C8F2" w:rsidR="00010C57" w:rsidRDefault="00010C57">
      <w:r>
        <w:rPr>
          <w:noProof/>
        </w:rPr>
        <w:drawing>
          <wp:inline distT="0" distB="0" distL="0" distR="0" wp14:anchorId="3CE284DE" wp14:editId="53A3529A">
            <wp:extent cx="5760720" cy="38144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60720" cy="3814445"/>
                    </a:xfrm>
                    <a:prstGeom prst="rect">
                      <a:avLst/>
                    </a:prstGeom>
                  </pic:spPr>
                </pic:pic>
              </a:graphicData>
            </a:graphic>
          </wp:inline>
        </w:drawing>
      </w:r>
    </w:p>
    <w:p w14:paraId="3BBDAE14" w14:textId="384C10A8" w:rsidR="00010C57" w:rsidRDefault="00010C57">
      <w:r>
        <w:rPr>
          <w:noProof/>
        </w:rPr>
        <w:drawing>
          <wp:inline distT="0" distB="0" distL="0" distR="0" wp14:anchorId="5927DD50" wp14:editId="5EB6CDA3">
            <wp:extent cx="5760720" cy="32772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60720" cy="3277235"/>
                    </a:xfrm>
                    <a:prstGeom prst="rect">
                      <a:avLst/>
                    </a:prstGeom>
                  </pic:spPr>
                </pic:pic>
              </a:graphicData>
            </a:graphic>
          </wp:inline>
        </w:drawing>
      </w:r>
    </w:p>
    <w:sectPr w:rsidR="00010C57">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09C97" w14:textId="77777777" w:rsidR="0080779E" w:rsidRDefault="0080779E">
      <w:r>
        <w:separator/>
      </w:r>
    </w:p>
  </w:endnote>
  <w:endnote w:type="continuationSeparator" w:id="0">
    <w:p w14:paraId="4A81CCDA" w14:textId="77777777" w:rsidR="0080779E" w:rsidRDefault="00807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7B8D8" w14:textId="77777777" w:rsidR="0080779E" w:rsidRDefault="0080779E">
      <w:r>
        <w:separator/>
      </w:r>
    </w:p>
  </w:footnote>
  <w:footnote w:type="continuationSeparator" w:id="0">
    <w:p w14:paraId="355E923D" w14:textId="77777777" w:rsidR="0080779E" w:rsidRDefault="00807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25559" w14:textId="77777777" w:rsidR="00E832CA" w:rsidRDefault="0080779E" w:rsidP="00C44D46">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8221BA"/>
    <w:multiLevelType w:val="hybridMultilevel"/>
    <w:tmpl w:val="0F4E5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AAD17A0"/>
    <w:multiLevelType w:val="hybridMultilevel"/>
    <w:tmpl w:val="43E04D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BA6115"/>
    <w:multiLevelType w:val="hybridMultilevel"/>
    <w:tmpl w:val="54967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B0D1EB9"/>
    <w:multiLevelType w:val="hybridMultilevel"/>
    <w:tmpl w:val="C5C80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AE2"/>
    <w:rsid w:val="00010C57"/>
    <w:rsid w:val="000327E0"/>
    <w:rsid w:val="00094B85"/>
    <w:rsid w:val="000D018B"/>
    <w:rsid w:val="000D5B50"/>
    <w:rsid w:val="000E09E0"/>
    <w:rsid w:val="000F3F71"/>
    <w:rsid w:val="001325EC"/>
    <w:rsid w:val="00154C7A"/>
    <w:rsid w:val="0018342A"/>
    <w:rsid w:val="001B0E82"/>
    <w:rsid w:val="001B4063"/>
    <w:rsid w:val="001C1C66"/>
    <w:rsid w:val="001F4FF4"/>
    <w:rsid w:val="001F5C70"/>
    <w:rsid w:val="00235FA3"/>
    <w:rsid w:val="00241034"/>
    <w:rsid w:val="00263055"/>
    <w:rsid w:val="002C46BE"/>
    <w:rsid w:val="002F3F00"/>
    <w:rsid w:val="00305716"/>
    <w:rsid w:val="00334517"/>
    <w:rsid w:val="00342945"/>
    <w:rsid w:val="00342C7C"/>
    <w:rsid w:val="00362E82"/>
    <w:rsid w:val="0037786F"/>
    <w:rsid w:val="0039533E"/>
    <w:rsid w:val="003A0B2C"/>
    <w:rsid w:val="00416929"/>
    <w:rsid w:val="004324D4"/>
    <w:rsid w:val="00434CA7"/>
    <w:rsid w:val="00456D3D"/>
    <w:rsid w:val="004962F7"/>
    <w:rsid w:val="004D4E2A"/>
    <w:rsid w:val="00504F4A"/>
    <w:rsid w:val="00546493"/>
    <w:rsid w:val="00572C08"/>
    <w:rsid w:val="0057434A"/>
    <w:rsid w:val="00582D43"/>
    <w:rsid w:val="005F10C4"/>
    <w:rsid w:val="00615CD9"/>
    <w:rsid w:val="006230FD"/>
    <w:rsid w:val="00644F75"/>
    <w:rsid w:val="00651D01"/>
    <w:rsid w:val="00686546"/>
    <w:rsid w:val="00693AE2"/>
    <w:rsid w:val="006A09B9"/>
    <w:rsid w:val="006C4556"/>
    <w:rsid w:val="006E7403"/>
    <w:rsid w:val="00715866"/>
    <w:rsid w:val="00734D2A"/>
    <w:rsid w:val="0077559C"/>
    <w:rsid w:val="00796716"/>
    <w:rsid w:val="007D2A8E"/>
    <w:rsid w:val="0080779E"/>
    <w:rsid w:val="008153BA"/>
    <w:rsid w:val="008F3BE6"/>
    <w:rsid w:val="008F432B"/>
    <w:rsid w:val="00975562"/>
    <w:rsid w:val="0099522D"/>
    <w:rsid w:val="009C12FB"/>
    <w:rsid w:val="00A07CB3"/>
    <w:rsid w:val="00A2267B"/>
    <w:rsid w:val="00A260F7"/>
    <w:rsid w:val="00A269A7"/>
    <w:rsid w:val="00A41977"/>
    <w:rsid w:val="00A615E7"/>
    <w:rsid w:val="00AE2D80"/>
    <w:rsid w:val="00AE3798"/>
    <w:rsid w:val="00B1181E"/>
    <w:rsid w:val="00B23886"/>
    <w:rsid w:val="00B263A1"/>
    <w:rsid w:val="00B3136E"/>
    <w:rsid w:val="00B44469"/>
    <w:rsid w:val="00B80642"/>
    <w:rsid w:val="00B85EBD"/>
    <w:rsid w:val="00BB3536"/>
    <w:rsid w:val="00BC0801"/>
    <w:rsid w:val="00BD1822"/>
    <w:rsid w:val="00BE6645"/>
    <w:rsid w:val="00C25D75"/>
    <w:rsid w:val="00C3552D"/>
    <w:rsid w:val="00C45372"/>
    <w:rsid w:val="00C60195"/>
    <w:rsid w:val="00CF5D05"/>
    <w:rsid w:val="00D0689D"/>
    <w:rsid w:val="00D25F3A"/>
    <w:rsid w:val="00D30957"/>
    <w:rsid w:val="00D53325"/>
    <w:rsid w:val="00D75ADD"/>
    <w:rsid w:val="00D84C2C"/>
    <w:rsid w:val="00DA50F8"/>
    <w:rsid w:val="00DB0421"/>
    <w:rsid w:val="00DE2110"/>
    <w:rsid w:val="00E03202"/>
    <w:rsid w:val="00E264B0"/>
    <w:rsid w:val="00E46A4C"/>
    <w:rsid w:val="00E53241"/>
    <w:rsid w:val="00E574AD"/>
    <w:rsid w:val="00E83087"/>
    <w:rsid w:val="00EA07AD"/>
    <w:rsid w:val="00EC5FC9"/>
    <w:rsid w:val="00F33B46"/>
    <w:rsid w:val="00F60113"/>
    <w:rsid w:val="00FA378E"/>
    <w:rsid w:val="00FA3DAA"/>
    <w:rsid w:val="00FB63AC"/>
    <w:rsid w:val="00FB7117"/>
    <w:rsid w:val="00FC335C"/>
    <w:rsid w:val="00FC39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41758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3AE2"/>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93AE2"/>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693AE2"/>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693AE2"/>
    <w:pPr>
      <w:keepNext/>
      <w:numPr>
        <w:ilvl w:val="2"/>
        <w:numId w:val="1"/>
      </w:numPr>
      <w:spacing w:before="240" w:after="60"/>
      <w:ind w:left="0" w:firstLine="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693AE2"/>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93AE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693AE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693AE2"/>
    <w:rPr>
      <w:rFonts w:ascii="Arial" w:eastAsia="MS Mincho" w:hAnsi="Arial" w:cs="Arial"/>
      <w:b/>
      <w:bCs/>
      <w:i/>
      <w:sz w:val="20"/>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93AE2"/>
    <w:rPr>
      <w:rFonts w:ascii="Times New Roman" w:eastAsia="MS Mincho" w:hAnsi="Times New Roman" w:cs="Times New Roman"/>
      <w:b/>
      <w:bCs/>
      <w:sz w:val="28"/>
      <w:szCs w:val="28"/>
    </w:rPr>
  </w:style>
  <w:style w:type="paragraph" w:styleId="BodyText">
    <w:name w:val="Body Text"/>
    <w:aliases w:val="bt"/>
    <w:basedOn w:val="Normal"/>
    <w:link w:val="BodyTextChar"/>
    <w:rsid w:val="00693AE2"/>
    <w:pPr>
      <w:spacing w:after="120"/>
      <w:jc w:val="both"/>
    </w:pPr>
    <w:rPr>
      <w:rFonts w:eastAsia="MS Mincho"/>
    </w:rPr>
  </w:style>
  <w:style w:type="character" w:customStyle="1" w:styleId="BodyTextChar">
    <w:name w:val="Body Text Char"/>
    <w:aliases w:val="bt Char"/>
    <w:basedOn w:val="DefaultParagraphFont"/>
    <w:link w:val="BodyText"/>
    <w:rsid w:val="00693AE2"/>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93AE2"/>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93AE2"/>
    <w:rPr>
      <w:rFonts w:ascii="Arial" w:eastAsia="MS Mincho" w:hAnsi="Arial" w:cs="Times New Roman"/>
      <w:b/>
      <w:sz w:val="20"/>
      <w:szCs w:val="24"/>
    </w:rPr>
  </w:style>
  <w:style w:type="paragraph" w:styleId="ListParagraph">
    <w:name w:val="List Paragraph"/>
    <w:aliases w:val="- Bullets,목록 단락,リスト段落"/>
    <w:basedOn w:val="Normal"/>
    <w:link w:val="ListParagraphChar"/>
    <w:uiPriority w:val="34"/>
    <w:qFormat/>
    <w:rsid w:val="00693AE2"/>
    <w:pPr>
      <w:ind w:left="720"/>
      <w:contextualSpacing/>
    </w:pPr>
  </w:style>
  <w:style w:type="character" w:customStyle="1" w:styleId="ListParagraphChar">
    <w:name w:val="List Paragraph Char"/>
    <w:aliases w:val="- Bullets Char,목록 단락 Char,リスト段落 Char"/>
    <w:link w:val="ListParagraph"/>
    <w:uiPriority w:val="34"/>
    <w:qFormat/>
    <w:locked/>
    <w:rsid w:val="00693AE2"/>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BB3536"/>
    <w:pPr>
      <w:tabs>
        <w:tab w:val="center" w:pos="4680"/>
        <w:tab w:val="right" w:pos="9360"/>
      </w:tabs>
    </w:pPr>
  </w:style>
  <w:style w:type="character" w:customStyle="1" w:styleId="FooterChar">
    <w:name w:val="Footer Char"/>
    <w:basedOn w:val="DefaultParagraphFont"/>
    <w:link w:val="Footer"/>
    <w:uiPriority w:val="99"/>
    <w:rsid w:val="00BB3536"/>
    <w:rPr>
      <w:rFonts w:ascii="Times New Roman" w:eastAsia="Times New Roman" w:hAnsi="Times New Roman" w:cs="Times New Roman"/>
      <w:sz w:val="20"/>
      <w:szCs w:val="24"/>
    </w:rPr>
  </w:style>
  <w:style w:type="paragraph" w:styleId="BalloonText">
    <w:name w:val="Balloon Text"/>
    <w:basedOn w:val="Normal"/>
    <w:link w:val="BalloonTextChar"/>
    <w:uiPriority w:val="99"/>
    <w:semiHidden/>
    <w:unhideWhenUsed/>
    <w:rsid w:val="001C1C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1C66"/>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4D4E2A"/>
    <w:rPr>
      <w:sz w:val="16"/>
      <w:szCs w:val="16"/>
    </w:rPr>
  </w:style>
  <w:style w:type="paragraph" w:styleId="CommentText">
    <w:name w:val="annotation text"/>
    <w:basedOn w:val="Normal"/>
    <w:link w:val="CommentTextChar"/>
    <w:uiPriority w:val="99"/>
    <w:semiHidden/>
    <w:unhideWhenUsed/>
    <w:rsid w:val="004D4E2A"/>
    <w:rPr>
      <w:szCs w:val="20"/>
    </w:rPr>
  </w:style>
  <w:style w:type="character" w:customStyle="1" w:styleId="CommentTextChar">
    <w:name w:val="Comment Text Char"/>
    <w:basedOn w:val="DefaultParagraphFont"/>
    <w:link w:val="CommentText"/>
    <w:uiPriority w:val="99"/>
    <w:semiHidden/>
    <w:rsid w:val="004D4E2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D4E2A"/>
    <w:rPr>
      <w:b/>
      <w:bCs/>
    </w:rPr>
  </w:style>
  <w:style w:type="character" w:customStyle="1" w:styleId="CommentSubjectChar">
    <w:name w:val="Comment Subject Char"/>
    <w:basedOn w:val="CommentTextChar"/>
    <w:link w:val="CommentSubject"/>
    <w:uiPriority w:val="99"/>
    <w:semiHidden/>
    <w:rsid w:val="004D4E2A"/>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1A29C-4151-4E61-B438-B0631DE6F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1231</Words>
  <Characters>7023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2019-05-04T04:57:00Z</dcterms:created>
  <dcterms:modified xsi:type="dcterms:W3CDTF">2019-05-04T05:00:00Z</dcterms:modified>
</cp:coreProperties>
</file>