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B6FAF" w14:textId="63C51C4C" w:rsidR="0056520D" w:rsidRPr="0056520D" w:rsidRDefault="0056520D" w:rsidP="0056520D">
      <w:pPr>
        <w:pStyle w:val="Header"/>
        <w:rPr>
          <w:lang w:val="de-DE"/>
        </w:rPr>
      </w:pPr>
      <w:r w:rsidRPr="0056520D">
        <w:rPr>
          <w:lang w:val="de-DE"/>
        </w:rPr>
        <w:t>3GPP TSG-RAN WG1</w:t>
      </w:r>
      <w:r w:rsidR="00C34FD5">
        <w:rPr>
          <w:lang w:val="de-DE"/>
        </w:rPr>
        <w:t xml:space="preserve"> #9</w:t>
      </w:r>
      <w:r w:rsidR="00940A90">
        <w:rPr>
          <w:lang w:val="de-DE"/>
        </w:rPr>
        <w:t>7</w:t>
      </w:r>
      <w:r w:rsidRPr="0056520D">
        <w:rPr>
          <w:lang w:val="de-DE"/>
        </w:rPr>
        <w:tab/>
      </w:r>
      <w:r>
        <w:rPr>
          <w:lang w:val="de-DE"/>
        </w:rPr>
        <w:tab/>
      </w:r>
      <w:r w:rsidR="009702CD">
        <w:rPr>
          <w:lang w:val="de-DE"/>
        </w:rPr>
        <w:t>R1-</w:t>
      </w:r>
      <w:r w:rsidR="00567BDB">
        <w:rPr>
          <w:lang w:val="de-DE"/>
        </w:rPr>
        <w:t>19</w:t>
      </w:r>
      <w:r w:rsidR="004923F5">
        <w:rPr>
          <w:lang w:val="de-DE"/>
        </w:rPr>
        <w:t>0</w:t>
      </w:r>
      <w:r w:rsidR="00940A90">
        <w:rPr>
          <w:lang w:val="de-DE"/>
        </w:rPr>
        <w:t>7330</w:t>
      </w:r>
    </w:p>
    <w:p w14:paraId="36F87ED1" w14:textId="3FDB2EC1" w:rsidR="0056520D" w:rsidRDefault="00940A90" w:rsidP="0056520D">
      <w:pPr>
        <w:pStyle w:val="Header"/>
        <w:rPr>
          <w:lang w:val="de-DE"/>
        </w:rPr>
      </w:pPr>
      <w:r>
        <w:rPr>
          <w:lang w:val="de-DE"/>
        </w:rPr>
        <w:t>Reno</w:t>
      </w:r>
      <w:r w:rsidR="00C34FD5" w:rsidRPr="00AF4854">
        <w:rPr>
          <w:lang w:val="de-DE"/>
        </w:rPr>
        <w:t xml:space="preserve">, </w:t>
      </w:r>
      <w:r>
        <w:rPr>
          <w:lang w:val="de-DE"/>
        </w:rPr>
        <w:t>USA</w:t>
      </w:r>
      <w:r w:rsidR="00C34FD5" w:rsidRPr="00AF4854">
        <w:rPr>
          <w:lang w:val="de-DE"/>
        </w:rPr>
        <w:t xml:space="preserve">, </w:t>
      </w:r>
      <w:r>
        <w:rPr>
          <w:lang w:val="de-DE"/>
        </w:rPr>
        <w:t>May</w:t>
      </w:r>
      <w:r w:rsidR="00F05458">
        <w:rPr>
          <w:lang w:val="de-DE"/>
        </w:rPr>
        <w:t xml:space="preserve"> </w:t>
      </w:r>
      <w:r>
        <w:rPr>
          <w:lang w:val="de-DE"/>
        </w:rPr>
        <w:t>13</w:t>
      </w:r>
      <w:r w:rsidR="00F05458">
        <w:rPr>
          <w:lang w:val="de-DE"/>
        </w:rPr>
        <w:t>-1</w:t>
      </w:r>
      <w:r>
        <w:rPr>
          <w:lang w:val="de-DE"/>
        </w:rPr>
        <w:t>7</w:t>
      </w:r>
      <w:r w:rsidR="00C34FD5" w:rsidRPr="00AF4854">
        <w:rPr>
          <w:lang w:val="de-DE"/>
        </w:rPr>
        <w:t>, 2019</w:t>
      </w:r>
    </w:p>
    <w:p w14:paraId="21A7D379" w14:textId="77777777" w:rsidR="00C34FD5" w:rsidRPr="000833FA" w:rsidRDefault="00C34FD5" w:rsidP="0056520D">
      <w:pPr>
        <w:pStyle w:val="Header"/>
      </w:pPr>
    </w:p>
    <w:p w14:paraId="7625F941"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9D830F2" w14:textId="6C6F26E6" w:rsidR="00FE5799" w:rsidRPr="00E220C0" w:rsidRDefault="00FE5799" w:rsidP="00FE5799">
      <w:pPr>
        <w:pStyle w:val="Header"/>
        <w:tabs>
          <w:tab w:val="clear" w:pos="4536"/>
          <w:tab w:val="left" w:pos="1800"/>
        </w:tabs>
      </w:pPr>
      <w:r w:rsidRPr="0003368D">
        <w:t>Title:</w:t>
      </w:r>
      <w:bookmarkStart w:id="0" w:name="Title"/>
      <w:bookmarkEnd w:id="0"/>
      <w:r w:rsidRPr="0003368D">
        <w:tab/>
      </w:r>
      <w:r w:rsidR="007038E6">
        <w:t>Power Control for NR-NR DC</w:t>
      </w:r>
    </w:p>
    <w:p w14:paraId="65DA70FB" w14:textId="7922CFD1" w:rsidR="00FE5799" w:rsidRPr="00E220C0" w:rsidRDefault="00FE5799" w:rsidP="00FE5799">
      <w:pPr>
        <w:pStyle w:val="Header"/>
        <w:tabs>
          <w:tab w:val="left" w:pos="1800"/>
        </w:tabs>
      </w:pPr>
      <w:r w:rsidRPr="00E220C0">
        <w:t>Agenda Item:</w:t>
      </w:r>
      <w:bookmarkStart w:id="1" w:name="Source"/>
      <w:bookmarkEnd w:id="1"/>
      <w:r w:rsidRPr="00E220C0">
        <w:tab/>
      </w:r>
      <w:r w:rsidR="00927B9D">
        <w:t>7</w:t>
      </w:r>
      <w:r w:rsidR="00113113">
        <w:t>.</w:t>
      </w:r>
      <w:r w:rsidR="00E832CA">
        <w:t>2</w:t>
      </w:r>
      <w:r w:rsidR="00E329D8">
        <w:t>.</w:t>
      </w:r>
      <w:r w:rsidR="00E832CA">
        <w:t>13.</w:t>
      </w:r>
      <w:r w:rsidR="007038E6">
        <w:t>1</w:t>
      </w:r>
    </w:p>
    <w:p w14:paraId="082D2873" w14:textId="77777777" w:rsidR="00FE5799" w:rsidRPr="0003368D" w:rsidRDefault="00FE5799" w:rsidP="00FE5799">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47758065" w14:textId="77777777" w:rsidR="00FE5799" w:rsidRPr="002100D2" w:rsidRDefault="00FE5799" w:rsidP="00FE5799">
      <w:pPr>
        <w:pBdr>
          <w:bottom w:val="single" w:sz="4" w:space="1" w:color="auto"/>
        </w:pBdr>
        <w:tabs>
          <w:tab w:val="left" w:pos="2552"/>
        </w:tabs>
      </w:pPr>
    </w:p>
    <w:p w14:paraId="01CB7A83" w14:textId="77777777" w:rsidR="0056282E" w:rsidRDefault="0056282E" w:rsidP="00FE5799">
      <w:pPr>
        <w:pStyle w:val="Heading1"/>
        <w:spacing w:before="180"/>
        <w:ind w:left="562" w:hanging="562"/>
      </w:pPr>
      <w:r>
        <w:t>Introduction</w:t>
      </w:r>
    </w:p>
    <w:p w14:paraId="65168B2C" w14:textId="569D835F" w:rsidR="007038E6" w:rsidRDefault="007038E6" w:rsidP="007038E6">
      <w:pPr>
        <w:pStyle w:val="BodyText"/>
        <w:rPr>
          <w:lang w:val="en-AU"/>
        </w:rPr>
      </w:pPr>
      <w:bookmarkStart w:id="3" w:name="_Ref178064866"/>
      <w:r>
        <w:rPr>
          <w:lang w:val="en-AU"/>
        </w:rPr>
        <w:t xml:space="preserve">In this document we discuss </w:t>
      </w:r>
      <w:r w:rsidR="00C6265F">
        <w:rPr>
          <w:lang w:val="en-AU"/>
        </w:rPr>
        <w:t xml:space="preserve">the </w:t>
      </w:r>
      <w:r>
        <w:rPr>
          <w:lang w:val="en-AU"/>
        </w:rPr>
        <w:t xml:space="preserve">framework </w:t>
      </w:r>
      <w:r w:rsidR="00807EBF">
        <w:rPr>
          <w:lang w:val="en-AU"/>
        </w:rPr>
        <w:t xml:space="preserve">for </w:t>
      </w:r>
      <w:r>
        <w:rPr>
          <w:lang w:val="en-AU"/>
        </w:rPr>
        <w:t>NR-NR DC power control.</w:t>
      </w:r>
    </w:p>
    <w:p w14:paraId="73C5A482" w14:textId="3F3AEACB" w:rsidR="00940A90" w:rsidRDefault="00940A90" w:rsidP="007038E6">
      <w:pPr>
        <w:pStyle w:val="BodyText"/>
        <w:rPr>
          <w:lang w:val="en-AU"/>
        </w:rPr>
      </w:pPr>
      <w:r>
        <w:rPr>
          <w:lang w:val="en-AU"/>
        </w:rPr>
        <w:t xml:space="preserve">This document is resubmission of </w:t>
      </w:r>
      <w:r w:rsidR="002B20B7">
        <w:rPr>
          <w:lang w:val="en-AU"/>
        </w:rPr>
        <w:t>R1-1905141.</w:t>
      </w:r>
    </w:p>
    <w:bookmarkEnd w:id="3"/>
    <w:p w14:paraId="037C8BDD" w14:textId="77777777" w:rsidR="000A74B8" w:rsidRDefault="00113113" w:rsidP="000A74B8">
      <w:pPr>
        <w:pStyle w:val="Heading1"/>
      </w:pPr>
      <w:r>
        <w:t>Discussion</w:t>
      </w:r>
    </w:p>
    <w:p w14:paraId="0E5729CA" w14:textId="23219CA9" w:rsidR="00FB63C3" w:rsidRDefault="00FB63C3" w:rsidP="00FB63C3">
      <w:pPr>
        <w:jc w:val="both"/>
      </w:pPr>
    </w:p>
    <w:p w14:paraId="560787D7" w14:textId="6217D241" w:rsidR="00E84255" w:rsidRDefault="00E84255" w:rsidP="00E84255">
      <w:pPr>
        <w:pStyle w:val="BodyText"/>
      </w:pPr>
      <w:r>
        <w:t xml:space="preserve">In Rel15, for EN-DC, dynamic power sharing was defined as a UE capability where a capable UE can dynamically adjust its NR transmission power based on LTE transmission activity. A UE not capable of this behavior is considered to support what is generally referred to as ‘semi-static’ power sharing. </w:t>
      </w:r>
    </w:p>
    <w:p w14:paraId="72932268" w14:textId="76A68685" w:rsidR="00E84255" w:rsidRDefault="00E84255" w:rsidP="00E84255">
      <w:pPr>
        <w:pStyle w:val="BodyText"/>
      </w:pPr>
      <w:r>
        <w:t xml:space="preserve">For Rel16 NR-DC, dynamic power sharing can be similarly considered as the ability of a UE to dynamically adjust its transmission activity in one CG based on transmission activity in </w:t>
      </w:r>
      <w:r w:rsidR="00A51B7E">
        <w:t>another</w:t>
      </w:r>
      <w:r>
        <w:t xml:space="preserve"> CG. Similarly, a UE lacking this ability can be understood to support ‘semi-static’ power sharing. </w:t>
      </w:r>
    </w:p>
    <w:p w14:paraId="66E41E18" w14:textId="7D581028" w:rsidR="00E84255" w:rsidRPr="00E84255" w:rsidRDefault="00E84255" w:rsidP="00E84255">
      <w:pPr>
        <w:pStyle w:val="BodyText"/>
        <w:numPr>
          <w:ilvl w:val="0"/>
          <w:numId w:val="32"/>
        </w:numPr>
        <w:rPr>
          <w:b/>
        </w:rPr>
      </w:pPr>
      <w:r>
        <w:rPr>
          <w:b/>
        </w:rPr>
        <w:t xml:space="preserve">Dynamic power sharing:  </w:t>
      </w:r>
      <w:r w:rsidR="00A51B7E">
        <w:t>P</w:t>
      </w:r>
      <w:r w:rsidR="00A51B7E" w:rsidRPr="00A51B7E">
        <w:t xml:space="preserve">ower allocation </w:t>
      </w:r>
      <w:r w:rsidR="00A51B7E">
        <w:t>approaches that can be used for a UE that has the capa</w:t>
      </w:r>
      <w:r>
        <w:t xml:space="preserve">bility to dynamically adjust its transmission activity in one CG based on transmission activity in </w:t>
      </w:r>
      <w:r w:rsidR="00A51B7E">
        <w:t>another</w:t>
      </w:r>
      <w:r>
        <w:t xml:space="preserve"> CG</w:t>
      </w:r>
    </w:p>
    <w:p w14:paraId="645A3324" w14:textId="02CBB151" w:rsidR="00E84255" w:rsidRPr="00E84255" w:rsidRDefault="00E84255" w:rsidP="00E84255">
      <w:pPr>
        <w:pStyle w:val="BodyText"/>
        <w:numPr>
          <w:ilvl w:val="0"/>
          <w:numId w:val="32"/>
        </w:numPr>
        <w:rPr>
          <w:b/>
        </w:rPr>
      </w:pPr>
      <w:r>
        <w:rPr>
          <w:b/>
        </w:rPr>
        <w:t xml:space="preserve">Semi-static power sharing: </w:t>
      </w:r>
      <w:r w:rsidR="00A51B7E">
        <w:t>P</w:t>
      </w:r>
      <w:r w:rsidR="00A51B7E" w:rsidRPr="00A51B7E">
        <w:t xml:space="preserve">ower allocation </w:t>
      </w:r>
      <w:r w:rsidR="00A51B7E">
        <w:t xml:space="preserve">approach that can be used </w:t>
      </w:r>
      <w:r w:rsidR="00A51B7E" w:rsidRPr="00A51B7E">
        <w:t xml:space="preserve">for a UE that cannot </w:t>
      </w:r>
      <w:r w:rsidR="00A51B7E">
        <w:t>dynamically adjust its transmission activity in one CG based on transmission activity in another CG</w:t>
      </w:r>
    </w:p>
    <w:p w14:paraId="4CD45B55" w14:textId="23C40848" w:rsidR="00E84255" w:rsidRDefault="00A51B7E" w:rsidP="00E84255">
      <w:pPr>
        <w:pStyle w:val="BodyText"/>
      </w:pPr>
      <w:r>
        <w:t xml:space="preserve">From a coverage perspective, i.e., considering ‘coverage’ </w:t>
      </w:r>
      <w:r w:rsidR="0043457B">
        <w:t>as</w:t>
      </w:r>
      <w:r>
        <w:t xml:space="preserve"> the ability to maintain connection to the UE when configured with NR-NR DC, semi-static power sharing approaches </w:t>
      </w:r>
      <w:r w:rsidR="008F565D">
        <w:t>can never be better than dynamic power sharing. This aspect was also considered in Rel15 (e.g. [2],</w:t>
      </w:r>
      <w:r w:rsidR="00466D97">
        <w:t xml:space="preserve"> </w:t>
      </w:r>
      <w:r w:rsidR="008F565D">
        <w:t>[3])</w:t>
      </w:r>
      <w:r w:rsidR="005460E0">
        <w:t xml:space="preserve">. With semi-static power sharing, the maximum transmission power of one CG </w:t>
      </w:r>
      <w:r w:rsidR="00466D97">
        <w:t>must</w:t>
      </w:r>
      <w:r w:rsidR="005460E0">
        <w:t xml:space="preserve"> be preemptively reduced regardless of presence of simultaneous transmissions on another CG. The implication of this is that NR-DC can only be configured when UE can be guaranteed to sustain a connection with reduced maximum transmit power (e.g. 20dBm on each CG).</w:t>
      </w:r>
      <w:r w:rsidR="00140D90">
        <w:t xml:space="preserve"> This limitation does not exist for dynamic power sharing. For example, considering the approach agreed in Rel15 where MCG transmission power is prioritized, there </w:t>
      </w:r>
      <w:r w:rsidR="00807EBF">
        <w:t xml:space="preserve">is </w:t>
      </w:r>
      <w:r w:rsidR="00140D90">
        <w:t>no ‘risk’ for the NW to configure the UE with DC operation as the UE can always be assumed to transmit with maximum transmit power on at least one CG (MCG in Rel15) whenever needed.</w:t>
      </w:r>
    </w:p>
    <w:p w14:paraId="7DAE8014" w14:textId="7E48B36B" w:rsidR="007740D9" w:rsidRDefault="00C9490F" w:rsidP="00E84255">
      <w:pPr>
        <w:pStyle w:val="BodyText"/>
      </w:pPr>
      <w:r>
        <w:t xml:space="preserve">In </w:t>
      </w:r>
      <w:r w:rsidR="00807EBF">
        <w:t xml:space="preserve">the </w:t>
      </w:r>
      <w:r>
        <w:t>previous RAN1 meeting</w:t>
      </w:r>
      <w:r w:rsidR="000027E1">
        <w:t>s</w:t>
      </w:r>
      <w:r>
        <w:t>, there were initial discussions on phase discontinuity</w:t>
      </w:r>
      <w:r w:rsidR="00E776F8">
        <w:t xml:space="preserve">, </w:t>
      </w:r>
      <w:r>
        <w:t>link adaptation</w:t>
      </w:r>
      <w:r w:rsidR="00264098">
        <w:t xml:space="preserve"> aspects</w:t>
      </w:r>
      <w:r w:rsidR="00E776F8">
        <w:t xml:space="preserve"> etc</w:t>
      </w:r>
      <w:r>
        <w:t xml:space="preserve">. </w:t>
      </w:r>
      <w:r w:rsidR="007740D9">
        <w:t xml:space="preserve">To properly </w:t>
      </w:r>
      <w:r w:rsidR="002B4985">
        <w:t>analyze</w:t>
      </w:r>
      <w:r w:rsidR="007740D9">
        <w:t xml:space="preserve"> the implications of these aspects the power sharing mechanisms that are being compared need to be defined in more detail. Below we provide some </w:t>
      </w:r>
      <w:r w:rsidR="000027E1">
        <w:t>high-level</w:t>
      </w:r>
      <w:r w:rsidR="007740D9">
        <w:t xml:space="preserve"> </w:t>
      </w:r>
      <w:r w:rsidR="00264098">
        <w:t>views</w:t>
      </w:r>
      <w:r w:rsidR="007740D9">
        <w:t>.</w:t>
      </w:r>
    </w:p>
    <w:p w14:paraId="203CF781" w14:textId="77777777" w:rsidR="00264098" w:rsidRDefault="00264098" w:rsidP="00E84255">
      <w:pPr>
        <w:pStyle w:val="BodyText"/>
      </w:pPr>
    </w:p>
    <w:p w14:paraId="683BF05E" w14:textId="22980837" w:rsidR="007740D9" w:rsidRDefault="007740D9" w:rsidP="007740D9">
      <w:pPr>
        <w:pStyle w:val="BodyText"/>
        <w:numPr>
          <w:ilvl w:val="0"/>
          <w:numId w:val="34"/>
        </w:numPr>
      </w:pPr>
      <w:r>
        <w:t>Link adaptation</w:t>
      </w:r>
    </w:p>
    <w:p w14:paraId="3D7FF8ED" w14:textId="670F4774" w:rsidR="007740D9" w:rsidRDefault="007740D9" w:rsidP="007740D9">
      <w:pPr>
        <w:pStyle w:val="BodyText"/>
        <w:numPr>
          <w:ilvl w:val="1"/>
          <w:numId w:val="34"/>
        </w:numPr>
      </w:pPr>
      <w:r>
        <w:t>With semi-static power sharing, link adaptation is predictable since independent transmission power allocation can be assumed for each CG. However, this predictability comes at the cost of preemptively degrading the link quality</w:t>
      </w:r>
      <w:r w:rsidR="002B4985">
        <w:t xml:space="preserve"> (due to lower available power)</w:t>
      </w:r>
      <w:r>
        <w:t xml:space="preserve"> on each CG </w:t>
      </w:r>
      <w:r w:rsidR="006135C7">
        <w:t xml:space="preserve">to be </w:t>
      </w:r>
      <w:r w:rsidR="0007291B">
        <w:t xml:space="preserve">always </w:t>
      </w:r>
      <w:r w:rsidR="006135C7">
        <w:t xml:space="preserve">lower than </w:t>
      </w:r>
      <w:r w:rsidR="0007291B">
        <w:t>best possible link quality</w:t>
      </w:r>
      <w:r>
        <w:t>.</w:t>
      </w:r>
    </w:p>
    <w:p w14:paraId="1F3F0CEA" w14:textId="77777777" w:rsidR="002B4985" w:rsidRDefault="007740D9" w:rsidP="007740D9">
      <w:pPr>
        <w:pStyle w:val="BodyText"/>
        <w:numPr>
          <w:ilvl w:val="1"/>
          <w:numId w:val="34"/>
        </w:numPr>
      </w:pPr>
      <w:r>
        <w:t xml:space="preserve">With dynamic power sharing, NW has more flexibility to implement a suitable trade-off </w:t>
      </w:r>
      <w:r w:rsidR="0007291B">
        <w:t>between better link quality and link adaptation</w:t>
      </w:r>
      <w:r w:rsidR="002B4985">
        <w:t xml:space="preserve"> predictability. </w:t>
      </w:r>
    </w:p>
    <w:p w14:paraId="5478B782" w14:textId="59C8EF23" w:rsidR="00264098" w:rsidRDefault="002B4985" w:rsidP="00DE4F9B">
      <w:pPr>
        <w:pStyle w:val="BodyText"/>
        <w:numPr>
          <w:ilvl w:val="2"/>
          <w:numId w:val="34"/>
        </w:numPr>
      </w:pPr>
      <w:r>
        <w:t>For example, if sparse transmissions can be assumed on one CG then collisions are infrequent, link adaptation impact is minimal and transmissions on both CGs can be at full power most of the time. If both CGs are fully loaded, there will be frequent collisions and NW can choose to obtain link adaptation predictability on one or both CGs by an appropriate power allocation/prioritization approach.</w:t>
      </w:r>
    </w:p>
    <w:p w14:paraId="4E061B45" w14:textId="77777777" w:rsidR="002B4985" w:rsidRDefault="002B4985" w:rsidP="002B4985">
      <w:pPr>
        <w:pStyle w:val="BodyText"/>
        <w:numPr>
          <w:ilvl w:val="0"/>
          <w:numId w:val="34"/>
        </w:numPr>
      </w:pPr>
      <w:r>
        <w:t>Phase discontinuities</w:t>
      </w:r>
    </w:p>
    <w:p w14:paraId="5A2D67F2" w14:textId="5DA8C5D7" w:rsidR="00BD452B" w:rsidRDefault="00BD452B" w:rsidP="002B4985">
      <w:pPr>
        <w:pStyle w:val="BodyText"/>
        <w:numPr>
          <w:ilvl w:val="1"/>
          <w:numId w:val="34"/>
        </w:numPr>
      </w:pPr>
      <w:r>
        <w:lastRenderedPageBreak/>
        <w:t xml:space="preserve">For semi-static power sharing, phase discontinuity issues can </w:t>
      </w:r>
      <w:r w:rsidR="00C4594C">
        <w:t xml:space="preserve">be </w:t>
      </w:r>
      <w:r w:rsidR="00264098">
        <w:t xml:space="preserve">generally be </w:t>
      </w:r>
      <w:r>
        <w:t>avoided</w:t>
      </w:r>
      <w:r w:rsidR="00264098">
        <w:t xml:space="preserve"> (unless same PA is used for MCG and SCG transmissions)</w:t>
      </w:r>
    </w:p>
    <w:p w14:paraId="6A848503" w14:textId="5ABDB6A9" w:rsidR="00BD452B" w:rsidRDefault="00264098" w:rsidP="002B4985">
      <w:pPr>
        <w:pStyle w:val="BodyText"/>
        <w:numPr>
          <w:ilvl w:val="1"/>
          <w:numId w:val="34"/>
        </w:numPr>
      </w:pPr>
      <w:r>
        <w:t>F</w:t>
      </w:r>
      <w:r w:rsidR="00BD452B">
        <w:t xml:space="preserve">or dynamic power sharing, phase discontinuity issues can be avoided by </w:t>
      </w:r>
      <w:r>
        <w:t>having rules such that UE maintain</w:t>
      </w:r>
      <w:r w:rsidR="00E776F8">
        <w:t>s</w:t>
      </w:r>
      <w:r>
        <w:t xml:space="preserve"> transmission power of ongoing transmissions.</w:t>
      </w:r>
    </w:p>
    <w:p w14:paraId="64628923" w14:textId="77777777" w:rsidR="00DE4F9B" w:rsidRDefault="00E776F8" w:rsidP="00DE4F9B">
      <w:pPr>
        <w:pStyle w:val="BodyText"/>
        <w:numPr>
          <w:ilvl w:val="1"/>
          <w:numId w:val="34"/>
        </w:numPr>
      </w:pPr>
      <w:r>
        <w:t xml:space="preserve">It should also be noted that the extent of phase discontinuities and their performance impact depends on several aspects including UE and NW implementation (e.g. see [4]). </w:t>
      </w:r>
    </w:p>
    <w:p w14:paraId="08976F5A" w14:textId="77777777" w:rsidR="00554E86" w:rsidRDefault="00554E86" w:rsidP="00554E86">
      <w:pPr>
        <w:pStyle w:val="BodyText"/>
        <w:numPr>
          <w:ilvl w:val="0"/>
          <w:numId w:val="34"/>
        </w:numPr>
      </w:pPr>
      <w:r>
        <w:t>Timeline restrictions</w:t>
      </w:r>
    </w:p>
    <w:p w14:paraId="49DC7ACE" w14:textId="7A650983" w:rsidR="00554E86" w:rsidRDefault="00F21F7D" w:rsidP="0029409F">
      <w:pPr>
        <w:pStyle w:val="BodyText"/>
        <w:numPr>
          <w:ilvl w:val="1"/>
          <w:numId w:val="34"/>
        </w:numPr>
      </w:pPr>
      <w:r>
        <w:t>F</w:t>
      </w:r>
      <w:r w:rsidR="000064E4">
        <w:t>or EN-DC</w:t>
      </w:r>
      <w:r>
        <w:t>,</w:t>
      </w:r>
      <w:r w:rsidR="000064E4">
        <w:t xml:space="preserve"> </w:t>
      </w:r>
      <w:r w:rsidR="0096318F">
        <w:t>the power sharing framework was based on the restriction that P1t (transmitted power for CG1) cannot be adjusted based on P2g (power required for CG2) if the UL grant for CG2 arrives later than the UL grant for CG1. Th</w:t>
      </w:r>
      <w:r>
        <w:t>e</w:t>
      </w:r>
      <w:r w:rsidR="0096318F">
        <w:t xml:space="preserve"> </w:t>
      </w:r>
      <w:r w:rsidR="003335F3">
        <w:t xml:space="preserve">intention behind this restriction was to allow LTE UE implementations without any </w:t>
      </w:r>
      <w:r>
        <w:t xml:space="preserve">changes to </w:t>
      </w:r>
      <w:r w:rsidR="001C0956">
        <w:t xml:space="preserve">the </w:t>
      </w:r>
      <w:r>
        <w:t>UL power computation</w:t>
      </w:r>
      <w:r w:rsidR="003335F3">
        <w:t xml:space="preserve"> timeline.</w:t>
      </w:r>
      <w:r w:rsidR="0096318F">
        <w:t xml:space="preserve"> </w:t>
      </w:r>
      <w:r w:rsidR="003335F3">
        <w:t xml:space="preserve">However, for NR the timing between UL grant and corresponding PUSCH </w:t>
      </w:r>
      <w:r w:rsidR="002B3332">
        <w:t xml:space="preserve">is flexible </w:t>
      </w:r>
      <w:r w:rsidR="00697227">
        <w:t xml:space="preserve">and </w:t>
      </w:r>
      <w:r w:rsidR="00C6265F">
        <w:t>the UE’s timeline for power control need not be linked to the timing between UL grant and corresponding PUSCH. Also, the time needed for making changes to the power of a UL transmission would likely be less than the lowest delay between a UL grant and the corresponding PUSCH</w:t>
      </w:r>
      <w:r w:rsidR="003335F3">
        <w:t>.</w:t>
      </w:r>
      <w:r w:rsidR="00C6265F">
        <w:t xml:space="preserve"> </w:t>
      </w:r>
      <w:r w:rsidR="002B3332">
        <w:t>Th</w:t>
      </w:r>
      <w:r w:rsidR="00C6265F">
        <w:t>ese</w:t>
      </w:r>
      <w:r w:rsidR="002B3332">
        <w:t xml:space="preserve"> aspect</w:t>
      </w:r>
      <w:r w:rsidR="00C6265F">
        <w:t>s</w:t>
      </w:r>
      <w:r w:rsidR="002B3332">
        <w:t xml:space="preserve"> </w:t>
      </w:r>
      <w:proofErr w:type="gramStart"/>
      <w:r w:rsidR="002B3332">
        <w:t>needs</w:t>
      </w:r>
      <w:proofErr w:type="gramEnd"/>
      <w:r w:rsidR="002B3332">
        <w:t xml:space="preserve"> to be considered </w:t>
      </w:r>
      <w:r>
        <w:t>for</w:t>
      </w:r>
      <w:r w:rsidR="002B3332">
        <w:t xml:space="preserve"> </w:t>
      </w:r>
      <w:r w:rsidR="00C6265F">
        <w:t xml:space="preserve">NR-DC </w:t>
      </w:r>
      <w:r w:rsidR="002B3332">
        <w:t>power control design.</w:t>
      </w:r>
    </w:p>
    <w:p w14:paraId="42B712D0" w14:textId="77777777" w:rsidR="00554E86" w:rsidRDefault="00554E86" w:rsidP="00554E86">
      <w:pPr>
        <w:pStyle w:val="BodyText"/>
        <w:numPr>
          <w:ilvl w:val="0"/>
          <w:numId w:val="34"/>
        </w:numPr>
      </w:pPr>
      <w:r>
        <w:t xml:space="preserve">UE implementation aspects </w:t>
      </w:r>
    </w:p>
    <w:p w14:paraId="75E4552B" w14:textId="2A60129E" w:rsidR="00191AC7" w:rsidRDefault="002B3332" w:rsidP="00554E86">
      <w:pPr>
        <w:pStyle w:val="BodyText"/>
        <w:numPr>
          <w:ilvl w:val="1"/>
          <w:numId w:val="34"/>
        </w:numPr>
      </w:pPr>
      <w:r>
        <w:t xml:space="preserve">Rel15 EN-DC power control supported a </w:t>
      </w:r>
      <w:r w:rsidR="00403D5F">
        <w:t xml:space="preserve">separate </w:t>
      </w:r>
      <w:r w:rsidR="00B6089B">
        <w:t>capability</w:t>
      </w:r>
      <w:r w:rsidR="00403D5F">
        <w:t xml:space="preserve"> for </w:t>
      </w:r>
      <w:r>
        <w:t xml:space="preserve">semi-static power sharing. This </w:t>
      </w:r>
      <w:r w:rsidR="00403D5F">
        <w:t xml:space="preserve">option </w:t>
      </w:r>
      <w:r>
        <w:t>allowed simplified UE implementations that did not require fast communication</w:t>
      </w:r>
      <w:r w:rsidR="00191AC7">
        <w:t xml:space="preserve"> </w:t>
      </w:r>
      <w:r w:rsidR="00B6089B">
        <w:t xml:space="preserve">between </w:t>
      </w:r>
      <w:r w:rsidR="00191AC7">
        <w:t>MCG (LTE)</w:t>
      </w:r>
      <w:r>
        <w:t xml:space="preserve"> and </w:t>
      </w:r>
      <w:r w:rsidR="00191AC7">
        <w:t>SCG (</w:t>
      </w:r>
      <w:r>
        <w:t>NR</w:t>
      </w:r>
      <w:r w:rsidR="00191AC7">
        <w:t>)</w:t>
      </w:r>
      <w:r>
        <w:t xml:space="preserve"> modules </w:t>
      </w:r>
      <w:r w:rsidR="00403D5F">
        <w:t>within</w:t>
      </w:r>
      <w:r w:rsidR="00191AC7">
        <w:t xml:space="preserve"> the UE. For NR-NR DC, </w:t>
      </w:r>
      <w:r w:rsidR="00324A03">
        <w:t xml:space="preserve">it is reasonable </w:t>
      </w:r>
      <w:r w:rsidR="00B62604">
        <w:t xml:space="preserve">to assume </w:t>
      </w:r>
      <w:r w:rsidR="00191AC7">
        <w:t>such communication as baseline. This was also the assumption for LTE-LTE DC in Rel12.</w:t>
      </w:r>
    </w:p>
    <w:p w14:paraId="57F6B46E" w14:textId="77777777" w:rsidR="00B330DB" w:rsidRDefault="00B330DB" w:rsidP="0029409F">
      <w:pPr>
        <w:jc w:val="both"/>
      </w:pPr>
    </w:p>
    <w:p w14:paraId="31C0A83D" w14:textId="2164242B" w:rsidR="00191AC7" w:rsidRDefault="00191AC7" w:rsidP="00191AC7">
      <w:pPr>
        <w:jc w:val="both"/>
        <w:rPr>
          <w:b/>
          <w:u w:val="single"/>
        </w:rPr>
      </w:pPr>
      <w:r w:rsidRPr="00D154CE">
        <w:rPr>
          <w:b/>
          <w:u w:val="single"/>
        </w:rPr>
        <w:t>Proposal</w:t>
      </w:r>
      <w:r>
        <w:rPr>
          <w:b/>
          <w:u w:val="single"/>
        </w:rPr>
        <w:t xml:space="preserve"> </w:t>
      </w:r>
      <w:r w:rsidR="00813A6F">
        <w:rPr>
          <w:b/>
          <w:u w:val="single"/>
        </w:rPr>
        <w:t>1</w:t>
      </w:r>
    </w:p>
    <w:p w14:paraId="54854014" w14:textId="16F824A5" w:rsidR="00191AC7" w:rsidRDefault="00191AC7" w:rsidP="00191AC7">
      <w:pPr>
        <w:jc w:val="both"/>
        <w:rPr>
          <w:b/>
          <w:u w:val="single"/>
        </w:rPr>
      </w:pPr>
    </w:p>
    <w:p w14:paraId="0403FF76" w14:textId="7021F2A8" w:rsidR="00B330DB" w:rsidRPr="000027E1" w:rsidRDefault="00191AC7" w:rsidP="000027E1">
      <w:pPr>
        <w:pStyle w:val="ListParagraph"/>
        <w:numPr>
          <w:ilvl w:val="0"/>
          <w:numId w:val="28"/>
        </w:numPr>
        <w:jc w:val="both"/>
        <w:rPr>
          <w:u w:val="single"/>
        </w:rPr>
      </w:pPr>
      <w:r w:rsidRPr="0016539C">
        <w:t xml:space="preserve">For NR-NR DC </w:t>
      </w:r>
      <w:r w:rsidR="00937971" w:rsidRPr="0016539C">
        <w:t xml:space="preserve">power control </w:t>
      </w:r>
      <w:r w:rsidRPr="0016539C">
        <w:t>where MCG and SCG are in same frequency range</w:t>
      </w:r>
      <w:r w:rsidR="00E64AE9">
        <w:t xml:space="preserve"> </w:t>
      </w:r>
      <w:r w:rsidR="00B330DB" w:rsidRPr="0016539C">
        <w:t>fast communication between MCG and SCG modules within the UE can be assumed as baseline (i.e., no need to specify a separate semi-static power sharing capability)</w:t>
      </w:r>
    </w:p>
    <w:p w14:paraId="7B1A845C" w14:textId="780A07AE" w:rsidR="000B6507" w:rsidRDefault="000B6507" w:rsidP="001270EA"/>
    <w:p w14:paraId="33D591D4" w14:textId="51761F3C" w:rsidR="000027E1" w:rsidRDefault="000027E1" w:rsidP="000027E1">
      <w:pPr>
        <w:pStyle w:val="Heading2"/>
      </w:pPr>
      <w:r>
        <w:t>Power Sharing framework for NR-DC</w:t>
      </w:r>
    </w:p>
    <w:p w14:paraId="3B992247" w14:textId="77777777" w:rsidR="00893F93" w:rsidRPr="00893F93" w:rsidRDefault="00893F93" w:rsidP="00893F93">
      <w:pPr>
        <w:pStyle w:val="BodyText"/>
      </w:pPr>
    </w:p>
    <w:p w14:paraId="71043266" w14:textId="34DDAD50" w:rsidR="00722290" w:rsidRDefault="0057692D" w:rsidP="000027E1">
      <w:pPr>
        <w:pStyle w:val="BodyText"/>
      </w:pPr>
      <w:r w:rsidRPr="0057692D">
        <w:rPr>
          <w:noProof/>
        </w:rPr>
        <w:drawing>
          <wp:inline distT="0" distB="0" distL="0" distR="0" wp14:anchorId="76D2E02C" wp14:editId="62676D6C">
            <wp:extent cx="5745480" cy="3640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45480" cy="3640455"/>
                    </a:xfrm>
                    <a:prstGeom prst="rect">
                      <a:avLst/>
                    </a:prstGeom>
                    <a:noFill/>
                    <a:ln>
                      <a:noFill/>
                    </a:ln>
                  </pic:spPr>
                </pic:pic>
              </a:graphicData>
            </a:graphic>
          </wp:inline>
        </w:drawing>
      </w:r>
    </w:p>
    <w:p w14:paraId="285FFEB4" w14:textId="77104270" w:rsidR="00893F93" w:rsidRPr="00893F93" w:rsidRDefault="00893F93" w:rsidP="00893F93">
      <w:pPr>
        <w:pStyle w:val="BodyText"/>
        <w:jc w:val="center"/>
        <w:rPr>
          <w:rFonts w:ascii="Arial" w:hAnsi="Arial" w:cs="Arial"/>
          <w:b/>
          <w:u w:val="single"/>
        </w:rPr>
      </w:pPr>
      <w:r>
        <w:rPr>
          <w:rFonts w:ascii="Arial" w:hAnsi="Arial" w:cs="Arial"/>
          <w:b/>
          <w:u w:val="single"/>
        </w:rPr>
        <w:lastRenderedPageBreak/>
        <w:t>Figure 1 – Power sharing framework for NR-DC</w:t>
      </w:r>
    </w:p>
    <w:p w14:paraId="1415BE63" w14:textId="2135864D" w:rsidR="007E407C" w:rsidRDefault="000027E1" w:rsidP="000027E1">
      <w:pPr>
        <w:pStyle w:val="BodyText"/>
      </w:pPr>
      <w:r>
        <w:t>Based on above discussion we propose the following framework for NR-DC power sharing</w:t>
      </w:r>
      <w:r w:rsidR="00722290">
        <w:t>. This is also illustrated in Figure 1.</w:t>
      </w:r>
    </w:p>
    <w:p w14:paraId="716DB1F0" w14:textId="310DCAFC" w:rsidR="000027E1" w:rsidRDefault="000027E1" w:rsidP="00380C9E">
      <w:pPr>
        <w:pStyle w:val="BodyText"/>
        <w:numPr>
          <w:ilvl w:val="0"/>
          <w:numId w:val="37"/>
        </w:numPr>
        <w:jc w:val="left"/>
      </w:pPr>
      <w:r>
        <w:t xml:space="preserve">UE is configured </w:t>
      </w:r>
      <w:r w:rsidR="00973192">
        <w:t>with transmit power limits P_limit_CG1 applicable to CG1 and P_limit_CG2 applicable to CG2.</w:t>
      </w:r>
    </w:p>
    <w:p w14:paraId="0A549A9A" w14:textId="05181663" w:rsidR="00973192" w:rsidRDefault="000027E1" w:rsidP="00380C9E">
      <w:pPr>
        <w:pStyle w:val="BodyText"/>
        <w:numPr>
          <w:ilvl w:val="0"/>
          <w:numId w:val="37"/>
        </w:numPr>
        <w:jc w:val="left"/>
      </w:pPr>
      <w:r>
        <w:t>To compute the transmit power for</w:t>
      </w:r>
      <w:r w:rsidR="00D603AE">
        <w:t xml:space="preserve"> CG1 UL </w:t>
      </w:r>
      <w:r>
        <w:t xml:space="preserve">transmission </w:t>
      </w:r>
      <w:r w:rsidR="009B0240">
        <w:t>starting at time T0</w:t>
      </w:r>
      <w:r>
        <w:t xml:space="preserve">, </w:t>
      </w:r>
    </w:p>
    <w:p w14:paraId="5C826067" w14:textId="7F5F6079" w:rsidR="00973192" w:rsidRDefault="000027E1" w:rsidP="00A20A2A">
      <w:pPr>
        <w:pStyle w:val="BodyText"/>
        <w:numPr>
          <w:ilvl w:val="1"/>
          <w:numId w:val="37"/>
        </w:numPr>
        <w:jc w:val="left"/>
      </w:pPr>
      <w:r>
        <w:t xml:space="preserve">UE checks for PDCCH(s) </w:t>
      </w:r>
      <w:r w:rsidR="00D603AE">
        <w:t xml:space="preserve">received before </w:t>
      </w:r>
      <w:r w:rsidR="004F370F">
        <w:t xml:space="preserve">time </w:t>
      </w:r>
      <w:r w:rsidR="00D603AE">
        <w:t>T0-T_offset</w:t>
      </w:r>
      <w:r w:rsidR="00973192">
        <w:t xml:space="preserve"> </w:t>
      </w:r>
      <w:r w:rsidR="00D603AE">
        <w:t>that trigger an overlapping CG2 UL transmission</w:t>
      </w:r>
      <w:r w:rsidR="00A20A2A">
        <w:t xml:space="preserve">, and </w:t>
      </w:r>
      <w:r w:rsidR="00973192">
        <w:t>if such PDCCH(s) are detected, UE limits it</w:t>
      </w:r>
      <w:r w:rsidR="00D603AE">
        <w:t>’</w:t>
      </w:r>
      <w:r w:rsidR="00973192">
        <w:t xml:space="preserve">s </w:t>
      </w:r>
      <w:proofErr w:type="gramStart"/>
      <w:r w:rsidR="00973192">
        <w:t>transmit</w:t>
      </w:r>
      <w:proofErr w:type="gramEnd"/>
      <w:r w:rsidR="00973192">
        <w:t xml:space="preserve"> power in CG1 (pwr_CG1) such that pwr_CG1 &lt;</w:t>
      </w:r>
      <w:r w:rsidR="00F34D5F">
        <w:t>=</w:t>
      </w:r>
      <w:r w:rsidR="00973192">
        <w:t xml:space="preserve"> P_limit_CG1; </w:t>
      </w:r>
    </w:p>
    <w:p w14:paraId="46A6EC3D" w14:textId="255B7E90" w:rsidR="00D603AE" w:rsidRDefault="00973192" w:rsidP="00A20A2A">
      <w:pPr>
        <w:pStyle w:val="BodyText"/>
        <w:numPr>
          <w:ilvl w:val="1"/>
          <w:numId w:val="37"/>
        </w:numPr>
        <w:jc w:val="left"/>
      </w:pPr>
      <w:r>
        <w:t xml:space="preserve">UE also checks (based on RRC parameters) </w:t>
      </w:r>
      <w:r w:rsidR="00D603AE">
        <w:t>if</w:t>
      </w:r>
      <w:r>
        <w:t xml:space="preserve"> any </w:t>
      </w:r>
      <w:r w:rsidRPr="00D603AE">
        <w:rPr>
          <w:i/>
        </w:rPr>
        <w:t>possible</w:t>
      </w:r>
      <w:r>
        <w:t xml:space="preserve"> </w:t>
      </w:r>
      <w:r w:rsidR="00D603AE">
        <w:t>overlapping CG2 UL transmissions can be triggered by PDCCH(s) after T0-T_offset</w:t>
      </w:r>
      <w:r w:rsidR="00A20A2A">
        <w:t xml:space="preserve">, and </w:t>
      </w:r>
      <w:r w:rsidR="00D603AE">
        <w:t xml:space="preserve">if such overlapping CG2 UL transmissions are </w:t>
      </w:r>
      <w:r w:rsidR="00D603AE" w:rsidRPr="00A20A2A">
        <w:rPr>
          <w:i/>
        </w:rPr>
        <w:t>possible</w:t>
      </w:r>
      <w:r w:rsidR="00D603AE">
        <w:t xml:space="preserve">, UE limits it’s </w:t>
      </w:r>
      <w:proofErr w:type="gramStart"/>
      <w:r w:rsidR="00D603AE">
        <w:t>transmit</w:t>
      </w:r>
      <w:proofErr w:type="gramEnd"/>
      <w:r w:rsidR="00D603AE">
        <w:t xml:space="preserve"> power in CG1 (pwr_CG1) such that pwr_CG1 &lt;</w:t>
      </w:r>
      <w:r w:rsidR="009C662D">
        <w:t>=</w:t>
      </w:r>
      <w:r w:rsidR="00D603AE">
        <w:t xml:space="preserve"> P_limit_CG1;</w:t>
      </w:r>
    </w:p>
    <w:p w14:paraId="52ED703A" w14:textId="6B425016" w:rsidR="00D603AE" w:rsidRDefault="00A20A2A" w:rsidP="00A20A2A">
      <w:pPr>
        <w:pStyle w:val="BodyText"/>
        <w:numPr>
          <w:ilvl w:val="1"/>
          <w:numId w:val="37"/>
        </w:numPr>
        <w:jc w:val="left"/>
      </w:pPr>
      <w:r>
        <w:t>O</w:t>
      </w:r>
      <w:r w:rsidR="00D603AE">
        <w:t xml:space="preserve">therwise, P_limit_CG1 is not applied and UE transmit power </w:t>
      </w:r>
      <w:r w:rsidR="009C662D">
        <w:t xml:space="preserve">for the CG1 UL transmission </w:t>
      </w:r>
      <w:r w:rsidR="00D603AE">
        <w:t>can be up to ‘full power’ allowed by RAN4 requirements</w:t>
      </w:r>
    </w:p>
    <w:p w14:paraId="2C0229DB" w14:textId="5C58277C" w:rsidR="00722290" w:rsidRDefault="00722290" w:rsidP="00722290">
      <w:pPr>
        <w:pStyle w:val="BodyText"/>
        <w:numPr>
          <w:ilvl w:val="1"/>
          <w:numId w:val="37"/>
        </w:numPr>
        <w:jc w:val="left"/>
      </w:pPr>
      <w:proofErr w:type="spellStart"/>
      <w:r>
        <w:t>T_offset</w:t>
      </w:r>
      <w:proofErr w:type="spellEnd"/>
      <w:r>
        <w:t xml:space="preserve"> can be </w:t>
      </w:r>
      <w:proofErr w:type="gramStart"/>
      <w:r>
        <w:t>similar to</w:t>
      </w:r>
      <w:proofErr w:type="gramEnd"/>
      <w:r>
        <w:t xml:space="preserve"> the </w:t>
      </w:r>
      <w:proofErr w:type="spellStart"/>
      <w:r>
        <w:t>T_proc</w:t>
      </w:r>
      <w:proofErr w:type="spellEnd"/>
      <w:r>
        <w:t xml:space="preserve"> specified in Rel15 for UCI multiplexing related UE procedures.</w:t>
      </w:r>
    </w:p>
    <w:p w14:paraId="118F29FF" w14:textId="70AA4B75" w:rsidR="00705164" w:rsidRDefault="00494729" w:rsidP="00380C9E">
      <w:pPr>
        <w:pStyle w:val="BodyText"/>
        <w:numPr>
          <w:ilvl w:val="0"/>
          <w:numId w:val="37"/>
        </w:numPr>
        <w:jc w:val="left"/>
      </w:pPr>
      <w:r>
        <w:t xml:space="preserve">If NW configures </w:t>
      </w:r>
      <w:r w:rsidR="00705164">
        <w:t xml:space="preserve">P_limit_CG1 and P_limit_CG2 such that P_limit_CG1+P_limit_CG2 &gt; </w:t>
      </w:r>
      <w:proofErr w:type="spellStart"/>
      <w:r w:rsidR="00705164">
        <w:t>P_</w:t>
      </w:r>
      <w:r w:rsidR="00380C9E">
        <w:t>limit_</w:t>
      </w:r>
      <w:r w:rsidR="00705164">
        <w:t>total</w:t>
      </w:r>
      <w:proofErr w:type="spellEnd"/>
      <w:r w:rsidR="00705164">
        <w:t>, and if pwr_CG1+</w:t>
      </w:r>
      <w:r w:rsidR="00705164" w:rsidRPr="00705164">
        <w:t xml:space="preserve"> </w:t>
      </w:r>
      <w:r w:rsidR="00705164">
        <w:t xml:space="preserve">pwr_CG2&gt; </w:t>
      </w:r>
      <w:proofErr w:type="spellStart"/>
      <w:r w:rsidR="00705164">
        <w:t>P_</w:t>
      </w:r>
      <w:r w:rsidR="00380C9E">
        <w:t>limit_</w:t>
      </w:r>
      <w:r w:rsidR="00705164">
        <w:t>total</w:t>
      </w:r>
      <w:proofErr w:type="spellEnd"/>
      <w:r w:rsidR="00705164">
        <w:t xml:space="preserve">, UE scales down transmission power of SCG transmission(s) such that </w:t>
      </w:r>
      <w:r w:rsidR="00380C9E">
        <w:t xml:space="preserve">UE transmission power across MCG and SCG does not exceed </w:t>
      </w:r>
      <w:proofErr w:type="spellStart"/>
      <w:r w:rsidR="00380C9E">
        <w:t>P_limit_total</w:t>
      </w:r>
      <w:proofErr w:type="spellEnd"/>
      <w:r w:rsidR="00380C9E">
        <w:t>.</w:t>
      </w:r>
    </w:p>
    <w:p w14:paraId="57A341E4" w14:textId="7880AB4E" w:rsidR="00380C9E" w:rsidRDefault="00380C9E" w:rsidP="00380C9E">
      <w:pPr>
        <w:pStyle w:val="BodyText"/>
        <w:numPr>
          <w:ilvl w:val="1"/>
          <w:numId w:val="37"/>
        </w:numPr>
        <w:jc w:val="left"/>
      </w:pPr>
      <w:r>
        <w:t xml:space="preserve">Note: if NW configures P_limit_CG1 and P_limit_CG2 such that P_limit_CG1+P_limit_CG2&lt;= </w:t>
      </w:r>
      <w:proofErr w:type="spellStart"/>
      <w:r>
        <w:t>P_limit_total</w:t>
      </w:r>
      <w:proofErr w:type="spellEnd"/>
      <w:r>
        <w:t>, the above SCG scaling behavior is not required.</w:t>
      </w:r>
    </w:p>
    <w:p w14:paraId="7B38D8D3" w14:textId="594124F5" w:rsidR="00380C9E" w:rsidRDefault="00380C9E" w:rsidP="00380C9E">
      <w:pPr>
        <w:pStyle w:val="BodyText"/>
        <w:numPr>
          <w:ilvl w:val="1"/>
          <w:numId w:val="37"/>
        </w:numPr>
        <w:jc w:val="left"/>
      </w:pPr>
      <w:proofErr w:type="spellStart"/>
      <w:r>
        <w:t>P_limit_total</w:t>
      </w:r>
      <w:proofErr w:type="spellEnd"/>
      <w:r>
        <w:t xml:space="preserve"> is the power limit for all transmissions in both CG1 and CG2 and will be defined in RAN4</w:t>
      </w:r>
    </w:p>
    <w:p w14:paraId="259E53E0" w14:textId="77777777" w:rsidR="00722290" w:rsidRPr="000027E1" w:rsidRDefault="00722290" w:rsidP="000027E1">
      <w:pPr>
        <w:pStyle w:val="BodyText"/>
      </w:pPr>
    </w:p>
    <w:p w14:paraId="79C4A1C9" w14:textId="77777777" w:rsidR="007A018A" w:rsidRDefault="007A018A" w:rsidP="007A018A">
      <w:pPr>
        <w:pStyle w:val="Heading1"/>
      </w:pPr>
      <w:r>
        <w:t>Conclusion</w:t>
      </w:r>
      <w:r w:rsidR="00026152">
        <w:t>s</w:t>
      </w:r>
    </w:p>
    <w:p w14:paraId="39AF2D91" w14:textId="0CDF8ABA" w:rsidR="003C7A68" w:rsidRDefault="008847A2" w:rsidP="00124E0D">
      <w:pPr>
        <w:pStyle w:val="BodyText"/>
        <w:rPr>
          <w:lang w:val="en-AU"/>
        </w:rPr>
      </w:pPr>
      <w:r>
        <w:t xml:space="preserve">In this document, </w:t>
      </w:r>
      <w:r w:rsidR="007D4CBE">
        <w:t xml:space="preserve">we discuss </w:t>
      </w:r>
      <w:r w:rsidR="0016539C">
        <w:t xml:space="preserve">the </w:t>
      </w:r>
      <w:r w:rsidR="00790405">
        <w:rPr>
          <w:lang w:val="en-AU"/>
        </w:rPr>
        <w:t xml:space="preserve">framework </w:t>
      </w:r>
      <w:r w:rsidR="0016539C">
        <w:rPr>
          <w:lang w:val="en-AU"/>
        </w:rPr>
        <w:t xml:space="preserve">for </w:t>
      </w:r>
      <w:r w:rsidR="00790405">
        <w:rPr>
          <w:lang w:val="en-AU"/>
        </w:rPr>
        <w:t>NR-NR DC power control</w:t>
      </w:r>
      <w:r w:rsidR="000027E1">
        <w:rPr>
          <w:lang w:val="en-AU"/>
        </w:rPr>
        <w:t xml:space="preserve"> </w:t>
      </w:r>
      <w:r w:rsidR="00913D94">
        <w:rPr>
          <w:lang w:val="en-AU"/>
        </w:rPr>
        <w:t xml:space="preserve">and </w:t>
      </w:r>
      <w:r w:rsidR="000027E1">
        <w:rPr>
          <w:lang w:val="en-AU"/>
        </w:rPr>
        <w:t>propose the following</w:t>
      </w:r>
      <w:r w:rsidR="00913D94">
        <w:rPr>
          <w:lang w:val="en-AU"/>
        </w:rPr>
        <w:t>.</w:t>
      </w:r>
    </w:p>
    <w:p w14:paraId="0E2F7081" w14:textId="130425CE" w:rsidR="00092E4D" w:rsidRDefault="00092E4D" w:rsidP="00092E4D">
      <w:pPr>
        <w:jc w:val="both"/>
      </w:pPr>
    </w:p>
    <w:p w14:paraId="3BFF6D09" w14:textId="7A8CACA4" w:rsidR="00BA50BB" w:rsidRDefault="00BA50BB" w:rsidP="00BA50BB">
      <w:pPr>
        <w:jc w:val="both"/>
        <w:rPr>
          <w:b/>
          <w:u w:val="single"/>
        </w:rPr>
      </w:pPr>
      <w:r w:rsidRPr="00D154CE">
        <w:rPr>
          <w:b/>
          <w:u w:val="single"/>
        </w:rPr>
        <w:t>Proposal</w:t>
      </w:r>
      <w:r>
        <w:rPr>
          <w:b/>
          <w:u w:val="single"/>
        </w:rPr>
        <w:t xml:space="preserve"> </w:t>
      </w:r>
      <w:r w:rsidR="007773C4">
        <w:rPr>
          <w:b/>
          <w:u w:val="single"/>
        </w:rPr>
        <w:t>1</w:t>
      </w:r>
    </w:p>
    <w:p w14:paraId="5106B973" w14:textId="77777777" w:rsidR="00BA50BB" w:rsidRDefault="00BA50BB" w:rsidP="00BA50BB">
      <w:pPr>
        <w:jc w:val="both"/>
        <w:rPr>
          <w:b/>
          <w:u w:val="single"/>
        </w:rPr>
      </w:pPr>
    </w:p>
    <w:p w14:paraId="109F15A9" w14:textId="6CC7CDE6" w:rsidR="00BA50BB" w:rsidRPr="000027E1" w:rsidRDefault="00BA50BB" w:rsidP="000027E1">
      <w:pPr>
        <w:pStyle w:val="ListParagraph"/>
        <w:numPr>
          <w:ilvl w:val="0"/>
          <w:numId w:val="28"/>
        </w:numPr>
        <w:jc w:val="both"/>
        <w:rPr>
          <w:b/>
          <w:u w:val="single"/>
        </w:rPr>
      </w:pPr>
      <w:r>
        <w:t>For NR-NR DC power control where MCG and SCG are in same frequency range</w:t>
      </w:r>
      <w:r w:rsidR="00E64AE9">
        <w:t xml:space="preserve"> </w:t>
      </w:r>
      <w:r>
        <w:t>fast communication between MCG and SCG modules within the UE can be assumed as baseline (i.e., no need to specify a separate semi-static power sharing capability)</w:t>
      </w:r>
    </w:p>
    <w:p w14:paraId="279D0A24" w14:textId="77777777" w:rsidR="000027E1" w:rsidRPr="000027E1" w:rsidRDefault="000027E1" w:rsidP="000027E1">
      <w:pPr>
        <w:jc w:val="both"/>
        <w:rPr>
          <w:b/>
          <w:u w:val="single"/>
        </w:rPr>
      </w:pPr>
    </w:p>
    <w:p w14:paraId="0A8595F9" w14:textId="69C4CD74" w:rsidR="0072146B" w:rsidRDefault="0072146B" w:rsidP="0072146B">
      <w:pPr>
        <w:jc w:val="both"/>
        <w:rPr>
          <w:b/>
          <w:u w:val="single"/>
        </w:rPr>
      </w:pPr>
      <w:r w:rsidRPr="00D154CE">
        <w:rPr>
          <w:b/>
          <w:u w:val="single"/>
        </w:rPr>
        <w:t>Proposal</w:t>
      </w:r>
      <w:r>
        <w:rPr>
          <w:b/>
          <w:u w:val="single"/>
        </w:rPr>
        <w:t xml:space="preserve"> 2</w:t>
      </w:r>
    </w:p>
    <w:p w14:paraId="3E0ABA13" w14:textId="3C914A10" w:rsidR="0072146B" w:rsidRDefault="0072146B" w:rsidP="0072146B">
      <w:pPr>
        <w:jc w:val="both"/>
        <w:rPr>
          <w:b/>
          <w:u w:val="single"/>
        </w:rPr>
      </w:pPr>
    </w:p>
    <w:p w14:paraId="2CD31584" w14:textId="4B63EECA" w:rsidR="0072146B" w:rsidRDefault="0072146B" w:rsidP="0072146B">
      <w:pPr>
        <w:pStyle w:val="ListParagraph"/>
        <w:numPr>
          <w:ilvl w:val="0"/>
          <w:numId w:val="28"/>
        </w:numPr>
        <w:jc w:val="both"/>
      </w:pPr>
      <w:r>
        <w:t>NR-DC power sharing follows the below framework</w:t>
      </w:r>
    </w:p>
    <w:p w14:paraId="53CCA21C" w14:textId="77777777" w:rsidR="0072146B" w:rsidRDefault="0072146B" w:rsidP="0072146B">
      <w:pPr>
        <w:pStyle w:val="ListParagraph"/>
        <w:jc w:val="both"/>
      </w:pPr>
    </w:p>
    <w:p w14:paraId="3676F73E" w14:textId="77777777" w:rsidR="009A3684" w:rsidRDefault="009A3684" w:rsidP="009A3684">
      <w:pPr>
        <w:pStyle w:val="BodyText"/>
        <w:numPr>
          <w:ilvl w:val="1"/>
          <w:numId w:val="28"/>
        </w:numPr>
        <w:jc w:val="left"/>
      </w:pPr>
      <w:r>
        <w:t>UE is configured with transmit power limits P_limit_CG1 applicable to CG1 and P_limit_CG2 applicable to CG2.</w:t>
      </w:r>
    </w:p>
    <w:p w14:paraId="0CF7DF5E" w14:textId="77777777" w:rsidR="009A3684" w:rsidRDefault="009A3684" w:rsidP="009A3684">
      <w:pPr>
        <w:pStyle w:val="BodyText"/>
        <w:numPr>
          <w:ilvl w:val="1"/>
          <w:numId w:val="28"/>
        </w:numPr>
        <w:jc w:val="left"/>
      </w:pPr>
      <w:r>
        <w:t xml:space="preserve">To compute the transmit power for CG1 UL transmission starting at time T0, </w:t>
      </w:r>
    </w:p>
    <w:p w14:paraId="1C40C476" w14:textId="711FD1E8" w:rsidR="009A3684" w:rsidRDefault="009A3684" w:rsidP="009A3684">
      <w:pPr>
        <w:pStyle w:val="BodyText"/>
        <w:numPr>
          <w:ilvl w:val="2"/>
          <w:numId w:val="28"/>
        </w:numPr>
        <w:jc w:val="left"/>
      </w:pPr>
      <w:r>
        <w:t xml:space="preserve">UE checks for PDCCH(s) received before </w:t>
      </w:r>
      <w:r w:rsidR="004F370F">
        <w:t xml:space="preserve">time </w:t>
      </w:r>
      <w:r>
        <w:t xml:space="preserve">T0-T_offset that trigger an overlapping CG2 UL transmission, and if such PDCCH(s) are detected, UE limits it’s </w:t>
      </w:r>
      <w:proofErr w:type="gramStart"/>
      <w:r>
        <w:t>transmit</w:t>
      </w:r>
      <w:proofErr w:type="gramEnd"/>
      <w:r>
        <w:t xml:space="preserve"> power in CG1 (pwr_CG1) such that pwr_CG1 &lt;= P_limit_CG1; </w:t>
      </w:r>
    </w:p>
    <w:p w14:paraId="7BBD95E4" w14:textId="77777777" w:rsidR="009A3684" w:rsidRDefault="009A3684" w:rsidP="009A3684">
      <w:pPr>
        <w:pStyle w:val="BodyText"/>
        <w:numPr>
          <w:ilvl w:val="2"/>
          <w:numId w:val="28"/>
        </w:numPr>
        <w:jc w:val="left"/>
      </w:pPr>
      <w:r>
        <w:t xml:space="preserve">UE also checks (based on RRC parameters) if any </w:t>
      </w:r>
      <w:r w:rsidRPr="00D603AE">
        <w:rPr>
          <w:i/>
        </w:rPr>
        <w:t>possible</w:t>
      </w:r>
      <w:r>
        <w:t xml:space="preserve"> overlapping CG2 UL transmissions can be triggered by PDCCH(s) after T0-T_offset, and if such overlapping CG2 UL transmissions are </w:t>
      </w:r>
      <w:r w:rsidRPr="00A20A2A">
        <w:rPr>
          <w:i/>
        </w:rPr>
        <w:t>possible</w:t>
      </w:r>
      <w:r>
        <w:t xml:space="preserve">, UE limits it’s </w:t>
      </w:r>
      <w:proofErr w:type="gramStart"/>
      <w:r>
        <w:t>transmit</w:t>
      </w:r>
      <w:proofErr w:type="gramEnd"/>
      <w:r>
        <w:t xml:space="preserve"> power in CG1 (pwr_CG1) such that pwr_CG1 &lt;= P_limit_CG1;</w:t>
      </w:r>
    </w:p>
    <w:p w14:paraId="332C406B" w14:textId="77777777" w:rsidR="009A3684" w:rsidRDefault="009A3684" w:rsidP="009A3684">
      <w:pPr>
        <w:pStyle w:val="BodyText"/>
        <w:numPr>
          <w:ilvl w:val="2"/>
          <w:numId w:val="28"/>
        </w:numPr>
        <w:jc w:val="left"/>
      </w:pPr>
      <w:r>
        <w:t>Otherwise, P_limit_CG1 is not applied and UE transmit power for the CG1 UL transmission can be up to ‘full power’ allowed by RAN4 requirements</w:t>
      </w:r>
    </w:p>
    <w:p w14:paraId="43B014A0" w14:textId="77777777" w:rsidR="009A3684" w:rsidRDefault="009A3684" w:rsidP="009A3684">
      <w:pPr>
        <w:pStyle w:val="BodyText"/>
        <w:numPr>
          <w:ilvl w:val="2"/>
          <w:numId w:val="28"/>
        </w:numPr>
        <w:jc w:val="left"/>
      </w:pPr>
      <w:proofErr w:type="spellStart"/>
      <w:r>
        <w:lastRenderedPageBreak/>
        <w:t>T_offset</w:t>
      </w:r>
      <w:proofErr w:type="spellEnd"/>
      <w:r>
        <w:t xml:space="preserve"> can be </w:t>
      </w:r>
      <w:proofErr w:type="gramStart"/>
      <w:r>
        <w:t>similar to</w:t>
      </w:r>
      <w:proofErr w:type="gramEnd"/>
      <w:r>
        <w:t xml:space="preserve"> the </w:t>
      </w:r>
      <w:proofErr w:type="spellStart"/>
      <w:r>
        <w:t>T_proc</w:t>
      </w:r>
      <w:proofErr w:type="spellEnd"/>
      <w:r>
        <w:t xml:space="preserve"> specified in Rel15 for UCI multiplexing related UE procedures.</w:t>
      </w:r>
    </w:p>
    <w:p w14:paraId="55140A1A" w14:textId="77777777" w:rsidR="009A3684" w:rsidRDefault="009A3684" w:rsidP="009A3684">
      <w:pPr>
        <w:pStyle w:val="BodyText"/>
        <w:numPr>
          <w:ilvl w:val="1"/>
          <w:numId w:val="28"/>
        </w:numPr>
        <w:jc w:val="left"/>
      </w:pPr>
      <w:r>
        <w:t xml:space="preserve">If NW configures P_limit_CG1 and P_limit_CG2 such that P_limit_CG1+P_limit_CG2 &gt; </w:t>
      </w:r>
      <w:proofErr w:type="spellStart"/>
      <w:r>
        <w:t>P_limit_total</w:t>
      </w:r>
      <w:proofErr w:type="spellEnd"/>
      <w:r>
        <w:t>, and if pwr_CG1+</w:t>
      </w:r>
      <w:r w:rsidRPr="00705164">
        <w:t xml:space="preserve"> </w:t>
      </w:r>
      <w:r>
        <w:t xml:space="preserve">pwr_CG2&gt; </w:t>
      </w:r>
      <w:proofErr w:type="spellStart"/>
      <w:r>
        <w:t>P_limit_total</w:t>
      </w:r>
      <w:proofErr w:type="spellEnd"/>
      <w:r>
        <w:t xml:space="preserve">, UE scales down transmission power of SCG transmission(s) such that UE transmission power across MCG and SCG does not exceed </w:t>
      </w:r>
      <w:proofErr w:type="spellStart"/>
      <w:r>
        <w:t>P_limit_total</w:t>
      </w:r>
      <w:proofErr w:type="spellEnd"/>
      <w:r>
        <w:t>.</w:t>
      </w:r>
    </w:p>
    <w:p w14:paraId="7CD46853" w14:textId="77777777" w:rsidR="009A3684" w:rsidRDefault="009A3684" w:rsidP="009A3684">
      <w:pPr>
        <w:pStyle w:val="BodyText"/>
        <w:numPr>
          <w:ilvl w:val="2"/>
          <w:numId w:val="28"/>
        </w:numPr>
        <w:jc w:val="left"/>
      </w:pPr>
      <w:r>
        <w:t xml:space="preserve">Note: if NW configures P_limit_CG1 and P_limit_CG2 such that P_limit_CG1+P_limit_CG2&lt;= </w:t>
      </w:r>
      <w:proofErr w:type="spellStart"/>
      <w:r>
        <w:t>P_limit_total</w:t>
      </w:r>
      <w:proofErr w:type="spellEnd"/>
      <w:r>
        <w:t>, the above SCG scaling behavior is not required.</w:t>
      </w:r>
    </w:p>
    <w:p w14:paraId="6F14AF05" w14:textId="0D44058A" w:rsidR="0072146B" w:rsidRPr="0072146B" w:rsidRDefault="009A3684" w:rsidP="009A3684">
      <w:pPr>
        <w:pStyle w:val="BodyText"/>
        <w:numPr>
          <w:ilvl w:val="2"/>
          <w:numId w:val="28"/>
        </w:numPr>
        <w:jc w:val="left"/>
      </w:pPr>
      <w:proofErr w:type="spellStart"/>
      <w:r>
        <w:t>P_limit_total</w:t>
      </w:r>
      <w:proofErr w:type="spellEnd"/>
      <w:r>
        <w:t xml:space="preserve"> is the power limit for all transmissions in both CG1 and CG2 and will be defined in RAN4</w:t>
      </w:r>
    </w:p>
    <w:p w14:paraId="444C30C1" w14:textId="77777777" w:rsidR="00B330DB" w:rsidRPr="00790405" w:rsidRDefault="00B330DB" w:rsidP="0072146B">
      <w:pPr>
        <w:pStyle w:val="ListParagraph"/>
        <w:ind w:left="0"/>
        <w:jc w:val="both"/>
        <w:rPr>
          <w:b/>
          <w:u w:val="single"/>
        </w:rPr>
      </w:pPr>
    </w:p>
    <w:p w14:paraId="16CBF5A5" w14:textId="77777777" w:rsidR="00663DEE" w:rsidRDefault="00663DEE" w:rsidP="00663DEE">
      <w:pPr>
        <w:pStyle w:val="Heading1"/>
      </w:pPr>
      <w:bookmarkStart w:id="4" w:name="_GoBack"/>
      <w:bookmarkEnd w:id="4"/>
      <w:r>
        <w:t>References</w:t>
      </w:r>
    </w:p>
    <w:p w14:paraId="17C252AA" w14:textId="1A73B710" w:rsidR="00EB3C7A" w:rsidRDefault="001140A2" w:rsidP="00092E4D">
      <w:pPr>
        <w:pStyle w:val="BodyText"/>
      </w:pPr>
      <w:r w:rsidRPr="00DA3D01">
        <w:t>[</w:t>
      </w:r>
      <w:r w:rsidR="00F81355" w:rsidRPr="00DA3D01">
        <w:t>1</w:t>
      </w:r>
      <w:r w:rsidRPr="00DA3D01">
        <w:t>] R</w:t>
      </w:r>
      <w:r w:rsidR="003C7A68">
        <w:t>P</w:t>
      </w:r>
      <w:r w:rsidRPr="00DA3D01">
        <w:t>-18</w:t>
      </w:r>
      <w:r w:rsidR="003C7A68">
        <w:t>2076</w:t>
      </w:r>
      <w:r w:rsidRPr="00DA3D01">
        <w:t xml:space="preserve"> – “</w:t>
      </w:r>
      <w:r w:rsidR="003746C8" w:rsidRPr="003746C8">
        <w:t>WID on Multi-RAT Dual-Connectivity and Carrier Aggregation enhancements</w:t>
      </w:r>
      <w:r w:rsidRPr="00DA3D01">
        <w:t xml:space="preserve">”, </w:t>
      </w:r>
      <w:r w:rsidR="008E155B" w:rsidRPr="008E155B">
        <w:t>Ericsson, Nokia, Nokia Shanghai Bell, Huawei</w:t>
      </w:r>
      <w:r w:rsidR="008E155B">
        <w:t xml:space="preserve">, </w:t>
      </w:r>
      <w:r w:rsidRPr="00DA3D01">
        <w:t>RAN#</w:t>
      </w:r>
      <w:r w:rsidR="008E155B">
        <w:t>81</w:t>
      </w:r>
      <w:r w:rsidRPr="00DA3D01">
        <w:t xml:space="preserve">, </w:t>
      </w:r>
      <w:r w:rsidR="008E155B">
        <w:t>Gold coast</w:t>
      </w:r>
      <w:r w:rsidRPr="00DA3D01">
        <w:t xml:space="preserve">, </w:t>
      </w:r>
      <w:r w:rsidR="008E155B">
        <w:t>Australia</w:t>
      </w:r>
      <w:r w:rsidRPr="00DA3D01">
        <w:t xml:space="preserve">, </w:t>
      </w:r>
      <w:r w:rsidR="008E155B">
        <w:t>September</w:t>
      </w:r>
      <w:r w:rsidRPr="00DA3D01">
        <w:t xml:space="preserve"> 2018.</w:t>
      </w:r>
    </w:p>
    <w:p w14:paraId="64429051" w14:textId="48DD1ACB" w:rsidR="00140D90" w:rsidRDefault="00140D90" w:rsidP="00092E4D">
      <w:pPr>
        <w:pStyle w:val="BodyText"/>
      </w:pPr>
      <w:r>
        <w:t>[2] R1-1714460 – “</w:t>
      </w:r>
      <w:r>
        <w:rPr>
          <w:iCs/>
          <w:lang w:eastAsia="ja-JP"/>
        </w:rPr>
        <w:t>Power Sharing for LTE-NR Dual connectivity</w:t>
      </w:r>
      <w:r>
        <w:t xml:space="preserve">”, Ericsson, RAN1#90, </w:t>
      </w:r>
      <w:r w:rsidRPr="00140D90">
        <w:t xml:space="preserve">Prague, Czech Republic, </w:t>
      </w:r>
      <w:r>
        <w:t>August 2017.</w:t>
      </w:r>
    </w:p>
    <w:p w14:paraId="6559C30C" w14:textId="464DCC65" w:rsidR="00140D90" w:rsidRDefault="00140D90" w:rsidP="00092E4D">
      <w:pPr>
        <w:pStyle w:val="BodyText"/>
      </w:pPr>
      <w:r>
        <w:t>[3] R1-1715083 – “</w:t>
      </w:r>
      <w:r w:rsidRPr="00140D90">
        <w:t>WF on power sharing on MR-DC</w:t>
      </w:r>
      <w:r>
        <w:t xml:space="preserve">”, </w:t>
      </w:r>
      <w:r w:rsidRPr="00140D90">
        <w:t>AT&amp;T, Bouygues Telecom, China Telecom, China Unicom, Deutsche Telekom, KT Cop. , NTT-Docomo, Orange, Telecom Italia, T-Mobile USA, Vodafone, Sprint</w:t>
      </w:r>
      <w:r>
        <w:t xml:space="preserve">, RAN1#90, </w:t>
      </w:r>
      <w:r w:rsidRPr="00140D90">
        <w:t xml:space="preserve">Prague, Czech Republic, </w:t>
      </w:r>
      <w:r>
        <w:t>August 2017.</w:t>
      </w:r>
    </w:p>
    <w:p w14:paraId="31A729D7" w14:textId="3B448AD9" w:rsidR="00E0197F" w:rsidRPr="00092E4D" w:rsidRDefault="00595E99" w:rsidP="00092E4D">
      <w:pPr>
        <w:pStyle w:val="BodyText"/>
      </w:pPr>
      <w:r w:rsidRPr="0033776C">
        <w:t xml:space="preserve">[4] </w:t>
      </w:r>
      <w:r w:rsidR="00C4594C" w:rsidRPr="0033776C">
        <w:t>R4-1814715 – “</w:t>
      </w:r>
      <w:r w:rsidR="00C4594C" w:rsidRPr="00C4594C">
        <w:t>Phase discontinuity and other “single PA” capabilities</w:t>
      </w:r>
      <w:r w:rsidR="00C4594C" w:rsidRPr="0033776C">
        <w:t xml:space="preserve">”, </w:t>
      </w:r>
      <w:r w:rsidR="00C4594C">
        <w:t>Ericsson, RAN4#89, Spokane, USA, November 2018.</w:t>
      </w:r>
    </w:p>
    <w:sectPr w:rsidR="00E0197F" w:rsidRPr="00092E4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35AA3" w14:textId="77777777" w:rsidR="00E72530" w:rsidRDefault="00E72530">
      <w:r>
        <w:separator/>
      </w:r>
    </w:p>
  </w:endnote>
  <w:endnote w:type="continuationSeparator" w:id="0">
    <w:p w14:paraId="172E9F0B" w14:textId="77777777" w:rsidR="00E72530" w:rsidRDefault="00E72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22D86" w14:textId="77777777" w:rsidR="00E72530" w:rsidRDefault="00E72530">
      <w:r>
        <w:separator/>
      </w:r>
    </w:p>
  </w:footnote>
  <w:footnote w:type="continuationSeparator" w:id="0">
    <w:p w14:paraId="6766799B" w14:textId="77777777" w:rsidR="00E72530" w:rsidRDefault="00E72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FD37F" w14:textId="77777777" w:rsidR="00E832CA" w:rsidRDefault="00E832CA" w:rsidP="00C44D4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2CA1"/>
    <w:multiLevelType w:val="hybridMultilevel"/>
    <w:tmpl w:val="A1527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96C"/>
    <w:multiLevelType w:val="hybridMultilevel"/>
    <w:tmpl w:val="E9E6A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67A42"/>
    <w:multiLevelType w:val="hybridMultilevel"/>
    <w:tmpl w:val="350C93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C80585"/>
    <w:multiLevelType w:val="hybridMultilevel"/>
    <w:tmpl w:val="EEE0C22A"/>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10857F33"/>
    <w:multiLevelType w:val="hybridMultilevel"/>
    <w:tmpl w:val="563A78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7281AD9"/>
    <w:multiLevelType w:val="hybridMultilevel"/>
    <w:tmpl w:val="5AFAC0E8"/>
    <w:lvl w:ilvl="0" w:tplc="6FE87FB8">
      <w:start w:val="1"/>
      <w:numFmt w:val="lowerLetter"/>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8" w15:restartNumberingAfterBreak="0">
    <w:nsid w:val="1FF068C3"/>
    <w:multiLevelType w:val="hybridMultilevel"/>
    <w:tmpl w:val="944005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2F6397"/>
    <w:multiLevelType w:val="hybridMultilevel"/>
    <w:tmpl w:val="E972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497D8C"/>
    <w:multiLevelType w:val="hybridMultilevel"/>
    <w:tmpl w:val="519A1B0E"/>
    <w:lvl w:ilvl="0" w:tplc="04090001">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275F47"/>
    <w:multiLevelType w:val="hybridMultilevel"/>
    <w:tmpl w:val="B7C0E8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start w:val="1"/>
      <w:numFmt w:val="bullet"/>
      <w:lvlText w:val="o"/>
      <w:lvlJc w:val="left"/>
      <w:pPr>
        <w:tabs>
          <w:tab w:val="num" w:pos="4014"/>
        </w:tabs>
        <w:ind w:left="4014" w:hanging="360"/>
      </w:pPr>
      <w:rPr>
        <w:rFonts w:ascii="Courier New" w:hAnsi="Courier New" w:cs="Courier New" w:hint="default"/>
      </w:rPr>
    </w:lvl>
    <w:lvl w:ilvl="5" w:tplc="08090005">
      <w:start w:val="1"/>
      <w:numFmt w:val="bullet"/>
      <w:lvlText w:val=""/>
      <w:lvlJc w:val="left"/>
      <w:pPr>
        <w:tabs>
          <w:tab w:val="num" w:pos="4734"/>
        </w:tabs>
        <w:ind w:left="4734" w:hanging="360"/>
      </w:pPr>
      <w:rPr>
        <w:rFonts w:ascii="Wingdings" w:hAnsi="Wingdings" w:hint="default"/>
      </w:rPr>
    </w:lvl>
    <w:lvl w:ilvl="6" w:tplc="08090001">
      <w:start w:val="1"/>
      <w:numFmt w:val="bullet"/>
      <w:lvlText w:val=""/>
      <w:lvlJc w:val="left"/>
      <w:pPr>
        <w:tabs>
          <w:tab w:val="num" w:pos="5454"/>
        </w:tabs>
        <w:ind w:left="5454" w:hanging="360"/>
      </w:pPr>
      <w:rPr>
        <w:rFonts w:ascii="Symbol" w:hAnsi="Symbol" w:hint="default"/>
      </w:rPr>
    </w:lvl>
    <w:lvl w:ilvl="7" w:tplc="08090003">
      <w:start w:val="1"/>
      <w:numFmt w:val="bullet"/>
      <w:lvlText w:val="o"/>
      <w:lvlJc w:val="left"/>
      <w:pPr>
        <w:tabs>
          <w:tab w:val="num" w:pos="6174"/>
        </w:tabs>
        <w:ind w:left="6174" w:hanging="360"/>
      </w:pPr>
      <w:rPr>
        <w:rFonts w:ascii="Courier New" w:hAnsi="Courier New" w:cs="Courier New" w:hint="default"/>
      </w:rPr>
    </w:lvl>
    <w:lvl w:ilvl="8" w:tplc="08090005">
      <w:start w:val="1"/>
      <w:numFmt w:val="bullet"/>
      <w:lvlText w:val=""/>
      <w:lvlJc w:val="left"/>
      <w:pPr>
        <w:tabs>
          <w:tab w:val="num" w:pos="6894"/>
        </w:tabs>
        <w:ind w:left="6894"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043128"/>
    <w:multiLevelType w:val="hybridMultilevel"/>
    <w:tmpl w:val="C7746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1C450B"/>
    <w:multiLevelType w:val="hybridMultilevel"/>
    <w:tmpl w:val="15D2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F51D96"/>
    <w:multiLevelType w:val="hybridMultilevel"/>
    <w:tmpl w:val="7BD40B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20455F0"/>
    <w:multiLevelType w:val="hybridMultilevel"/>
    <w:tmpl w:val="5C046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52A44"/>
    <w:multiLevelType w:val="hybridMultilevel"/>
    <w:tmpl w:val="5AFAC0E8"/>
    <w:lvl w:ilvl="0" w:tplc="6FE87FB8">
      <w:start w:val="1"/>
      <w:numFmt w:val="lowerLetter"/>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21"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2"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E59CD"/>
    <w:multiLevelType w:val="hybridMultilevel"/>
    <w:tmpl w:val="BD20186A"/>
    <w:lvl w:ilvl="0" w:tplc="F566E89E">
      <w:start w:val="1"/>
      <w:numFmt w:val="lowerLetter"/>
      <w:lvlText w:val="%1)"/>
      <w:lvlJc w:val="left"/>
      <w:pPr>
        <w:ind w:left="16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BE1F55"/>
    <w:multiLevelType w:val="hybridMultilevel"/>
    <w:tmpl w:val="5EC89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A6115"/>
    <w:multiLevelType w:val="hybridMultilevel"/>
    <w:tmpl w:val="54967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627950"/>
    <w:multiLevelType w:val="hybridMultilevel"/>
    <w:tmpl w:val="8054B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3B6B43"/>
    <w:multiLevelType w:val="hybridMultilevel"/>
    <w:tmpl w:val="FDDEB2A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9" w15:restartNumberingAfterBreak="0">
    <w:nsid w:val="6A0870A7"/>
    <w:multiLevelType w:val="hybridMultilevel"/>
    <w:tmpl w:val="1DE8B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281578"/>
    <w:multiLevelType w:val="hybridMultilevel"/>
    <w:tmpl w:val="5E9CE55C"/>
    <w:lvl w:ilvl="0" w:tplc="081D0001">
      <w:start w:val="1"/>
      <w:numFmt w:val="bullet"/>
      <w:lvlText w:val=""/>
      <w:lvlJc w:val="left"/>
      <w:pPr>
        <w:ind w:left="1080" w:hanging="360"/>
      </w:pPr>
      <w:rPr>
        <w:rFonts w:ascii="Symbol" w:hAnsi="Symbol" w:hint="default"/>
      </w:rPr>
    </w:lvl>
    <w:lvl w:ilvl="1" w:tplc="081D0003">
      <w:start w:val="1"/>
      <w:numFmt w:val="bullet"/>
      <w:lvlText w:val="o"/>
      <w:lvlJc w:val="left"/>
      <w:pPr>
        <w:ind w:left="1800" w:hanging="360"/>
      </w:pPr>
      <w:rPr>
        <w:rFonts w:ascii="Courier New" w:hAnsi="Courier New" w:cs="Courier New" w:hint="default"/>
      </w:rPr>
    </w:lvl>
    <w:lvl w:ilvl="2" w:tplc="081D0005">
      <w:start w:val="1"/>
      <w:numFmt w:val="bullet"/>
      <w:lvlText w:val=""/>
      <w:lvlJc w:val="left"/>
      <w:pPr>
        <w:ind w:left="2520" w:hanging="360"/>
      </w:pPr>
      <w:rPr>
        <w:rFonts w:ascii="Wingdings" w:hAnsi="Wingdings" w:hint="default"/>
      </w:rPr>
    </w:lvl>
    <w:lvl w:ilvl="3" w:tplc="081D0001">
      <w:start w:val="1"/>
      <w:numFmt w:val="bullet"/>
      <w:lvlText w:val=""/>
      <w:lvlJc w:val="left"/>
      <w:pPr>
        <w:ind w:left="3240" w:hanging="360"/>
      </w:pPr>
      <w:rPr>
        <w:rFonts w:ascii="Symbol" w:hAnsi="Symbol" w:hint="default"/>
      </w:rPr>
    </w:lvl>
    <w:lvl w:ilvl="4" w:tplc="081D0003" w:tentative="1">
      <w:start w:val="1"/>
      <w:numFmt w:val="bullet"/>
      <w:lvlText w:val="o"/>
      <w:lvlJc w:val="left"/>
      <w:pPr>
        <w:ind w:left="3960" w:hanging="360"/>
      </w:pPr>
      <w:rPr>
        <w:rFonts w:ascii="Courier New" w:hAnsi="Courier New" w:cs="Courier New" w:hint="default"/>
      </w:rPr>
    </w:lvl>
    <w:lvl w:ilvl="5" w:tplc="081D0005" w:tentative="1">
      <w:start w:val="1"/>
      <w:numFmt w:val="bullet"/>
      <w:lvlText w:val=""/>
      <w:lvlJc w:val="left"/>
      <w:pPr>
        <w:ind w:left="4680" w:hanging="360"/>
      </w:pPr>
      <w:rPr>
        <w:rFonts w:ascii="Wingdings" w:hAnsi="Wingdings" w:hint="default"/>
      </w:rPr>
    </w:lvl>
    <w:lvl w:ilvl="6" w:tplc="081D0001" w:tentative="1">
      <w:start w:val="1"/>
      <w:numFmt w:val="bullet"/>
      <w:lvlText w:val=""/>
      <w:lvlJc w:val="left"/>
      <w:pPr>
        <w:ind w:left="5400" w:hanging="360"/>
      </w:pPr>
      <w:rPr>
        <w:rFonts w:ascii="Symbol" w:hAnsi="Symbol" w:hint="default"/>
      </w:rPr>
    </w:lvl>
    <w:lvl w:ilvl="7" w:tplc="081D0003" w:tentative="1">
      <w:start w:val="1"/>
      <w:numFmt w:val="bullet"/>
      <w:lvlText w:val="o"/>
      <w:lvlJc w:val="left"/>
      <w:pPr>
        <w:ind w:left="6120" w:hanging="360"/>
      </w:pPr>
      <w:rPr>
        <w:rFonts w:ascii="Courier New" w:hAnsi="Courier New" w:cs="Courier New" w:hint="default"/>
      </w:rPr>
    </w:lvl>
    <w:lvl w:ilvl="8" w:tplc="081D0005" w:tentative="1">
      <w:start w:val="1"/>
      <w:numFmt w:val="bullet"/>
      <w:lvlText w:val=""/>
      <w:lvlJc w:val="left"/>
      <w:pPr>
        <w:ind w:left="6840" w:hanging="360"/>
      </w:pPr>
      <w:rPr>
        <w:rFonts w:ascii="Wingdings" w:hAnsi="Wingdings" w:hint="default"/>
      </w:rPr>
    </w:lvl>
  </w:abstractNum>
  <w:abstractNum w:abstractNumId="32"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start w:val="1"/>
      <w:numFmt w:val="bullet"/>
      <w:lvlText w:val=""/>
      <w:lvlJc w:val="left"/>
      <w:pPr>
        <w:ind w:left="2663" w:hanging="420"/>
      </w:pPr>
      <w:rPr>
        <w:rFonts w:ascii="Wingdings" w:hAnsi="Wingdings" w:hint="default"/>
      </w:rPr>
    </w:lvl>
    <w:lvl w:ilvl="5" w:tplc="0409000D">
      <w:start w:val="1"/>
      <w:numFmt w:val="bullet"/>
      <w:lvlText w:val=""/>
      <w:lvlJc w:val="left"/>
      <w:pPr>
        <w:ind w:left="3083" w:hanging="420"/>
      </w:pPr>
      <w:rPr>
        <w:rFonts w:ascii="Wingdings" w:hAnsi="Wingdings" w:hint="default"/>
      </w:rPr>
    </w:lvl>
    <w:lvl w:ilvl="6" w:tplc="04090001">
      <w:start w:val="1"/>
      <w:numFmt w:val="bullet"/>
      <w:lvlText w:val=""/>
      <w:lvlJc w:val="left"/>
      <w:pPr>
        <w:ind w:left="3503" w:hanging="420"/>
      </w:pPr>
      <w:rPr>
        <w:rFonts w:ascii="Wingdings" w:hAnsi="Wingdings" w:hint="default"/>
      </w:rPr>
    </w:lvl>
    <w:lvl w:ilvl="7" w:tplc="0409000B">
      <w:start w:val="1"/>
      <w:numFmt w:val="bullet"/>
      <w:lvlText w:val=""/>
      <w:lvlJc w:val="left"/>
      <w:pPr>
        <w:ind w:left="3923" w:hanging="420"/>
      </w:pPr>
      <w:rPr>
        <w:rFonts w:ascii="Wingdings" w:hAnsi="Wingdings" w:hint="default"/>
      </w:rPr>
    </w:lvl>
    <w:lvl w:ilvl="8" w:tplc="0409000D">
      <w:start w:val="1"/>
      <w:numFmt w:val="bullet"/>
      <w:lvlText w:val=""/>
      <w:lvlJc w:val="left"/>
      <w:pPr>
        <w:ind w:left="4343" w:hanging="420"/>
      </w:pPr>
      <w:rPr>
        <w:rFonts w:ascii="Wingdings" w:hAnsi="Wingdings" w:hint="default"/>
      </w:rPr>
    </w:lvl>
  </w:abstractNum>
  <w:abstractNum w:abstractNumId="33" w15:restartNumberingAfterBreak="0">
    <w:nsid w:val="796E37B7"/>
    <w:multiLevelType w:val="hybridMultilevel"/>
    <w:tmpl w:val="3C142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380D49"/>
    <w:multiLevelType w:val="hybridMultilevel"/>
    <w:tmpl w:val="453C8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5"/>
  </w:num>
  <w:num w:numId="2">
    <w:abstractNumId w:val="13"/>
  </w:num>
  <w:num w:numId="3">
    <w:abstractNumId w:val="18"/>
  </w:num>
  <w:num w:numId="4">
    <w:abstractNumId w:val="22"/>
  </w:num>
  <w:num w:numId="5">
    <w:abstractNumId w:val="14"/>
  </w:num>
  <w:num w:numId="6">
    <w:abstractNumId w:val="6"/>
  </w:num>
  <w:num w:numId="7">
    <w:abstractNumId w:val="19"/>
  </w:num>
  <w:num w:numId="8">
    <w:abstractNumId w:val="10"/>
  </w:num>
  <w:num w:numId="9">
    <w:abstractNumId w:val="0"/>
  </w:num>
  <w:num w:numId="10">
    <w:abstractNumId w:val="4"/>
  </w:num>
  <w:num w:numId="11">
    <w:abstractNumId w:val="21"/>
  </w:num>
  <w:num w:numId="12">
    <w:abstractNumId w:val="28"/>
  </w:num>
  <w:num w:numId="13">
    <w:abstractNumId w:val="26"/>
  </w:num>
  <w:num w:numId="14">
    <w:abstractNumId w:val="31"/>
  </w:num>
  <w:num w:numId="15">
    <w:abstractNumId w:val="24"/>
  </w:num>
  <w:num w:numId="16">
    <w:abstractNumId w:val="1"/>
  </w:num>
  <w:num w:numId="17">
    <w:abstractNumId w:val="3"/>
  </w:num>
  <w:num w:numId="18">
    <w:abstractNumId w:val="15"/>
  </w:num>
  <w:num w:numId="19">
    <w:abstractNumId w:val="9"/>
  </w:num>
  <w:num w:numId="20">
    <w:abstractNumId w:val="12"/>
  </w:num>
  <w:num w:numId="21">
    <w:abstractNumId w:val="32"/>
  </w:num>
  <w:num w:numId="22">
    <w:abstractNumId w:val="32"/>
  </w:num>
  <w:num w:numId="23">
    <w:abstractNumId w:val="30"/>
  </w:num>
  <w:num w:numId="24">
    <w:abstractNumId w:val="25"/>
  </w:num>
  <w:num w:numId="25">
    <w:abstractNumId w:val="33"/>
  </w:num>
  <w:num w:numId="26">
    <w:abstractNumId w:val="17"/>
  </w:num>
  <w:num w:numId="27">
    <w:abstractNumId w:val="16"/>
  </w:num>
  <w:num w:numId="28">
    <w:abstractNumId w:val="11"/>
  </w:num>
  <w:num w:numId="29">
    <w:abstractNumId w:val="5"/>
  </w:num>
  <w:num w:numId="30">
    <w:abstractNumId w:val="20"/>
  </w:num>
  <w:num w:numId="31">
    <w:abstractNumId w:val="7"/>
  </w:num>
  <w:num w:numId="32">
    <w:abstractNumId w:val="27"/>
  </w:num>
  <w:num w:numId="33">
    <w:abstractNumId w:val="34"/>
  </w:num>
  <w:num w:numId="34">
    <w:abstractNumId w:val="8"/>
  </w:num>
  <w:num w:numId="35">
    <w:abstractNumId w:val="23"/>
  </w:num>
  <w:num w:numId="36">
    <w:abstractNumId w:val="2"/>
  </w:num>
  <w:num w:numId="37">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556"/>
    <w:rsid w:val="000027E1"/>
    <w:rsid w:val="000058EA"/>
    <w:rsid w:val="000064E4"/>
    <w:rsid w:val="00010021"/>
    <w:rsid w:val="00011C74"/>
    <w:rsid w:val="000128FC"/>
    <w:rsid w:val="00014EA0"/>
    <w:rsid w:val="00017B23"/>
    <w:rsid w:val="000217F8"/>
    <w:rsid w:val="00021F71"/>
    <w:rsid w:val="000249BD"/>
    <w:rsid w:val="00026152"/>
    <w:rsid w:val="00026794"/>
    <w:rsid w:val="00033108"/>
    <w:rsid w:val="000339BF"/>
    <w:rsid w:val="00034A85"/>
    <w:rsid w:val="000374E8"/>
    <w:rsid w:val="000376D7"/>
    <w:rsid w:val="00037C51"/>
    <w:rsid w:val="00041947"/>
    <w:rsid w:val="0004251E"/>
    <w:rsid w:val="00042B95"/>
    <w:rsid w:val="00043940"/>
    <w:rsid w:val="00047833"/>
    <w:rsid w:val="00053A92"/>
    <w:rsid w:val="00054BF6"/>
    <w:rsid w:val="00055C3F"/>
    <w:rsid w:val="00056F8C"/>
    <w:rsid w:val="000634C0"/>
    <w:rsid w:val="0006366A"/>
    <w:rsid w:val="00063E6B"/>
    <w:rsid w:val="0007291B"/>
    <w:rsid w:val="00077EFD"/>
    <w:rsid w:val="00084446"/>
    <w:rsid w:val="000855BC"/>
    <w:rsid w:val="00086EAD"/>
    <w:rsid w:val="0009038A"/>
    <w:rsid w:val="00091120"/>
    <w:rsid w:val="00092E4D"/>
    <w:rsid w:val="000944E4"/>
    <w:rsid w:val="00096460"/>
    <w:rsid w:val="000A18A9"/>
    <w:rsid w:val="000A258F"/>
    <w:rsid w:val="000A4E5A"/>
    <w:rsid w:val="000A74B8"/>
    <w:rsid w:val="000B017B"/>
    <w:rsid w:val="000B1CAD"/>
    <w:rsid w:val="000B45EF"/>
    <w:rsid w:val="000B5E4E"/>
    <w:rsid w:val="000B6206"/>
    <w:rsid w:val="000B6507"/>
    <w:rsid w:val="000B7036"/>
    <w:rsid w:val="000C02AC"/>
    <w:rsid w:val="000C294C"/>
    <w:rsid w:val="000C49ED"/>
    <w:rsid w:val="000C4A37"/>
    <w:rsid w:val="000C7A0F"/>
    <w:rsid w:val="000D0970"/>
    <w:rsid w:val="000D0B30"/>
    <w:rsid w:val="000E395D"/>
    <w:rsid w:val="000E4B95"/>
    <w:rsid w:val="000E5BF2"/>
    <w:rsid w:val="000F6195"/>
    <w:rsid w:val="0010025E"/>
    <w:rsid w:val="001013A4"/>
    <w:rsid w:val="001018DF"/>
    <w:rsid w:val="001027FF"/>
    <w:rsid w:val="00105036"/>
    <w:rsid w:val="00112E18"/>
    <w:rsid w:val="00113113"/>
    <w:rsid w:val="001131F7"/>
    <w:rsid w:val="001140A2"/>
    <w:rsid w:val="00114B6A"/>
    <w:rsid w:val="00115B55"/>
    <w:rsid w:val="00120E84"/>
    <w:rsid w:val="00124E0D"/>
    <w:rsid w:val="001270EA"/>
    <w:rsid w:val="00131DE4"/>
    <w:rsid w:val="00137769"/>
    <w:rsid w:val="00140D90"/>
    <w:rsid w:val="00141448"/>
    <w:rsid w:val="00142260"/>
    <w:rsid w:val="0014474B"/>
    <w:rsid w:val="0014560B"/>
    <w:rsid w:val="001464AC"/>
    <w:rsid w:val="001471D9"/>
    <w:rsid w:val="0015025A"/>
    <w:rsid w:val="00154C8E"/>
    <w:rsid w:val="001601F1"/>
    <w:rsid w:val="00160407"/>
    <w:rsid w:val="00162F9B"/>
    <w:rsid w:val="001642BA"/>
    <w:rsid w:val="0016539C"/>
    <w:rsid w:val="001657AC"/>
    <w:rsid w:val="0016645B"/>
    <w:rsid w:val="00171B31"/>
    <w:rsid w:val="0017310F"/>
    <w:rsid w:val="0017358C"/>
    <w:rsid w:val="00175D32"/>
    <w:rsid w:val="00180134"/>
    <w:rsid w:val="0018365D"/>
    <w:rsid w:val="00191AC7"/>
    <w:rsid w:val="00191E60"/>
    <w:rsid w:val="00196770"/>
    <w:rsid w:val="00196C6F"/>
    <w:rsid w:val="001A6C40"/>
    <w:rsid w:val="001B4110"/>
    <w:rsid w:val="001B66ED"/>
    <w:rsid w:val="001B7D17"/>
    <w:rsid w:val="001C04C3"/>
    <w:rsid w:val="001C0956"/>
    <w:rsid w:val="001C0EE0"/>
    <w:rsid w:val="001C4118"/>
    <w:rsid w:val="001C5ABF"/>
    <w:rsid w:val="001C5CE9"/>
    <w:rsid w:val="001D33B3"/>
    <w:rsid w:val="001D4398"/>
    <w:rsid w:val="001D5808"/>
    <w:rsid w:val="001E21F6"/>
    <w:rsid w:val="001E5785"/>
    <w:rsid w:val="001F1207"/>
    <w:rsid w:val="001F2D9F"/>
    <w:rsid w:val="001F5526"/>
    <w:rsid w:val="001F7FB8"/>
    <w:rsid w:val="002029F5"/>
    <w:rsid w:val="00203121"/>
    <w:rsid w:val="00204921"/>
    <w:rsid w:val="00205AF2"/>
    <w:rsid w:val="00210105"/>
    <w:rsid w:val="0021013F"/>
    <w:rsid w:val="00212F01"/>
    <w:rsid w:val="002131B0"/>
    <w:rsid w:val="00214784"/>
    <w:rsid w:val="00214ECF"/>
    <w:rsid w:val="00215911"/>
    <w:rsid w:val="00220D91"/>
    <w:rsid w:val="0022145D"/>
    <w:rsid w:val="0022555C"/>
    <w:rsid w:val="0022659E"/>
    <w:rsid w:val="00227C72"/>
    <w:rsid w:val="00230AE5"/>
    <w:rsid w:val="0023314F"/>
    <w:rsid w:val="00243F21"/>
    <w:rsid w:val="00255221"/>
    <w:rsid w:val="002552B2"/>
    <w:rsid w:val="00255E5D"/>
    <w:rsid w:val="0025780D"/>
    <w:rsid w:val="00257C69"/>
    <w:rsid w:val="00257D9E"/>
    <w:rsid w:val="00260E2E"/>
    <w:rsid w:val="002634F0"/>
    <w:rsid w:val="00264098"/>
    <w:rsid w:val="00264D4E"/>
    <w:rsid w:val="00266937"/>
    <w:rsid w:val="002673ED"/>
    <w:rsid w:val="00276840"/>
    <w:rsid w:val="00277339"/>
    <w:rsid w:val="00282A0D"/>
    <w:rsid w:val="002867E5"/>
    <w:rsid w:val="0028777D"/>
    <w:rsid w:val="00290099"/>
    <w:rsid w:val="00290F9F"/>
    <w:rsid w:val="0029409F"/>
    <w:rsid w:val="002A13E7"/>
    <w:rsid w:val="002A1D8F"/>
    <w:rsid w:val="002A31FC"/>
    <w:rsid w:val="002A48D2"/>
    <w:rsid w:val="002B139C"/>
    <w:rsid w:val="002B20B7"/>
    <w:rsid w:val="002B3332"/>
    <w:rsid w:val="002B3B98"/>
    <w:rsid w:val="002B4985"/>
    <w:rsid w:val="002B5439"/>
    <w:rsid w:val="002B5E78"/>
    <w:rsid w:val="002C0453"/>
    <w:rsid w:val="002C0933"/>
    <w:rsid w:val="002C121A"/>
    <w:rsid w:val="002C3A4F"/>
    <w:rsid w:val="002D0AB6"/>
    <w:rsid w:val="002D7413"/>
    <w:rsid w:val="002E3642"/>
    <w:rsid w:val="002E3CAB"/>
    <w:rsid w:val="002E6A70"/>
    <w:rsid w:val="002F3F91"/>
    <w:rsid w:val="002F4A02"/>
    <w:rsid w:val="002F6139"/>
    <w:rsid w:val="00300147"/>
    <w:rsid w:val="00300221"/>
    <w:rsid w:val="00304706"/>
    <w:rsid w:val="00310287"/>
    <w:rsid w:val="00312CEF"/>
    <w:rsid w:val="0031422F"/>
    <w:rsid w:val="00315E1D"/>
    <w:rsid w:val="00317CFE"/>
    <w:rsid w:val="00323753"/>
    <w:rsid w:val="00324829"/>
    <w:rsid w:val="00324A03"/>
    <w:rsid w:val="003263D3"/>
    <w:rsid w:val="00331C9A"/>
    <w:rsid w:val="003335F3"/>
    <w:rsid w:val="00334E5B"/>
    <w:rsid w:val="00335CE1"/>
    <w:rsid w:val="0033776C"/>
    <w:rsid w:val="003410DC"/>
    <w:rsid w:val="00343A18"/>
    <w:rsid w:val="00346938"/>
    <w:rsid w:val="00347030"/>
    <w:rsid w:val="00350180"/>
    <w:rsid w:val="00351AE2"/>
    <w:rsid w:val="00354D94"/>
    <w:rsid w:val="00361CA8"/>
    <w:rsid w:val="00363390"/>
    <w:rsid w:val="00363EBF"/>
    <w:rsid w:val="003729CE"/>
    <w:rsid w:val="003746C8"/>
    <w:rsid w:val="003756BE"/>
    <w:rsid w:val="00376F9D"/>
    <w:rsid w:val="00380C9E"/>
    <w:rsid w:val="0038144A"/>
    <w:rsid w:val="003875A3"/>
    <w:rsid w:val="00390207"/>
    <w:rsid w:val="00397027"/>
    <w:rsid w:val="003A1432"/>
    <w:rsid w:val="003A1F9F"/>
    <w:rsid w:val="003A2C54"/>
    <w:rsid w:val="003A3E47"/>
    <w:rsid w:val="003A4AD8"/>
    <w:rsid w:val="003A7113"/>
    <w:rsid w:val="003B4771"/>
    <w:rsid w:val="003B515B"/>
    <w:rsid w:val="003B5644"/>
    <w:rsid w:val="003B6C67"/>
    <w:rsid w:val="003C040C"/>
    <w:rsid w:val="003C0BC9"/>
    <w:rsid w:val="003C4CC8"/>
    <w:rsid w:val="003C71AB"/>
    <w:rsid w:val="003C7A68"/>
    <w:rsid w:val="003D14C4"/>
    <w:rsid w:val="003E003F"/>
    <w:rsid w:val="003E1836"/>
    <w:rsid w:val="003E2560"/>
    <w:rsid w:val="003F2472"/>
    <w:rsid w:val="00402184"/>
    <w:rsid w:val="00403D5F"/>
    <w:rsid w:val="0040411A"/>
    <w:rsid w:val="004067C0"/>
    <w:rsid w:val="004144DC"/>
    <w:rsid w:val="004161BF"/>
    <w:rsid w:val="004165C9"/>
    <w:rsid w:val="004217B5"/>
    <w:rsid w:val="00422F7B"/>
    <w:rsid w:val="004240DE"/>
    <w:rsid w:val="0043457B"/>
    <w:rsid w:val="00437ACB"/>
    <w:rsid w:val="00442C5A"/>
    <w:rsid w:val="00443E1F"/>
    <w:rsid w:val="00445DB1"/>
    <w:rsid w:val="00446E8F"/>
    <w:rsid w:val="00460BA2"/>
    <w:rsid w:val="00461A1D"/>
    <w:rsid w:val="00462A51"/>
    <w:rsid w:val="00462ED8"/>
    <w:rsid w:val="004666BF"/>
    <w:rsid w:val="00466724"/>
    <w:rsid w:val="00466D97"/>
    <w:rsid w:val="00467EDC"/>
    <w:rsid w:val="004827A2"/>
    <w:rsid w:val="004837C7"/>
    <w:rsid w:val="0049134C"/>
    <w:rsid w:val="004923F5"/>
    <w:rsid w:val="00492A78"/>
    <w:rsid w:val="00494729"/>
    <w:rsid w:val="004972C3"/>
    <w:rsid w:val="004A20E3"/>
    <w:rsid w:val="004B1A5E"/>
    <w:rsid w:val="004B2CA0"/>
    <w:rsid w:val="004B36A1"/>
    <w:rsid w:val="004B411A"/>
    <w:rsid w:val="004B57FD"/>
    <w:rsid w:val="004B5FFA"/>
    <w:rsid w:val="004B7A4E"/>
    <w:rsid w:val="004C321E"/>
    <w:rsid w:val="004C4387"/>
    <w:rsid w:val="004D4E56"/>
    <w:rsid w:val="004D5111"/>
    <w:rsid w:val="004D7360"/>
    <w:rsid w:val="004E4C82"/>
    <w:rsid w:val="004E5255"/>
    <w:rsid w:val="004E66EF"/>
    <w:rsid w:val="004E70DB"/>
    <w:rsid w:val="004F370F"/>
    <w:rsid w:val="00502923"/>
    <w:rsid w:val="00505EC1"/>
    <w:rsid w:val="005068F4"/>
    <w:rsid w:val="00511453"/>
    <w:rsid w:val="005119B0"/>
    <w:rsid w:val="00522205"/>
    <w:rsid w:val="00525253"/>
    <w:rsid w:val="00525807"/>
    <w:rsid w:val="00525831"/>
    <w:rsid w:val="005258E7"/>
    <w:rsid w:val="00525911"/>
    <w:rsid w:val="005260BE"/>
    <w:rsid w:val="005278F6"/>
    <w:rsid w:val="00537B4C"/>
    <w:rsid w:val="005412A4"/>
    <w:rsid w:val="0054164C"/>
    <w:rsid w:val="00541E43"/>
    <w:rsid w:val="00543494"/>
    <w:rsid w:val="0054555D"/>
    <w:rsid w:val="005460E0"/>
    <w:rsid w:val="005520EE"/>
    <w:rsid w:val="0055264E"/>
    <w:rsid w:val="00554025"/>
    <w:rsid w:val="00554E86"/>
    <w:rsid w:val="00562170"/>
    <w:rsid w:val="0056282E"/>
    <w:rsid w:val="00563B19"/>
    <w:rsid w:val="0056520D"/>
    <w:rsid w:val="00566F92"/>
    <w:rsid w:val="00567BDB"/>
    <w:rsid w:val="00570330"/>
    <w:rsid w:val="00570BCE"/>
    <w:rsid w:val="00572DAC"/>
    <w:rsid w:val="00573F5C"/>
    <w:rsid w:val="0057692D"/>
    <w:rsid w:val="00577E4D"/>
    <w:rsid w:val="00580842"/>
    <w:rsid w:val="00580D67"/>
    <w:rsid w:val="00580F30"/>
    <w:rsid w:val="0058194C"/>
    <w:rsid w:val="00587AD2"/>
    <w:rsid w:val="005903E9"/>
    <w:rsid w:val="00593548"/>
    <w:rsid w:val="00594C69"/>
    <w:rsid w:val="00595E99"/>
    <w:rsid w:val="00596700"/>
    <w:rsid w:val="005A0E80"/>
    <w:rsid w:val="005A1935"/>
    <w:rsid w:val="005A200F"/>
    <w:rsid w:val="005A2873"/>
    <w:rsid w:val="005A4D1F"/>
    <w:rsid w:val="005A5BAF"/>
    <w:rsid w:val="005B0522"/>
    <w:rsid w:val="005B123C"/>
    <w:rsid w:val="005B2B11"/>
    <w:rsid w:val="005B3DD7"/>
    <w:rsid w:val="005B4012"/>
    <w:rsid w:val="005B7098"/>
    <w:rsid w:val="005C439D"/>
    <w:rsid w:val="005C5556"/>
    <w:rsid w:val="005D0A4E"/>
    <w:rsid w:val="005D3281"/>
    <w:rsid w:val="005D39C4"/>
    <w:rsid w:val="005D67F9"/>
    <w:rsid w:val="005E0AF0"/>
    <w:rsid w:val="005E2BCF"/>
    <w:rsid w:val="005E43AA"/>
    <w:rsid w:val="005E43C0"/>
    <w:rsid w:val="005F24BC"/>
    <w:rsid w:val="005F2ADC"/>
    <w:rsid w:val="005F3136"/>
    <w:rsid w:val="005F322A"/>
    <w:rsid w:val="005F4785"/>
    <w:rsid w:val="005F4B6C"/>
    <w:rsid w:val="005F4F8A"/>
    <w:rsid w:val="005F57CF"/>
    <w:rsid w:val="005F74F6"/>
    <w:rsid w:val="0060203F"/>
    <w:rsid w:val="00605CD2"/>
    <w:rsid w:val="00607EEE"/>
    <w:rsid w:val="0061070F"/>
    <w:rsid w:val="00610767"/>
    <w:rsid w:val="0061162E"/>
    <w:rsid w:val="0061336B"/>
    <w:rsid w:val="006135C7"/>
    <w:rsid w:val="00613D63"/>
    <w:rsid w:val="00625696"/>
    <w:rsid w:val="00625D6C"/>
    <w:rsid w:val="006263BF"/>
    <w:rsid w:val="0062673F"/>
    <w:rsid w:val="00626DE0"/>
    <w:rsid w:val="00627EC4"/>
    <w:rsid w:val="00630CE5"/>
    <w:rsid w:val="006348C5"/>
    <w:rsid w:val="00636F01"/>
    <w:rsid w:val="00637AD0"/>
    <w:rsid w:val="0064164A"/>
    <w:rsid w:val="00643A16"/>
    <w:rsid w:val="00650EDF"/>
    <w:rsid w:val="00652A2C"/>
    <w:rsid w:val="006549E5"/>
    <w:rsid w:val="006554E1"/>
    <w:rsid w:val="006556BF"/>
    <w:rsid w:val="006616B6"/>
    <w:rsid w:val="00661BD3"/>
    <w:rsid w:val="00663DEE"/>
    <w:rsid w:val="0066438B"/>
    <w:rsid w:val="00665D1F"/>
    <w:rsid w:val="00665E2A"/>
    <w:rsid w:val="0066622A"/>
    <w:rsid w:val="00666699"/>
    <w:rsid w:val="0067026D"/>
    <w:rsid w:val="00670FD9"/>
    <w:rsid w:val="00672F4E"/>
    <w:rsid w:val="00673BBB"/>
    <w:rsid w:val="00676C2D"/>
    <w:rsid w:val="00681CFE"/>
    <w:rsid w:val="00682148"/>
    <w:rsid w:val="00694868"/>
    <w:rsid w:val="00696AE8"/>
    <w:rsid w:val="00696B3F"/>
    <w:rsid w:val="00697227"/>
    <w:rsid w:val="006A286A"/>
    <w:rsid w:val="006A4578"/>
    <w:rsid w:val="006B12B7"/>
    <w:rsid w:val="006B271B"/>
    <w:rsid w:val="006B49B1"/>
    <w:rsid w:val="006B52F6"/>
    <w:rsid w:val="006C3316"/>
    <w:rsid w:val="006C4DF9"/>
    <w:rsid w:val="006C6DDA"/>
    <w:rsid w:val="006D397D"/>
    <w:rsid w:val="006D788C"/>
    <w:rsid w:val="006E0D45"/>
    <w:rsid w:val="006F2E3D"/>
    <w:rsid w:val="006F75C2"/>
    <w:rsid w:val="006F7BB6"/>
    <w:rsid w:val="007038E6"/>
    <w:rsid w:val="00705164"/>
    <w:rsid w:val="0071094E"/>
    <w:rsid w:val="00714782"/>
    <w:rsid w:val="00714D20"/>
    <w:rsid w:val="00715DD1"/>
    <w:rsid w:val="0072146B"/>
    <w:rsid w:val="00722290"/>
    <w:rsid w:val="0072282D"/>
    <w:rsid w:val="00723690"/>
    <w:rsid w:val="00726A12"/>
    <w:rsid w:val="00726C96"/>
    <w:rsid w:val="007304E1"/>
    <w:rsid w:val="00730CBC"/>
    <w:rsid w:val="007358D3"/>
    <w:rsid w:val="00741E68"/>
    <w:rsid w:val="00745767"/>
    <w:rsid w:val="00746572"/>
    <w:rsid w:val="00746EC8"/>
    <w:rsid w:val="007474D7"/>
    <w:rsid w:val="00747D24"/>
    <w:rsid w:val="007502D6"/>
    <w:rsid w:val="007506C7"/>
    <w:rsid w:val="0075384C"/>
    <w:rsid w:val="00755AE4"/>
    <w:rsid w:val="007563CC"/>
    <w:rsid w:val="007569CA"/>
    <w:rsid w:val="007573E7"/>
    <w:rsid w:val="00757619"/>
    <w:rsid w:val="00757EA9"/>
    <w:rsid w:val="00762DF4"/>
    <w:rsid w:val="0076348D"/>
    <w:rsid w:val="00765320"/>
    <w:rsid w:val="00765485"/>
    <w:rsid w:val="007658A1"/>
    <w:rsid w:val="0077121F"/>
    <w:rsid w:val="00772E36"/>
    <w:rsid w:val="007740D9"/>
    <w:rsid w:val="00777330"/>
    <w:rsid w:val="007773C4"/>
    <w:rsid w:val="0078435A"/>
    <w:rsid w:val="00784A3F"/>
    <w:rsid w:val="00790405"/>
    <w:rsid w:val="0079089C"/>
    <w:rsid w:val="0079167F"/>
    <w:rsid w:val="00794DA9"/>
    <w:rsid w:val="00796F68"/>
    <w:rsid w:val="0079742F"/>
    <w:rsid w:val="00797D82"/>
    <w:rsid w:val="007A018A"/>
    <w:rsid w:val="007A01C0"/>
    <w:rsid w:val="007A25F0"/>
    <w:rsid w:val="007A2C14"/>
    <w:rsid w:val="007A6C01"/>
    <w:rsid w:val="007A7C1A"/>
    <w:rsid w:val="007B0A12"/>
    <w:rsid w:val="007B56F8"/>
    <w:rsid w:val="007B5BF3"/>
    <w:rsid w:val="007C159C"/>
    <w:rsid w:val="007C217E"/>
    <w:rsid w:val="007C3936"/>
    <w:rsid w:val="007C72C0"/>
    <w:rsid w:val="007C7C69"/>
    <w:rsid w:val="007C7E65"/>
    <w:rsid w:val="007D4CBE"/>
    <w:rsid w:val="007D5C0A"/>
    <w:rsid w:val="007D6833"/>
    <w:rsid w:val="007E2C96"/>
    <w:rsid w:val="007E361D"/>
    <w:rsid w:val="007E407C"/>
    <w:rsid w:val="007F1741"/>
    <w:rsid w:val="007F3F65"/>
    <w:rsid w:val="00800AFA"/>
    <w:rsid w:val="00807EBF"/>
    <w:rsid w:val="00811541"/>
    <w:rsid w:val="00813A6F"/>
    <w:rsid w:val="00815566"/>
    <w:rsid w:val="008246D0"/>
    <w:rsid w:val="00824DB3"/>
    <w:rsid w:val="00826C31"/>
    <w:rsid w:val="008302A2"/>
    <w:rsid w:val="0083401B"/>
    <w:rsid w:val="00834DE7"/>
    <w:rsid w:val="0083523B"/>
    <w:rsid w:val="0083689E"/>
    <w:rsid w:val="00836E6C"/>
    <w:rsid w:val="00840BC6"/>
    <w:rsid w:val="00841BE8"/>
    <w:rsid w:val="008428F6"/>
    <w:rsid w:val="00843FE9"/>
    <w:rsid w:val="00845F9D"/>
    <w:rsid w:val="00852208"/>
    <w:rsid w:val="00854EA0"/>
    <w:rsid w:val="0086087F"/>
    <w:rsid w:val="00872719"/>
    <w:rsid w:val="008739DF"/>
    <w:rsid w:val="00880D27"/>
    <w:rsid w:val="008822F4"/>
    <w:rsid w:val="008847A2"/>
    <w:rsid w:val="00885853"/>
    <w:rsid w:val="00885DEB"/>
    <w:rsid w:val="0089228F"/>
    <w:rsid w:val="00893F93"/>
    <w:rsid w:val="00895275"/>
    <w:rsid w:val="008A014F"/>
    <w:rsid w:val="008A0B64"/>
    <w:rsid w:val="008A3AF2"/>
    <w:rsid w:val="008A42AF"/>
    <w:rsid w:val="008A766A"/>
    <w:rsid w:val="008B1B81"/>
    <w:rsid w:val="008B23D4"/>
    <w:rsid w:val="008B29A3"/>
    <w:rsid w:val="008B38BA"/>
    <w:rsid w:val="008B6594"/>
    <w:rsid w:val="008B72B5"/>
    <w:rsid w:val="008C3B31"/>
    <w:rsid w:val="008C5291"/>
    <w:rsid w:val="008C67A2"/>
    <w:rsid w:val="008C7431"/>
    <w:rsid w:val="008D1E1F"/>
    <w:rsid w:val="008D245B"/>
    <w:rsid w:val="008D5137"/>
    <w:rsid w:val="008D5A95"/>
    <w:rsid w:val="008E155B"/>
    <w:rsid w:val="008E1713"/>
    <w:rsid w:val="008E2308"/>
    <w:rsid w:val="008E2334"/>
    <w:rsid w:val="008E31D2"/>
    <w:rsid w:val="008E5F2A"/>
    <w:rsid w:val="008E6502"/>
    <w:rsid w:val="008E7AA2"/>
    <w:rsid w:val="008F141B"/>
    <w:rsid w:val="008F258A"/>
    <w:rsid w:val="008F4C53"/>
    <w:rsid w:val="008F565D"/>
    <w:rsid w:val="008F5BCE"/>
    <w:rsid w:val="008F69BB"/>
    <w:rsid w:val="008F77A7"/>
    <w:rsid w:val="008F78F4"/>
    <w:rsid w:val="00900126"/>
    <w:rsid w:val="00901394"/>
    <w:rsid w:val="0090481E"/>
    <w:rsid w:val="0091224C"/>
    <w:rsid w:val="00912AB6"/>
    <w:rsid w:val="00913D94"/>
    <w:rsid w:val="00913DD9"/>
    <w:rsid w:val="0091488F"/>
    <w:rsid w:val="00915932"/>
    <w:rsid w:val="00916947"/>
    <w:rsid w:val="009171F1"/>
    <w:rsid w:val="00917C1A"/>
    <w:rsid w:val="00925DF3"/>
    <w:rsid w:val="00927B9D"/>
    <w:rsid w:val="00937971"/>
    <w:rsid w:val="00940959"/>
    <w:rsid w:val="00940A90"/>
    <w:rsid w:val="00944B89"/>
    <w:rsid w:val="00950DEA"/>
    <w:rsid w:val="009549B6"/>
    <w:rsid w:val="00957C49"/>
    <w:rsid w:val="0096027F"/>
    <w:rsid w:val="00960E16"/>
    <w:rsid w:val="0096318F"/>
    <w:rsid w:val="00967ED1"/>
    <w:rsid w:val="009702CD"/>
    <w:rsid w:val="00970632"/>
    <w:rsid w:val="009707F9"/>
    <w:rsid w:val="00973192"/>
    <w:rsid w:val="00973F63"/>
    <w:rsid w:val="00973F8C"/>
    <w:rsid w:val="0097401A"/>
    <w:rsid w:val="009742BF"/>
    <w:rsid w:val="00976421"/>
    <w:rsid w:val="00977B9E"/>
    <w:rsid w:val="00977F7C"/>
    <w:rsid w:val="00981F4F"/>
    <w:rsid w:val="00984022"/>
    <w:rsid w:val="009845C6"/>
    <w:rsid w:val="00985B73"/>
    <w:rsid w:val="00987CDC"/>
    <w:rsid w:val="00993B8B"/>
    <w:rsid w:val="00995048"/>
    <w:rsid w:val="00997D4D"/>
    <w:rsid w:val="009A1C1D"/>
    <w:rsid w:val="009A3684"/>
    <w:rsid w:val="009A6BB8"/>
    <w:rsid w:val="009A7E9E"/>
    <w:rsid w:val="009B0240"/>
    <w:rsid w:val="009B122D"/>
    <w:rsid w:val="009B2E48"/>
    <w:rsid w:val="009C05D5"/>
    <w:rsid w:val="009C60EA"/>
    <w:rsid w:val="009C662D"/>
    <w:rsid w:val="009D3405"/>
    <w:rsid w:val="009D3649"/>
    <w:rsid w:val="009E324F"/>
    <w:rsid w:val="009E4F34"/>
    <w:rsid w:val="009E70EF"/>
    <w:rsid w:val="009F0F87"/>
    <w:rsid w:val="009F4079"/>
    <w:rsid w:val="00A04388"/>
    <w:rsid w:val="00A10CC9"/>
    <w:rsid w:val="00A10F85"/>
    <w:rsid w:val="00A17307"/>
    <w:rsid w:val="00A20A2A"/>
    <w:rsid w:val="00A25022"/>
    <w:rsid w:val="00A2540F"/>
    <w:rsid w:val="00A3059E"/>
    <w:rsid w:val="00A3080D"/>
    <w:rsid w:val="00A321D8"/>
    <w:rsid w:val="00A33BC0"/>
    <w:rsid w:val="00A36FE0"/>
    <w:rsid w:val="00A37001"/>
    <w:rsid w:val="00A37C74"/>
    <w:rsid w:val="00A41E84"/>
    <w:rsid w:val="00A44A4F"/>
    <w:rsid w:val="00A44F86"/>
    <w:rsid w:val="00A47015"/>
    <w:rsid w:val="00A51B7E"/>
    <w:rsid w:val="00A52E52"/>
    <w:rsid w:val="00A57560"/>
    <w:rsid w:val="00A620F0"/>
    <w:rsid w:val="00A677A0"/>
    <w:rsid w:val="00A7428A"/>
    <w:rsid w:val="00A757B8"/>
    <w:rsid w:val="00A808F6"/>
    <w:rsid w:val="00A81AA1"/>
    <w:rsid w:val="00A81EFF"/>
    <w:rsid w:val="00A82899"/>
    <w:rsid w:val="00A838B7"/>
    <w:rsid w:val="00A85E54"/>
    <w:rsid w:val="00A90132"/>
    <w:rsid w:val="00A93AEC"/>
    <w:rsid w:val="00A942ED"/>
    <w:rsid w:val="00A9431A"/>
    <w:rsid w:val="00A94C24"/>
    <w:rsid w:val="00A9565E"/>
    <w:rsid w:val="00A96ABD"/>
    <w:rsid w:val="00A96BEA"/>
    <w:rsid w:val="00AA0A42"/>
    <w:rsid w:val="00AA13EF"/>
    <w:rsid w:val="00AA42A2"/>
    <w:rsid w:val="00AA6338"/>
    <w:rsid w:val="00AA7952"/>
    <w:rsid w:val="00AB4558"/>
    <w:rsid w:val="00AB51E7"/>
    <w:rsid w:val="00AB6372"/>
    <w:rsid w:val="00AB7A25"/>
    <w:rsid w:val="00AC2A5F"/>
    <w:rsid w:val="00AC3289"/>
    <w:rsid w:val="00AC40A2"/>
    <w:rsid w:val="00AC5D0F"/>
    <w:rsid w:val="00AD125F"/>
    <w:rsid w:val="00AD1DBA"/>
    <w:rsid w:val="00AD2FE3"/>
    <w:rsid w:val="00AD4321"/>
    <w:rsid w:val="00AD59DE"/>
    <w:rsid w:val="00AD5F57"/>
    <w:rsid w:val="00AE3947"/>
    <w:rsid w:val="00AE5141"/>
    <w:rsid w:val="00AE6102"/>
    <w:rsid w:val="00AE64FA"/>
    <w:rsid w:val="00AE7791"/>
    <w:rsid w:val="00AE7A97"/>
    <w:rsid w:val="00AF518D"/>
    <w:rsid w:val="00AF5DAC"/>
    <w:rsid w:val="00AF7D8D"/>
    <w:rsid w:val="00B00FDB"/>
    <w:rsid w:val="00B07741"/>
    <w:rsid w:val="00B10BAD"/>
    <w:rsid w:val="00B11BA8"/>
    <w:rsid w:val="00B15ABA"/>
    <w:rsid w:val="00B15BA9"/>
    <w:rsid w:val="00B20E35"/>
    <w:rsid w:val="00B20FBD"/>
    <w:rsid w:val="00B255FC"/>
    <w:rsid w:val="00B330DB"/>
    <w:rsid w:val="00B334D3"/>
    <w:rsid w:val="00B335CE"/>
    <w:rsid w:val="00B34FDB"/>
    <w:rsid w:val="00B36811"/>
    <w:rsid w:val="00B368D9"/>
    <w:rsid w:val="00B421E3"/>
    <w:rsid w:val="00B42F5C"/>
    <w:rsid w:val="00B43C47"/>
    <w:rsid w:val="00B45AA1"/>
    <w:rsid w:val="00B52C5F"/>
    <w:rsid w:val="00B540ED"/>
    <w:rsid w:val="00B5516A"/>
    <w:rsid w:val="00B6042B"/>
    <w:rsid w:val="00B6089B"/>
    <w:rsid w:val="00B61DE0"/>
    <w:rsid w:val="00B62604"/>
    <w:rsid w:val="00B62C09"/>
    <w:rsid w:val="00B62C30"/>
    <w:rsid w:val="00B63298"/>
    <w:rsid w:val="00B63DFA"/>
    <w:rsid w:val="00B75D39"/>
    <w:rsid w:val="00B760DF"/>
    <w:rsid w:val="00B77867"/>
    <w:rsid w:val="00B82D41"/>
    <w:rsid w:val="00B8400F"/>
    <w:rsid w:val="00B85DCB"/>
    <w:rsid w:val="00B85FE2"/>
    <w:rsid w:val="00B861B3"/>
    <w:rsid w:val="00B90A6B"/>
    <w:rsid w:val="00B922A7"/>
    <w:rsid w:val="00B93B4B"/>
    <w:rsid w:val="00B977A0"/>
    <w:rsid w:val="00BA07C4"/>
    <w:rsid w:val="00BA2CDD"/>
    <w:rsid w:val="00BA3D9B"/>
    <w:rsid w:val="00BA4A20"/>
    <w:rsid w:val="00BA50BB"/>
    <w:rsid w:val="00BA76BC"/>
    <w:rsid w:val="00BA7FED"/>
    <w:rsid w:val="00BB134B"/>
    <w:rsid w:val="00BB73A0"/>
    <w:rsid w:val="00BC1BB8"/>
    <w:rsid w:val="00BC2B9C"/>
    <w:rsid w:val="00BC3ECF"/>
    <w:rsid w:val="00BD3682"/>
    <w:rsid w:val="00BD446E"/>
    <w:rsid w:val="00BD452B"/>
    <w:rsid w:val="00BD765F"/>
    <w:rsid w:val="00BE5F05"/>
    <w:rsid w:val="00BF063E"/>
    <w:rsid w:val="00BF127F"/>
    <w:rsid w:val="00BF58B6"/>
    <w:rsid w:val="00BF7536"/>
    <w:rsid w:val="00BF7E13"/>
    <w:rsid w:val="00C04905"/>
    <w:rsid w:val="00C04B3F"/>
    <w:rsid w:val="00C04FDA"/>
    <w:rsid w:val="00C05024"/>
    <w:rsid w:val="00C073DB"/>
    <w:rsid w:val="00C10D60"/>
    <w:rsid w:val="00C13452"/>
    <w:rsid w:val="00C13965"/>
    <w:rsid w:val="00C14FDB"/>
    <w:rsid w:val="00C1560A"/>
    <w:rsid w:val="00C16DB9"/>
    <w:rsid w:val="00C22F87"/>
    <w:rsid w:val="00C23D4B"/>
    <w:rsid w:val="00C23DB7"/>
    <w:rsid w:val="00C2497D"/>
    <w:rsid w:val="00C25458"/>
    <w:rsid w:val="00C25D54"/>
    <w:rsid w:val="00C274E6"/>
    <w:rsid w:val="00C325A2"/>
    <w:rsid w:val="00C326A6"/>
    <w:rsid w:val="00C34FD5"/>
    <w:rsid w:val="00C43515"/>
    <w:rsid w:val="00C43B81"/>
    <w:rsid w:val="00C44D46"/>
    <w:rsid w:val="00C4594C"/>
    <w:rsid w:val="00C46010"/>
    <w:rsid w:val="00C46D0D"/>
    <w:rsid w:val="00C50B3C"/>
    <w:rsid w:val="00C5351A"/>
    <w:rsid w:val="00C55346"/>
    <w:rsid w:val="00C61496"/>
    <w:rsid w:val="00C6265F"/>
    <w:rsid w:val="00C631E0"/>
    <w:rsid w:val="00C64FEE"/>
    <w:rsid w:val="00C65E25"/>
    <w:rsid w:val="00C76E90"/>
    <w:rsid w:val="00C824F5"/>
    <w:rsid w:val="00C87B22"/>
    <w:rsid w:val="00C93774"/>
    <w:rsid w:val="00C9483A"/>
    <w:rsid w:val="00C9490F"/>
    <w:rsid w:val="00C97E2F"/>
    <w:rsid w:val="00CA11AB"/>
    <w:rsid w:val="00CA6397"/>
    <w:rsid w:val="00CB4D3D"/>
    <w:rsid w:val="00CD4A0C"/>
    <w:rsid w:val="00CD5508"/>
    <w:rsid w:val="00CD6E52"/>
    <w:rsid w:val="00CE02E7"/>
    <w:rsid w:val="00CE0A36"/>
    <w:rsid w:val="00CE1E70"/>
    <w:rsid w:val="00CE2723"/>
    <w:rsid w:val="00CE28B2"/>
    <w:rsid w:val="00CE3E00"/>
    <w:rsid w:val="00CE4484"/>
    <w:rsid w:val="00CE4D9C"/>
    <w:rsid w:val="00CE4E11"/>
    <w:rsid w:val="00CE570E"/>
    <w:rsid w:val="00CE6EDD"/>
    <w:rsid w:val="00CE7B9E"/>
    <w:rsid w:val="00CE7F2E"/>
    <w:rsid w:val="00CF2225"/>
    <w:rsid w:val="00CF3BF7"/>
    <w:rsid w:val="00CF67BE"/>
    <w:rsid w:val="00CF7534"/>
    <w:rsid w:val="00D02349"/>
    <w:rsid w:val="00D03119"/>
    <w:rsid w:val="00D03A97"/>
    <w:rsid w:val="00D04257"/>
    <w:rsid w:val="00D04820"/>
    <w:rsid w:val="00D06633"/>
    <w:rsid w:val="00D06A93"/>
    <w:rsid w:val="00D11960"/>
    <w:rsid w:val="00D1296D"/>
    <w:rsid w:val="00D154CE"/>
    <w:rsid w:val="00D20006"/>
    <w:rsid w:val="00D20F7A"/>
    <w:rsid w:val="00D236A3"/>
    <w:rsid w:val="00D23CBA"/>
    <w:rsid w:val="00D25707"/>
    <w:rsid w:val="00D338CE"/>
    <w:rsid w:val="00D349F5"/>
    <w:rsid w:val="00D350E3"/>
    <w:rsid w:val="00D367AB"/>
    <w:rsid w:val="00D40CBB"/>
    <w:rsid w:val="00D516DD"/>
    <w:rsid w:val="00D5649B"/>
    <w:rsid w:val="00D603AE"/>
    <w:rsid w:val="00D61E4B"/>
    <w:rsid w:val="00D63209"/>
    <w:rsid w:val="00D63ECA"/>
    <w:rsid w:val="00D650BD"/>
    <w:rsid w:val="00D701A0"/>
    <w:rsid w:val="00D73682"/>
    <w:rsid w:val="00D81C0C"/>
    <w:rsid w:val="00D83B62"/>
    <w:rsid w:val="00D83C96"/>
    <w:rsid w:val="00D871FE"/>
    <w:rsid w:val="00D93823"/>
    <w:rsid w:val="00D93AA1"/>
    <w:rsid w:val="00D958C1"/>
    <w:rsid w:val="00DA02A8"/>
    <w:rsid w:val="00DA05B7"/>
    <w:rsid w:val="00DA110D"/>
    <w:rsid w:val="00DA3D01"/>
    <w:rsid w:val="00DA6E23"/>
    <w:rsid w:val="00DB14EF"/>
    <w:rsid w:val="00DB1ED1"/>
    <w:rsid w:val="00DB3BC8"/>
    <w:rsid w:val="00DB3CF0"/>
    <w:rsid w:val="00DC085D"/>
    <w:rsid w:val="00DC0996"/>
    <w:rsid w:val="00DC1D53"/>
    <w:rsid w:val="00DC2DE3"/>
    <w:rsid w:val="00DC32CC"/>
    <w:rsid w:val="00DC509D"/>
    <w:rsid w:val="00DD1935"/>
    <w:rsid w:val="00DD4245"/>
    <w:rsid w:val="00DD48EB"/>
    <w:rsid w:val="00DD4974"/>
    <w:rsid w:val="00DE3421"/>
    <w:rsid w:val="00DE4E89"/>
    <w:rsid w:val="00DE4F9B"/>
    <w:rsid w:val="00DE5946"/>
    <w:rsid w:val="00DE63BC"/>
    <w:rsid w:val="00DF0102"/>
    <w:rsid w:val="00DF49ED"/>
    <w:rsid w:val="00DF6135"/>
    <w:rsid w:val="00DF71DB"/>
    <w:rsid w:val="00DF762C"/>
    <w:rsid w:val="00E00E7D"/>
    <w:rsid w:val="00E0197F"/>
    <w:rsid w:val="00E0407B"/>
    <w:rsid w:val="00E047E4"/>
    <w:rsid w:val="00E0566C"/>
    <w:rsid w:val="00E13BDA"/>
    <w:rsid w:val="00E1404D"/>
    <w:rsid w:val="00E14337"/>
    <w:rsid w:val="00E155F4"/>
    <w:rsid w:val="00E204FA"/>
    <w:rsid w:val="00E220C0"/>
    <w:rsid w:val="00E25932"/>
    <w:rsid w:val="00E30E59"/>
    <w:rsid w:val="00E31041"/>
    <w:rsid w:val="00E329D8"/>
    <w:rsid w:val="00E4531D"/>
    <w:rsid w:val="00E45CC6"/>
    <w:rsid w:val="00E45EB0"/>
    <w:rsid w:val="00E57CED"/>
    <w:rsid w:val="00E6268C"/>
    <w:rsid w:val="00E63D88"/>
    <w:rsid w:val="00E64AE9"/>
    <w:rsid w:val="00E65BC8"/>
    <w:rsid w:val="00E724C0"/>
    <w:rsid w:val="00E72530"/>
    <w:rsid w:val="00E74FD7"/>
    <w:rsid w:val="00E776F8"/>
    <w:rsid w:val="00E83054"/>
    <w:rsid w:val="00E832CA"/>
    <w:rsid w:val="00E84255"/>
    <w:rsid w:val="00E9198F"/>
    <w:rsid w:val="00E92A9B"/>
    <w:rsid w:val="00E944C0"/>
    <w:rsid w:val="00E9545F"/>
    <w:rsid w:val="00E97B95"/>
    <w:rsid w:val="00EA13A0"/>
    <w:rsid w:val="00EA148A"/>
    <w:rsid w:val="00EA172F"/>
    <w:rsid w:val="00EA1984"/>
    <w:rsid w:val="00EA479A"/>
    <w:rsid w:val="00EA5015"/>
    <w:rsid w:val="00EA5EA3"/>
    <w:rsid w:val="00EB13DC"/>
    <w:rsid w:val="00EB3C7A"/>
    <w:rsid w:val="00EB6037"/>
    <w:rsid w:val="00EB78BF"/>
    <w:rsid w:val="00EC0541"/>
    <w:rsid w:val="00EC1E57"/>
    <w:rsid w:val="00EC4285"/>
    <w:rsid w:val="00EC61BE"/>
    <w:rsid w:val="00EC76D4"/>
    <w:rsid w:val="00ED391C"/>
    <w:rsid w:val="00ED3D7F"/>
    <w:rsid w:val="00ED3F4B"/>
    <w:rsid w:val="00ED78C7"/>
    <w:rsid w:val="00EE44BA"/>
    <w:rsid w:val="00EE478D"/>
    <w:rsid w:val="00EE569D"/>
    <w:rsid w:val="00EF4B30"/>
    <w:rsid w:val="00EF590C"/>
    <w:rsid w:val="00F00806"/>
    <w:rsid w:val="00F01767"/>
    <w:rsid w:val="00F0420F"/>
    <w:rsid w:val="00F04743"/>
    <w:rsid w:val="00F05458"/>
    <w:rsid w:val="00F0587F"/>
    <w:rsid w:val="00F13890"/>
    <w:rsid w:val="00F15802"/>
    <w:rsid w:val="00F1631F"/>
    <w:rsid w:val="00F21365"/>
    <w:rsid w:val="00F21F7D"/>
    <w:rsid w:val="00F22291"/>
    <w:rsid w:val="00F233B8"/>
    <w:rsid w:val="00F2406D"/>
    <w:rsid w:val="00F24DDE"/>
    <w:rsid w:val="00F302D9"/>
    <w:rsid w:val="00F30460"/>
    <w:rsid w:val="00F33401"/>
    <w:rsid w:val="00F34D5F"/>
    <w:rsid w:val="00F36213"/>
    <w:rsid w:val="00F37D49"/>
    <w:rsid w:val="00F4190F"/>
    <w:rsid w:val="00F42167"/>
    <w:rsid w:val="00F47068"/>
    <w:rsid w:val="00F51EB4"/>
    <w:rsid w:val="00F65326"/>
    <w:rsid w:val="00F67C37"/>
    <w:rsid w:val="00F73A48"/>
    <w:rsid w:val="00F81355"/>
    <w:rsid w:val="00F82736"/>
    <w:rsid w:val="00F87832"/>
    <w:rsid w:val="00F90229"/>
    <w:rsid w:val="00F9068C"/>
    <w:rsid w:val="00F972E6"/>
    <w:rsid w:val="00FA0D9A"/>
    <w:rsid w:val="00FA3201"/>
    <w:rsid w:val="00FA3B0E"/>
    <w:rsid w:val="00FA79E1"/>
    <w:rsid w:val="00FB0139"/>
    <w:rsid w:val="00FB04C4"/>
    <w:rsid w:val="00FB1971"/>
    <w:rsid w:val="00FB1B57"/>
    <w:rsid w:val="00FB2684"/>
    <w:rsid w:val="00FB63C3"/>
    <w:rsid w:val="00FC1048"/>
    <w:rsid w:val="00FD16CC"/>
    <w:rsid w:val="00FD4D0F"/>
    <w:rsid w:val="00FD6553"/>
    <w:rsid w:val="00FD6BED"/>
    <w:rsid w:val="00FD733E"/>
    <w:rsid w:val="00FD7C82"/>
    <w:rsid w:val="00FE304E"/>
    <w:rsid w:val="00FE5799"/>
    <w:rsid w:val="00FE5E61"/>
    <w:rsid w:val="00FE6E6F"/>
    <w:rsid w:val="00FF4A6B"/>
    <w:rsid w:val="00FF4D4A"/>
    <w:rsid w:val="00FF52BB"/>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AE3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3BC8"/>
    <w:rPr>
      <w:rFonts w:ascii="Times New Roman" w:eastAsia="Times New Roman" w:hAnsi="Times New Roman"/>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552B2"/>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556BF"/>
    <w:rPr>
      <w:rFonts w:ascii="Helvetica"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link w:val="Heading2"/>
    <w:rsid w:val="00FE5799"/>
    <w:rPr>
      <w:rFonts w:ascii="Helvetica" w:hAnsi="Helvetica" w:cs="Arial"/>
      <w:b/>
      <w:bCs/>
      <w:iCs/>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552B2"/>
    <w:rPr>
      <w:rFonts w:ascii="Arial" w:hAnsi="Arial" w:cs="Arial"/>
      <w:b/>
      <w:bCs/>
      <w:i/>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hAnsi="Times New Roman"/>
      <w:b/>
      <w:bCs/>
      <w:sz w:val="28"/>
      <w:szCs w:val="28"/>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uiPriority w:val="99"/>
    <w:rsid w:val="0061336B"/>
    <w:rPr>
      <w:sz w:val="16"/>
      <w:szCs w:val="16"/>
    </w:rPr>
  </w:style>
  <w:style w:type="paragraph" w:styleId="CommentText">
    <w:name w:val="annotation text"/>
    <w:basedOn w:val="Normal"/>
    <w:link w:val="CommentTextChar"/>
    <w:uiPriority w:val="99"/>
    <w:rsid w:val="0061336B"/>
    <w:pPr>
      <w:overflowPunct w:val="0"/>
      <w:autoSpaceDE w:val="0"/>
      <w:autoSpaceDN w:val="0"/>
      <w:adjustRightInd w:val="0"/>
      <w:spacing w:after="120"/>
      <w:jc w:val="both"/>
      <w:textAlignment w:val="baseline"/>
    </w:pPr>
    <w:rPr>
      <w:rFonts w:ascii="Arial" w:eastAsia="MS Mincho" w:hAnsi="Arial"/>
      <w:szCs w:val="20"/>
      <w:lang w:val="en-GB" w:eastAsia="zh-CN"/>
    </w:rPr>
  </w:style>
  <w:style w:type="character" w:customStyle="1" w:styleId="CommentTextChar">
    <w:name w:val="Comment Text Char"/>
    <w:link w:val="CommentText"/>
    <w:uiPriority w:val="99"/>
    <w:rsid w:val="0061336B"/>
    <w:rPr>
      <w:rFonts w:ascii="Arial" w:eastAsia="MS Mincho"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BA76BC"/>
    <w:pPr>
      <w:ind w:left="720"/>
      <w:contextualSpacing/>
    </w:pPr>
  </w:style>
  <w:style w:type="character" w:styleId="PlaceholderText">
    <w:name w:val="Placeholder Text"/>
    <w:uiPriority w:val="99"/>
    <w:semiHidden/>
    <w:rsid w:val="0056282E"/>
    <w:rPr>
      <w:color w:val="808080"/>
    </w:rPr>
  </w:style>
  <w:style w:type="table" w:styleId="TableGrid">
    <w:name w:val="Table Grid"/>
    <w:basedOn w:val="TableNormal"/>
    <w:uiPriority w:val="59"/>
    <w:rsid w:val="008608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link w:val="H6Char"/>
    <w:rsid w:val="00DC509D"/>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x-none"/>
    </w:rPr>
  </w:style>
  <w:style w:type="character" w:customStyle="1" w:styleId="H6Char">
    <w:name w:val="H6 Char"/>
    <w:link w:val="H6"/>
    <w:rsid w:val="00DC509D"/>
    <w:rPr>
      <w:rFonts w:ascii="Arial" w:eastAsia="Times New Roman" w:hAnsi="Arial" w:cs="Times New Roman"/>
      <w:sz w:val="20"/>
      <w:szCs w:val="20"/>
      <w:lang w:val="en-GB" w:eastAsia="x-none"/>
    </w:rPr>
  </w:style>
  <w:style w:type="paragraph" w:customStyle="1" w:styleId="B2">
    <w:name w:val="B2"/>
    <w:basedOn w:val="List2"/>
    <w:link w:val="B2Char"/>
    <w:qFormat/>
    <w:rsid w:val="00DC509D"/>
    <w:pPr>
      <w:overflowPunct w:val="0"/>
      <w:autoSpaceDE w:val="0"/>
      <w:autoSpaceDN w:val="0"/>
      <w:adjustRightInd w:val="0"/>
      <w:spacing w:after="180"/>
      <w:ind w:left="851" w:hanging="284"/>
      <w:contextualSpacing w:val="0"/>
      <w:textAlignment w:val="baseline"/>
    </w:pPr>
    <w:rPr>
      <w:szCs w:val="20"/>
      <w:lang w:val="en-GB" w:eastAsia="ko-KR"/>
    </w:rPr>
  </w:style>
  <w:style w:type="paragraph" w:styleId="List2">
    <w:name w:val="List 2"/>
    <w:basedOn w:val="Normal"/>
    <w:uiPriority w:val="99"/>
    <w:semiHidden/>
    <w:unhideWhenUsed/>
    <w:rsid w:val="00DC509D"/>
    <w:pPr>
      <w:ind w:left="720" w:hanging="360"/>
      <w:contextualSpacing/>
    </w:pPr>
  </w:style>
  <w:style w:type="paragraph" w:customStyle="1" w:styleId="Proposal">
    <w:name w:val="Proposal"/>
    <w:basedOn w:val="Normal"/>
    <w:qFormat/>
    <w:rsid w:val="00EC4285"/>
    <w:pPr>
      <w:numPr>
        <w:numId w:val="2"/>
      </w:numPr>
      <w:tabs>
        <w:tab w:val="clear" w:pos="1304"/>
        <w:tab w:val="left" w:pos="1701"/>
      </w:tabs>
      <w:spacing w:after="160" w:line="259" w:lineRule="auto"/>
      <w:ind w:left="1701" w:hanging="1701"/>
    </w:pPr>
    <w:rPr>
      <w:rFonts w:ascii="Calibri" w:eastAsia="Calibri" w:hAnsi="Calibri"/>
      <w:b/>
      <w:bCs/>
      <w:sz w:val="22"/>
      <w:szCs w:val="22"/>
    </w:rPr>
  </w:style>
  <w:style w:type="paragraph" w:styleId="TOC1">
    <w:name w:val="toc 1"/>
    <w:aliases w:val="Observation TOC2"/>
    <w:uiPriority w:val="39"/>
    <w:rsid w:val="0089527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noProof/>
      <w:szCs w:val="22"/>
      <w:lang w:eastAsia="zh-CN"/>
    </w:rPr>
  </w:style>
  <w:style w:type="paragraph" w:styleId="TOC4">
    <w:name w:val="toc 4"/>
    <w:basedOn w:val="TOC3"/>
    <w:semiHidden/>
    <w:rsid w:val="00895275"/>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TOC3">
    <w:name w:val="toc 3"/>
    <w:basedOn w:val="Normal"/>
    <w:next w:val="Normal"/>
    <w:autoRedefine/>
    <w:uiPriority w:val="39"/>
    <w:semiHidden/>
    <w:unhideWhenUsed/>
    <w:rsid w:val="00895275"/>
    <w:pPr>
      <w:ind w:left="400"/>
    </w:pPr>
  </w:style>
  <w:style w:type="paragraph" w:customStyle="1" w:styleId="B1">
    <w:name w:val="B1"/>
    <w:basedOn w:val="Normal"/>
    <w:link w:val="B1Zchn"/>
    <w:rsid w:val="00AE6102"/>
    <w:pPr>
      <w:spacing w:after="180"/>
      <w:ind w:left="568" w:hanging="284"/>
    </w:pPr>
    <w:rPr>
      <w:szCs w:val="20"/>
      <w:lang w:val="x-none"/>
    </w:rPr>
  </w:style>
  <w:style w:type="character" w:customStyle="1" w:styleId="B1Zchn">
    <w:name w:val="B1 Zchn"/>
    <w:link w:val="B1"/>
    <w:rsid w:val="00AE6102"/>
    <w:rPr>
      <w:rFonts w:ascii="Times New Roman" w:eastAsia="Times New Roman" w:hAnsi="Times New Roman"/>
      <w:lang w:val="x-none"/>
    </w:rPr>
  </w:style>
  <w:style w:type="character" w:customStyle="1" w:styleId="B2Char">
    <w:name w:val="B2 Char"/>
    <w:link w:val="B2"/>
    <w:rsid w:val="00B75D39"/>
    <w:rPr>
      <w:rFonts w:ascii="Times New Roman" w:eastAsia="Times New Roman" w:hAnsi="Times New Roman"/>
      <w:lang w:val="en-GB" w:eastAsia="ko-KR"/>
    </w:rPr>
  </w:style>
  <w:style w:type="paragraph" w:customStyle="1" w:styleId="PL">
    <w:name w:val="PL"/>
    <w:link w:val="PLChar"/>
    <w:qFormat/>
    <w:rsid w:val="00375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756BE"/>
    <w:rPr>
      <w:rFonts w:ascii="Courier New" w:eastAsia="Batang" w:hAnsi="Courier New"/>
      <w:noProof/>
      <w:sz w:val="16"/>
      <w:shd w:val="clear" w:color="auto" w:fill="E6E6E6"/>
      <w:lang w:val="en-GB" w:eastAsia="sv-SE"/>
    </w:rPr>
  </w:style>
  <w:style w:type="paragraph" w:customStyle="1" w:styleId="TH">
    <w:name w:val="TH"/>
    <w:basedOn w:val="Normal"/>
    <w:link w:val="THChar"/>
    <w:rsid w:val="003756BE"/>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3756BE"/>
    <w:rPr>
      <w:rFonts w:ascii="Arial" w:eastAsia="Times New Roman" w:hAnsi="Arial"/>
      <w:b/>
      <w:lang w:val="x-none" w:eastAsia="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80134"/>
    <w:rPr>
      <w:rFonts w:ascii="Times New Roman" w:eastAsia="Times New Roman" w:hAnsi="Times New Roman"/>
      <w:szCs w:val="24"/>
    </w:rPr>
  </w:style>
  <w:style w:type="paragraph" w:styleId="ListBullet2">
    <w:name w:val="List Bullet 2"/>
    <w:basedOn w:val="ListBullet"/>
    <w:rsid w:val="00002556"/>
    <w:pPr>
      <w:numPr>
        <w:numId w:val="7"/>
      </w:numPr>
      <w:tabs>
        <w:tab w:val="clear" w:pos="794"/>
      </w:tabs>
      <w:overflowPunct w:val="0"/>
      <w:autoSpaceDE w:val="0"/>
      <w:autoSpaceDN w:val="0"/>
      <w:adjustRightInd w:val="0"/>
      <w:spacing w:after="120"/>
      <w:ind w:left="420" w:hanging="420"/>
      <w:contextualSpacing w:val="0"/>
      <w:jc w:val="both"/>
      <w:textAlignment w:val="baseline"/>
    </w:pPr>
    <w:rPr>
      <w:szCs w:val="20"/>
      <w:lang w:val="en-GB" w:eastAsia="zh-CN"/>
    </w:rPr>
  </w:style>
  <w:style w:type="paragraph" w:styleId="ListBullet">
    <w:name w:val="List Bullet"/>
    <w:basedOn w:val="Normal"/>
    <w:uiPriority w:val="99"/>
    <w:semiHidden/>
    <w:unhideWhenUsed/>
    <w:rsid w:val="00002556"/>
    <w:pPr>
      <w:numPr>
        <w:numId w:val="8"/>
      </w:numPr>
      <w:contextualSpacing/>
    </w:pPr>
  </w:style>
  <w:style w:type="paragraph" w:customStyle="1" w:styleId="B3">
    <w:name w:val="B3"/>
    <w:basedOn w:val="List3"/>
    <w:link w:val="B3Char"/>
    <w:rsid w:val="005258E7"/>
    <w:pPr>
      <w:spacing w:after="180" w:line="259" w:lineRule="auto"/>
      <w:ind w:left="1135" w:hanging="284"/>
      <w:contextualSpacing w:val="0"/>
    </w:pPr>
    <w:rPr>
      <w:rFonts w:ascii="Calibri" w:eastAsia="Calibri" w:hAnsi="Calibri"/>
      <w:sz w:val="22"/>
      <w:szCs w:val="22"/>
    </w:rPr>
  </w:style>
  <w:style w:type="character" w:customStyle="1" w:styleId="B3Char">
    <w:name w:val="B3 Char"/>
    <w:link w:val="B3"/>
    <w:rsid w:val="005258E7"/>
    <w:rPr>
      <w:rFonts w:eastAsia="Calibri"/>
      <w:sz w:val="22"/>
      <w:szCs w:val="22"/>
    </w:rPr>
  </w:style>
  <w:style w:type="paragraph" w:styleId="List3">
    <w:name w:val="List 3"/>
    <w:basedOn w:val="Normal"/>
    <w:uiPriority w:val="99"/>
    <w:semiHidden/>
    <w:unhideWhenUsed/>
    <w:rsid w:val="005258E7"/>
    <w:pPr>
      <w:ind w:left="1080" w:hanging="360"/>
      <w:contextualSpacing/>
    </w:pPr>
  </w:style>
  <w:style w:type="paragraph" w:styleId="ListBullet3">
    <w:name w:val="List Bullet 3"/>
    <w:basedOn w:val="ListBullet2"/>
    <w:rsid w:val="007D6833"/>
    <w:pPr>
      <w:numPr>
        <w:numId w:val="13"/>
      </w:numPr>
      <w:overflowPunct/>
      <w:autoSpaceDE/>
      <w:autoSpaceDN/>
      <w:adjustRightInd/>
      <w:spacing w:after="160" w:line="259" w:lineRule="auto"/>
      <w:jc w:val="left"/>
      <w:textAlignment w:val="auto"/>
    </w:pPr>
    <w:rPr>
      <w:rFonts w:ascii="Calibri" w:eastAsia="Calibri" w:hAnsi="Calibri"/>
      <w:sz w:val="22"/>
      <w:szCs w:val="22"/>
      <w:lang w:val="en-US" w:eastAsia="en-US"/>
    </w:rPr>
  </w:style>
  <w:style w:type="character" w:styleId="Hyperlink">
    <w:name w:val="Hyperlink"/>
    <w:uiPriority w:val="99"/>
    <w:rsid w:val="0003310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467282">
      <w:bodyDiv w:val="1"/>
      <w:marLeft w:val="0"/>
      <w:marRight w:val="0"/>
      <w:marTop w:val="0"/>
      <w:marBottom w:val="0"/>
      <w:divBdr>
        <w:top w:val="none" w:sz="0" w:space="0" w:color="auto"/>
        <w:left w:val="none" w:sz="0" w:space="0" w:color="auto"/>
        <w:bottom w:val="none" w:sz="0" w:space="0" w:color="auto"/>
        <w:right w:val="none" w:sz="0" w:space="0" w:color="auto"/>
      </w:divBdr>
    </w:div>
    <w:div w:id="251865352">
      <w:bodyDiv w:val="1"/>
      <w:marLeft w:val="0"/>
      <w:marRight w:val="0"/>
      <w:marTop w:val="0"/>
      <w:marBottom w:val="0"/>
      <w:divBdr>
        <w:top w:val="none" w:sz="0" w:space="0" w:color="auto"/>
        <w:left w:val="none" w:sz="0" w:space="0" w:color="auto"/>
        <w:bottom w:val="none" w:sz="0" w:space="0" w:color="auto"/>
        <w:right w:val="none" w:sz="0" w:space="0" w:color="auto"/>
      </w:divBdr>
    </w:div>
    <w:div w:id="928077140">
      <w:bodyDiv w:val="1"/>
      <w:marLeft w:val="0"/>
      <w:marRight w:val="0"/>
      <w:marTop w:val="0"/>
      <w:marBottom w:val="0"/>
      <w:divBdr>
        <w:top w:val="none" w:sz="0" w:space="0" w:color="auto"/>
        <w:left w:val="none" w:sz="0" w:space="0" w:color="auto"/>
        <w:bottom w:val="none" w:sz="0" w:space="0" w:color="auto"/>
        <w:right w:val="none" w:sz="0" w:space="0" w:color="auto"/>
      </w:divBdr>
      <w:divsChild>
        <w:div w:id="303119262">
          <w:marLeft w:val="835"/>
          <w:marRight w:val="0"/>
          <w:marTop w:val="96"/>
          <w:marBottom w:val="0"/>
          <w:divBdr>
            <w:top w:val="none" w:sz="0" w:space="0" w:color="auto"/>
            <w:left w:val="none" w:sz="0" w:space="0" w:color="auto"/>
            <w:bottom w:val="none" w:sz="0" w:space="0" w:color="auto"/>
            <w:right w:val="none" w:sz="0" w:space="0" w:color="auto"/>
          </w:divBdr>
        </w:div>
        <w:div w:id="570964517">
          <w:marLeft w:val="835"/>
          <w:marRight w:val="0"/>
          <w:marTop w:val="96"/>
          <w:marBottom w:val="0"/>
          <w:divBdr>
            <w:top w:val="none" w:sz="0" w:space="0" w:color="auto"/>
            <w:left w:val="none" w:sz="0" w:space="0" w:color="auto"/>
            <w:bottom w:val="none" w:sz="0" w:space="0" w:color="auto"/>
            <w:right w:val="none" w:sz="0" w:space="0" w:color="auto"/>
          </w:divBdr>
        </w:div>
        <w:div w:id="603341893">
          <w:marLeft w:val="1411"/>
          <w:marRight w:val="0"/>
          <w:marTop w:val="96"/>
          <w:marBottom w:val="0"/>
          <w:divBdr>
            <w:top w:val="none" w:sz="0" w:space="0" w:color="auto"/>
            <w:left w:val="none" w:sz="0" w:space="0" w:color="auto"/>
            <w:bottom w:val="none" w:sz="0" w:space="0" w:color="auto"/>
            <w:right w:val="none" w:sz="0" w:space="0" w:color="auto"/>
          </w:divBdr>
        </w:div>
        <w:div w:id="1011948744">
          <w:marLeft w:val="1411"/>
          <w:marRight w:val="0"/>
          <w:marTop w:val="96"/>
          <w:marBottom w:val="0"/>
          <w:divBdr>
            <w:top w:val="none" w:sz="0" w:space="0" w:color="auto"/>
            <w:left w:val="none" w:sz="0" w:space="0" w:color="auto"/>
            <w:bottom w:val="none" w:sz="0" w:space="0" w:color="auto"/>
            <w:right w:val="none" w:sz="0" w:space="0" w:color="auto"/>
          </w:divBdr>
        </w:div>
        <w:div w:id="2134714021">
          <w:marLeft w:val="1411"/>
          <w:marRight w:val="0"/>
          <w:marTop w:val="96"/>
          <w:marBottom w:val="0"/>
          <w:divBdr>
            <w:top w:val="none" w:sz="0" w:space="0" w:color="auto"/>
            <w:left w:val="none" w:sz="0" w:space="0" w:color="auto"/>
            <w:bottom w:val="none" w:sz="0" w:space="0" w:color="auto"/>
            <w:right w:val="none" w:sz="0" w:space="0" w:color="auto"/>
          </w:divBdr>
        </w:div>
      </w:divsChild>
    </w:div>
    <w:div w:id="1044986889">
      <w:bodyDiv w:val="1"/>
      <w:marLeft w:val="0"/>
      <w:marRight w:val="0"/>
      <w:marTop w:val="0"/>
      <w:marBottom w:val="0"/>
      <w:divBdr>
        <w:top w:val="none" w:sz="0" w:space="0" w:color="auto"/>
        <w:left w:val="none" w:sz="0" w:space="0" w:color="auto"/>
        <w:bottom w:val="none" w:sz="0" w:space="0" w:color="auto"/>
        <w:right w:val="none" w:sz="0" w:space="0" w:color="auto"/>
      </w:divBdr>
    </w:div>
    <w:div w:id="1093942356">
      <w:bodyDiv w:val="1"/>
      <w:marLeft w:val="0"/>
      <w:marRight w:val="0"/>
      <w:marTop w:val="0"/>
      <w:marBottom w:val="0"/>
      <w:divBdr>
        <w:top w:val="none" w:sz="0" w:space="0" w:color="auto"/>
        <w:left w:val="none" w:sz="0" w:space="0" w:color="auto"/>
        <w:bottom w:val="none" w:sz="0" w:space="0" w:color="auto"/>
        <w:right w:val="none" w:sz="0" w:space="0" w:color="auto"/>
      </w:divBdr>
    </w:div>
    <w:div w:id="1235553039">
      <w:bodyDiv w:val="1"/>
      <w:marLeft w:val="0"/>
      <w:marRight w:val="0"/>
      <w:marTop w:val="0"/>
      <w:marBottom w:val="0"/>
      <w:divBdr>
        <w:top w:val="none" w:sz="0" w:space="0" w:color="auto"/>
        <w:left w:val="none" w:sz="0" w:space="0" w:color="auto"/>
        <w:bottom w:val="none" w:sz="0" w:space="0" w:color="auto"/>
        <w:right w:val="none" w:sz="0" w:space="0" w:color="auto"/>
      </w:divBdr>
      <w:divsChild>
        <w:div w:id="696321139">
          <w:marLeft w:val="274"/>
          <w:marRight w:val="0"/>
          <w:marTop w:val="115"/>
          <w:marBottom w:val="0"/>
          <w:divBdr>
            <w:top w:val="none" w:sz="0" w:space="0" w:color="auto"/>
            <w:left w:val="none" w:sz="0" w:space="0" w:color="auto"/>
            <w:bottom w:val="none" w:sz="0" w:space="0" w:color="auto"/>
            <w:right w:val="none" w:sz="0" w:space="0" w:color="auto"/>
          </w:divBdr>
        </w:div>
      </w:divsChild>
    </w:div>
    <w:div w:id="1305350699">
      <w:bodyDiv w:val="1"/>
      <w:marLeft w:val="0"/>
      <w:marRight w:val="0"/>
      <w:marTop w:val="0"/>
      <w:marBottom w:val="0"/>
      <w:divBdr>
        <w:top w:val="none" w:sz="0" w:space="0" w:color="auto"/>
        <w:left w:val="none" w:sz="0" w:space="0" w:color="auto"/>
        <w:bottom w:val="none" w:sz="0" w:space="0" w:color="auto"/>
        <w:right w:val="none" w:sz="0" w:space="0" w:color="auto"/>
      </w:divBdr>
      <w:divsChild>
        <w:div w:id="529419652">
          <w:marLeft w:val="274"/>
          <w:marRight w:val="0"/>
          <w:marTop w:val="115"/>
          <w:marBottom w:val="0"/>
          <w:divBdr>
            <w:top w:val="none" w:sz="0" w:space="0" w:color="auto"/>
            <w:left w:val="none" w:sz="0" w:space="0" w:color="auto"/>
            <w:bottom w:val="none" w:sz="0" w:space="0" w:color="auto"/>
            <w:right w:val="none" w:sz="0" w:space="0" w:color="auto"/>
          </w:divBdr>
        </w:div>
      </w:divsChild>
    </w:div>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1934969967">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1435</Words>
  <Characters>8181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2019-05-04T05:21:00Z</dcterms:created>
  <dcterms:modified xsi:type="dcterms:W3CDTF">2019-05-04T05:21:00Z</dcterms:modified>
</cp:coreProperties>
</file>