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898B2" w14:textId="0BD733E4" w:rsidR="007F637A" w:rsidRPr="005010F5" w:rsidRDefault="007F637A" w:rsidP="007F637A">
      <w:pPr>
        <w:tabs>
          <w:tab w:val="right" w:pos="10000"/>
        </w:tabs>
        <w:spacing w:after="0"/>
        <w:rPr>
          <w:rFonts w:ascii="Arial" w:hAnsi="Arial" w:cs="Arial"/>
          <w:b/>
          <w:sz w:val="24"/>
          <w:szCs w:val="24"/>
          <w:lang w:val="en-US"/>
        </w:rPr>
      </w:pPr>
      <w:r w:rsidRPr="000A64D8">
        <w:rPr>
          <w:rFonts w:ascii="Arial" w:hAnsi="Arial" w:cs="Arial"/>
          <w:b/>
          <w:sz w:val="24"/>
          <w:szCs w:val="24"/>
        </w:rPr>
        <w:t>3GPP TSG</w:t>
      </w:r>
      <w:r w:rsidRPr="00AD3FE3">
        <w:rPr>
          <w:rFonts w:ascii="Arial" w:hAnsi="Arial"/>
          <w:b/>
          <w:sz w:val="24"/>
          <w:lang w:eastAsia="zh-CN"/>
        </w:rPr>
        <w:t>-RAN</w:t>
      </w:r>
      <w:r w:rsidRPr="000A64D8">
        <w:rPr>
          <w:rFonts w:ascii="Arial" w:hAnsi="Arial" w:cs="Arial"/>
          <w:b/>
          <w:sz w:val="24"/>
          <w:szCs w:val="24"/>
        </w:rPr>
        <w:t xml:space="preserve"> WG1 #</w:t>
      </w:r>
      <w:r w:rsidR="006C1F43">
        <w:rPr>
          <w:rFonts w:ascii="Arial" w:hAnsi="Arial" w:cs="Arial"/>
          <w:b/>
          <w:sz w:val="24"/>
          <w:szCs w:val="24"/>
        </w:rPr>
        <w:t>9</w:t>
      </w:r>
      <w:r w:rsidR="005512A7">
        <w:rPr>
          <w:rFonts w:ascii="Arial" w:hAnsi="Arial" w:cs="Arial"/>
          <w:b/>
          <w:sz w:val="24"/>
          <w:szCs w:val="24"/>
        </w:rPr>
        <w:t>7</w:t>
      </w:r>
      <w:r w:rsidRPr="000A64D8">
        <w:rPr>
          <w:rFonts w:ascii="Arial" w:hAnsi="Arial" w:cs="Arial"/>
          <w:b/>
          <w:sz w:val="24"/>
          <w:szCs w:val="24"/>
        </w:rPr>
        <w:tab/>
      </w:r>
      <w:r w:rsidRPr="00961A61">
        <w:rPr>
          <w:rFonts w:ascii="Arial" w:hAnsi="Arial" w:cs="Arial"/>
          <w:b/>
          <w:sz w:val="24"/>
          <w:szCs w:val="24"/>
        </w:rPr>
        <w:t>R1-</w:t>
      </w:r>
      <w:r w:rsidR="00A04E24">
        <w:rPr>
          <w:rFonts w:ascii="Arial" w:hAnsi="Arial" w:cs="Arial"/>
          <w:b/>
          <w:sz w:val="24"/>
          <w:szCs w:val="24"/>
        </w:rPr>
        <w:t>1</w:t>
      </w:r>
      <w:r w:rsidR="00EF7660">
        <w:rPr>
          <w:rFonts w:ascii="Arial" w:hAnsi="Arial" w:cs="Arial"/>
          <w:b/>
          <w:sz w:val="24"/>
          <w:szCs w:val="24"/>
        </w:rPr>
        <w:t>9</w:t>
      </w:r>
      <w:r w:rsidR="00B47B39">
        <w:rPr>
          <w:rFonts w:ascii="Arial" w:hAnsi="Arial" w:cs="Arial"/>
          <w:b/>
          <w:sz w:val="24"/>
          <w:szCs w:val="24"/>
        </w:rPr>
        <w:t>06997</w:t>
      </w:r>
    </w:p>
    <w:p w14:paraId="7B06AEC4" w14:textId="14A98960" w:rsidR="007F637A" w:rsidRDefault="005512A7" w:rsidP="007F637A">
      <w:pPr>
        <w:tabs>
          <w:tab w:val="right" w:pos="9630"/>
        </w:tabs>
        <w:spacing w:after="0"/>
        <w:jc w:val="both"/>
        <w:rPr>
          <w:rFonts w:ascii="Arial" w:hAnsi="Arial" w:cs="Arial"/>
          <w:b/>
          <w:sz w:val="24"/>
          <w:szCs w:val="24"/>
        </w:rPr>
      </w:pPr>
      <w:r>
        <w:rPr>
          <w:rFonts w:ascii="Arial" w:hAnsi="Arial" w:cs="Arial"/>
          <w:b/>
          <w:sz w:val="24"/>
          <w:szCs w:val="24"/>
        </w:rPr>
        <w:t>13</w:t>
      </w:r>
      <w:r w:rsidR="006C1F43" w:rsidRPr="00AD3FE3">
        <w:rPr>
          <w:rFonts w:ascii="Arial" w:hAnsi="Arial" w:cs="Arial"/>
          <w:b/>
          <w:sz w:val="24"/>
          <w:szCs w:val="24"/>
          <w:vertAlign w:val="superscript"/>
        </w:rPr>
        <w:t>th</w:t>
      </w:r>
      <w:r w:rsidR="006C1F43">
        <w:rPr>
          <w:rFonts w:ascii="Arial" w:hAnsi="Arial" w:cs="Arial"/>
          <w:b/>
          <w:sz w:val="24"/>
          <w:szCs w:val="24"/>
        </w:rPr>
        <w:t xml:space="preserve"> </w:t>
      </w:r>
      <w:r w:rsidR="007F637A">
        <w:rPr>
          <w:rFonts w:ascii="Arial" w:hAnsi="Arial" w:cs="Arial"/>
          <w:b/>
          <w:sz w:val="24"/>
          <w:szCs w:val="24"/>
        </w:rPr>
        <w:t xml:space="preserve">– </w:t>
      </w:r>
      <w:r w:rsidR="00D1491C">
        <w:rPr>
          <w:rFonts w:ascii="Arial" w:hAnsi="Arial" w:cs="Arial"/>
          <w:b/>
          <w:sz w:val="24"/>
          <w:szCs w:val="24"/>
        </w:rPr>
        <w:t>1</w:t>
      </w:r>
      <w:r>
        <w:rPr>
          <w:rFonts w:ascii="Arial" w:hAnsi="Arial" w:cs="Arial"/>
          <w:b/>
          <w:sz w:val="24"/>
          <w:szCs w:val="24"/>
        </w:rPr>
        <w:t>7</w:t>
      </w:r>
      <w:r w:rsidR="00D1491C">
        <w:rPr>
          <w:rFonts w:ascii="Arial" w:hAnsi="Arial" w:cs="Arial"/>
          <w:b/>
          <w:sz w:val="24"/>
          <w:szCs w:val="24"/>
          <w:vertAlign w:val="superscript"/>
        </w:rPr>
        <w:t>th</w:t>
      </w:r>
      <w:r w:rsidR="006C1F43">
        <w:rPr>
          <w:rFonts w:ascii="Arial" w:hAnsi="Arial" w:cs="Arial"/>
          <w:b/>
          <w:sz w:val="24"/>
          <w:szCs w:val="24"/>
        </w:rPr>
        <w:t xml:space="preserve"> </w:t>
      </w:r>
      <w:r>
        <w:rPr>
          <w:rFonts w:ascii="Arial" w:hAnsi="Arial" w:cs="Arial"/>
          <w:b/>
          <w:sz w:val="24"/>
          <w:szCs w:val="24"/>
        </w:rPr>
        <w:t>May</w:t>
      </w:r>
      <w:r w:rsidR="006C1F43">
        <w:rPr>
          <w:rFonts w:ascii="Arial" w:hAnsi="Arial" w:cs="Arial"/>
          <w:b/>
          <w:sz w:val="24"/>
          <w:szCs w:val="24"/>
        </w:rPr>
        <w:t xml:space="preserve"> </w:t>
      </w:r>
      <w:r w:rsidR="007F637A">
        <w:rPr>
          <w:rFonts w:ascii="Arial" w:hAnsi="Arial" w:cs="Arial"/>
          <w:b/>
          <w:sz w:val="24"/>
          <w:szCs w:val="24"/>
        </w:rPr>
        <w:t>201</w:t>
      </w:r>
      <w:r w:rsidR="00EF7660">
        <w:rPr>
          <w:rFonts w:ascii="Arial" w:hAnsi="Arial" w:cs="Arial"/>
          <w:b/>
          <w:sz w:val="24"/>
          <w:szCs w:val="24"/>
        </w:rPr>
        <w:t>9</w:t>
      </w:r>
    </w:p>
    <w:p w14:paraId="4A6B87B1" w14:textId="40A09A84" w:rsidR="007F637A" w:rsidRPr="00FD021C" w:rsidRDefault="005512A7" w:rsidP="007F637A">
      <w:pPr>
        <w:tabs>
          <w:tab w:val="right" w:pos="9630"/>
        </w:tabs>
        <w:spacing w:after="0"/>
        <w:jc w:val="both"/>
        <w:rPr>
          <w:rFonts w:ascii="Arial" w:hAnsi="Arial" w:cs="Arial"/>
          <w:b/>
          <w:sz w:val="24"/>
          <w:szCs w:val="24"/>
        </w:rPr>
      </w:pPr>
      <w:r>
        <w:rPr>
          <w:rFonts w:ascii="Arial" w:hAnsi="Arial"/>
          <w:b/>
          <w:sz w:val="24"/>
          <w:lang w:eastAsia="zh-CN"/>
        </w:rPr>
        <w:t>Reno</w:t>
      </w:r>
      <w:r w:rsidR="007F637A" w:rsidRPr="00AD3FE3">
        <w:rPr>
          <w:rFonts w:ascii="Arial" w:hAnsi="Arial"/>
          <w:b/>
          <w:sz w:val="24"/>
          <w:lang w:eastAsia="zh-CN"/>
        </w:rPr>
        <w:t xml:space="preserve">, </w:t>
      </w:r>
      <w:r>
        <w:rPr>
          <w:rFonts w:ascii="Arial" w:hAnsi="Arial"/>
          <w:b/>
          <w:sz w:val="24"/>
          <w:lang w:eastAsia="zh-CN"/>
        </w:rPr>
        <w:t>USA</w:t>
      </w:r>
    </w:p>
    <w:p w14:paraId="64343616" w14:textId="77777777" w:rsidR="00E90E49" w:rsidRPr="007F637A" w:rsidRDefault="00E90E49" w:rsidP="00357380">
      <w:pPr>
        <w:pStyle w:val="3GPPHeader"/>
      </w:pPr>
    </w:p>
    <w:p w14:paraId="420BC6C1" w14:textId="600CE0E8"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7C619A">
        <w:rPr>
          <w:sz w:val="22"/>
          <w:szCs w:val="22"/>
          <w:lang w:val="sv-FI"/>
        </w:rPr>
        <w:t>6.</w:t>
      </w:r>
      <w:r w:rsidR="00A21323">
        <w:rPr>
          <w:sz w:val="22"/>
          <w:szCs w:val="22"/>
          <w:lang w:val="sv-FI"/>
        </w:rPr>
        <w:t>2</w:t>
      </w:r>
      <w:r w:rsidR="007C619A">
        <w:rPr>
          <w:sz w:val="22"/>
          <w:szCs w:val="22"/>
          <w:lang w:val="sv-FI"/>
        </w:rPr>
        <w:t>.</w:t>
      </w:r>
      <w:r w:rsidR="00FD3120">
        <w:rPr>
          <w:sz w:val="22"/>
          <w:szCs w:val="22"/>
          <w:lang w:val="sv-FI"/>
        </w:rPr>
        <w:t>1</w:t>
      </w:r>
      <w:r w:rsidR="00A21323">
        <w:rPr>
          <w:sz w:val="22"/>
          <w:szCs w:val="22"/>
          <w:lang w:val="sv-FI"/>
        </w:rPr>
        <w:t>.</w:t>
      </w:r>
      <w:r w:rsidR="000B7C48">
        <w:rPr>
          <w:sz w:val="22"/>
          <w:szCs w:val="22"/>
          <w:lang w:val="sv-FI"/>
        </w:rPr>
        <w:t>7</w:t>
      </w:r>
    </w:p>
    <w:p w14:paraId="58D4AF01" w14:textId="5A435633" w:rsidR="00E90E49" w:rsidRPr="000F360A" w:rsidRDefault="003D3C45" w:rsidP="00F64C2B">
      <w:pPr>
        <w:pStyle w:val="3GPPHeader"/>
        <w:rPr>
          <w:sz w:val="22"/>
          <w:szCs w:val="22"/>
        </w:rPr>
      </w:pPr>
      <w:r w:rsidRPr="000F360A">
        <w:rPr>
          <w:sz w:val="22"/>
          <w:szCs w:val="22"/>
        </w:rPr>
        <w:t>Source:</w:t>
      </w:r>
      <w:r w:rsidR="00E90E49" w:rsidRPr="000F360A">
        <w:rPr>
          <w:sz w:val="22"/>
          <w:szCs w:val="22"/>
        </w:rPr>
        <w:tab/>
      </w:r>
      <w:r w:rsidR="001733C3">
        <w:rPr>
          <w:sz w:val="22"/>
          <w:szCs w:val="22"/>
        </w:rPr>
        <w:t>Qualcomm</w:t>
      </w:r>
      <w:r w:rsidR="00C464AA">
        <w:rPr>
          <w:sz w:val="22"/>
          <w:szCs w:val="22"/>
        </w:rPr>
        <w:t xml:space="preserve"> Incorporated</w:t>
      </w:r>
    </w:p>
    <w:p w14:paraId="724AB1D8" w14:textId="5D4A42CF" w:rsidR="00E90E49" w:rsidRPr="000F360A" w:rsidRDefault="003D3C45" w:rsidP="00311702">
      <w:pPr>
        <w:pStyle w:val="3GPPHeader"/>
        <w:rPr>
          <w:sz w:val="22"/>
          <w:szCs w:val="22"/>
        </w:rPr>
      </w:pPr>
      <w:r w:rsidRPr="000F360A">
        <w:rPr>
          <w:sz w:val="22"/>
          <w:szCs w:val="22"/>
        </w:rPr>
        <w:t>Title:</w:t>
      </w:r>
      <w:r w:rsidR="00E90E49" w:rsidRPr="000F360A">
        <w:rPr>
          <w:sz w:val="22"/>
          <w:szCs w:val="22"/>
        </w:rPr>
        <w:tab/>
      </w:r>
      <w:r w:rsidR="000B7C48">
        <w:rPr>
          <w:sz w:val="22"/>
          <w:szCs w:val="22"/>
        </w:rPr>
        <w:t>CE Mode A and B improvements for non-BL UEs</w:t>
      </w:r>
    </w:p>
    <w:p w14:paraId="3695AEAB" w14:textId="27F03C32" w:rsidR="00E90E49" w:rsidRPr="00CE0424" w:rsidRDefault="00E90E49" w:rsidP="00D546FF">
      <w:pPr>
        <w:pStyle w:val="3GPPHeader"/>
        <w:rPr>
          <w:sz w:val="22"/>
          <w:szCs w:val="22"/>
        </w:rPr>
      </w:pPr>
      <w:r w:rsidRPr="000F360A">
        <w:rPr>
          <w:sz w:val="22"/>
          <w:szCs w:val="22"/>
        </w:rPr>
        <w:t>Document for:</w:t>
      </w:r>
      <w:r w:rsidRPr="000F360A">
        <w:rPr>
          <w:sz w:val="22"/>
          <w:szCs w:val="22"/>
        </w:rPr>
        <w:tab/>
        <w:t>D</w:t>
      </w:r>
      <w:r w:rsidR="007C619A">
        <w:rPr>
          <w:sz w:val="22"/>
          <w:szCs w:val="22"/>
        </w:rPr>
        <w:t>iscussion and D</w:t>
      </w:r>
      <w:r w:rsidRPr="000F360A">
        <w:rPr>
          <w:sz w:val="22"/>
          <w:szCs w:val="22"/>
        </w:rPr>
        <w:t>ecision</w:t>
      </w:r>
    </w:p>
    <w:p w14:paraId="5D6DBE6B" w14:textId="77777777" w:rsidR="00E90E49" w:rsidRPr="00CE0424" w:rsidRDefault="00230D18" w:rsidP="00CE0424">
      <w:pPr>
        <w:pStyle w:val="Heading1"/>
      </w:pPr>
      <w:r>
        <w:t>1</w:t>
      </w:r>
      <w:r>
        <w:tab/>
      </w:r>
      <w:r w:rsidR="00E90E49" w:rsidRPr="00CE0424">
        <w:t>Introduction</w:t>
      </w:r>
    </w:p>
    <w:p w14:paraId="55C5A0E6" w14:textId="552B144C" w:rsidR="00FA0631" w:rsidRDefault="00FA0631" w:rsidP="00B1538B">
      <w:pPr>
        <w:widowControl w:val="0"/>
        <w:wordWrap w:val="0"/>
        <w:spacing w:after="120"/>
        <w:contextualSpacing/>
        <w:jc w:val="both"/>
        <w:rPr>
          <w:rFonts w:eastAsia="Batang"/>
          <w:snapToGrid w:val="0"/>
          <w:kern w:val="2"/>
          <w:lang w:eastAsia="ko-KR"/>
        </w:rPr>
      </w:pPr>
      <w:r w:rsidRPr="00E6678D">
        <w:rPr>
          <w:rFonts w:eastAsia="Batang"/>
          <w:snapToGrid w:val="0"/>
          <w:kern w:val="2"/>
          <w:lang w:eastAsia="ko-KR"/>
        </w:rPr>
        <w:t>In RAN</w:t>
      </w:r>
      <w:r w:rsidR="004E045F" w:rsidRPr="00E6678D">
        <w:rPr>
          <w:rFonts w:eastAsia="Batang"/>
          <w:snapToGrid w:val="0"/>
          <w:kern w:val="2"/>
          <w:lang w:eastAsia="ko-KR"/>
        </w:rPr>
        <w:t>1</w:t>
      </w:r>
      <w:r w:rsidRPr="00E6678D">
        <w:rPr>
          <w:rFonts w:eastAsia="Batang"/>
          <w:snapToGrid w:val="0"/>
          <w:kern w:val="2"/>
          <w:lang w:eastAsia="ko-KR"/>
        </w:rPr>
        <w:t>#</w:t>
      </w:r>
      <w:r w:rsidR="004E045F" w:rsidRPr="00E6678D">
        <w:rPr>
          <w:rFonts w:eastAsia="Batang"/>
          <w:snapToGrid w:val="0"/>
          <w:kern w:val="2"/>
          <w:lang w:eastAsia="ko-KR"/>
        </w:rPr>
        <w:t>9</w:t>
      </w:r>
      <w:r w:rsidR="00D1491C">
        <w:rPr>
          <w:rFonts w:eastAsia="Batang"/>
          <w:snapToGrid w:val="0"/>
          <w:kern w:val="2"/>
          <w:lang w:eastAsia="ko-KR"/>
        </w:rPr>
        <w:t>6</w:t>
      </w:r>
      <w:r w:rsidRPr="00E6678D">
        <w:rPr>
          <w:rFonts w:eastAsia="Batang"/>
          <w:snapToGrid w:val="0"/>
          <w:kern w:val="2"/>
          <w:lang w:eastAsia="ko-KR"/>
        </w:rPr>
        <w:t xml:space="preserve"> meeting, </w:t>
      </w:r>
      <w:r w:rsidR="004E045F" w:rsidRPr="00E6678D">
        <w:rPr>
          <w:rFonts w:eastAsia="Batang"/>
          <w:snapToGrid w:val="0"/>
          <w:kern w:val="2"/>
          <w:lang w:eastAsia="ko-KR"/>
        </w:rPr>
        <w:t xml:space="preserve">the </w:t>
      </w:r>
      <w:r w:rsidR="00B1538B">
        <w:rPr>
          <w:rFonts w:eastAsia="Batang"/>
          <w:snapToGrid w:val="0"/>
          <w:kern w:val="2"/>
          <w:lang w:eastAsia="ko-KR"/>
        </w:rPr>
        <w:t xml:space="preserve">following agreements </w:t>
      </w:r>
      <w:r w:rsidR="005512A7">
        <w:rPr>
          <w:rFonts w:eastAsia="Batang"/>
          <w:snapToGrid w:val="0"/>
          <w:kern w:val="2"/>
          <w:lang w:eastAsia="ko-KR"/>
        </w:rPr>
        <w:t xml:space="preserve">and conclusions </w:t>
      </w:r>
      <w:r w:rsidR="00B1538B">
        <w:rPr>
          <w:rFonts w:eastAsia="Batang"/>
          <w:snapToGrid w:val="0"/>
          <w:kern w:val="2"/>
          <w:lang w:eastAsia="ko-KR"/>
        </w:rPr>
        <w:t xml:space="preserve">were </w:t>
      </w:r>
      <w:r w:rsidR="00B1538B" w:rsidRPr="00C1164D">
        <w:rPr>
          <w:rFonts w:eastAsia="Batang"/>
          <w:snapToGrid w:val="0"/>
          <w:kern w:val="2"/>
          <w:lang w:eastAsia="ko-KR"/>
        </w:rPr>
        <w:t>achieved</w:t>
      </w:r>
      <w:r w:rsidR="004E045F" w:rsidRPr="00E6678D">
        <w:rPr>
          <w:rFonts w:eastAsia="Batang"/>
          <w:snapToGrid w:val="0"/>
          <w:kern w:val="2"/>
          <w:lang w:eastAsia="ko-KR"/>
        </w:rPr>
        <w:t>.</w:t>
      </w:r>
      <w:r w:rsidRPr="00E6678D">
        <w:rPr>
          <w:rFonts w:eastAsia="Batang"/>
          <w:snapToGrid w:val="0"/>
          <w:kern w:val="2"/>
          <w:lang w:eastAsia="ko-KR"/>
        </w:rPr>
        <w:t xml:space="preserve"> </w:t>
      </w:r>
    </w:p>
    <w:p w14:paraId="4ADAB0A7" w14:textId="77777777" w:rsidR="00B1538B" w:rsidRPr="00E6678D" w:rsidRDefault="00B1538B" w:rsidP="00B1538B">
      <w:pPr>
        <w:widowControl w:val="0"/>
        <w:wordWrap w:val="0"/>
        <w:spacing w:after="120"/>
        <w:contextualSpacing/>
        <w:jc w:val="both"/>
        <w:rPr>
          <w:rFonts w:eastAsia="宋体"/>
          <w:b/>
          <w:bCs/>
          <w:u w:val="single"/>
          <w:lang w:eastAsia="en-US"/>
        </w:rPr>
      </w:pPr>
    </w:p>
    <w:p w14:paraId="01C74FB7" w14:textId="77777777" w:rsidR="005512A7" w:rsidRPr="00B65B98" w:rsidRDefault="005512A7" w:rsidP="005512A7">
      <w:pPr>
        <w:rPr>
          <w:b/>
          <w:highlight w:val="green"/>
          <w:lang w:eastAsia="x-none"/>
        </w:rPr>
      </w:pPr>
      <w:bookmarkStart w:id="0" w:name="_Hlk516692042"/>
      <w:r w:rsidRPr="00B65B98">
        <w:rPr>
          <w:b/>
          <w:highlight w:val="green"/>
          <w:lang w:eastAsia="x-none"/>
        </w:rPr>
        <w:t>Agreement</w:t>
      </w:r>
    </w:p>
    <w:p w14:paraId="5E07B8A0" w14:textId="0CD93C99" w:rsidR="005512A7" w:rsidRDefault="005512A7" w:rsidP="00D1491C">
      <w:pPr>
        <w:pStyle w:val="ListParagraph"/>
        <w:widowControl w:val="0"/>
        <w:numPr>
          <w:ilvl w:val="0"/>
          <w:numId w:val="40"/>
        </w:numPr>
        <w:wordWrap w:val="0"/>
        <w:overflowPunct/>
        <w:autoSpaceDE/>
        <w:autoSpaceDN/>
        <w:adjustRightInd/>
        <w:contextualSpacing/>
        <w:jc w:val="both"/>
        <w:textAlignment w:val="auto"/>
        <w:rPr>
          <w:rFonts w:ascii="Times New Roman" w:eastAsia="Batang" w:hAnsi="Times New Roman"/>
          <w:snapToGrid w:val="0"/>
          <w:kern w:val="2"/>
          <w:sz w:val="20"/>
          <w:szCs w:val="20"/>
          <w:lang w:val="en-GB" w:eastAsia="ko-KR"/>
        </w:rPr>
      </w:pPr>
      <w:r w:rsidRPr="005512A7">
        <w:rPr>
          <w:rFonts w:ascii="Times New Roman" w:eastAsia="Batang" w:hAnsi="Times New Roman"/>
          <w:snapToGrid w:val="0"/>
          <w:kern w:val="2"/>
          <w:sz w:val="20"/>
          <w:szCs w:val="20"/>
          <w:lang w:val="en-GB" w:eastAsia="ko-KR"/>
        </w:rPr>
        <w:t>The supported number of CSI-RS ports is only 8</w:t>
      </w:r>
    </w:p>
    <w:p w14:paraId="04F66BB4" w14:textId="7C8E9076" w:rsidR="001E1C8D" w:rsidRPr="005512A7" w:rsidRDefault="001E1C8D" w:rsidP="00D1491C">
      <w:pPr>
        <w:pStyle w:val="ListParagraph"/>
        <w:widowControl w:val="0"/>
        <w:numPr>
          <w:ilvl w:val="0"/>
          <w:numId w:val="40"/>
        </w:numPr>
        <w:wordWrap w:val="0"/>
        <w:overflowPunct/>
        <w:autoSpaceDE/>
        <w:autoSpaceDN/>
        <w:adjustRightInd/>
        <w:contextualSpacing/>
        <w:jc w:val="both"/>
        <w:textAlignment w:val="auto"/>
        <w:rPr>
          <w:rFonts w:ascii="Times New Roman" w:eastAsia="Batang" w:hAnsi="Times New Roman"/>
          <w:snapToGrid w:val="0"/>
          <w:kern w:val="2"/>
          <w:sz w:val="20"/>
          <w:szCs w:val="20"/>
          <w:lang w:val="en-GB" w:eastAsia="ko-KR"/>
        </w:rPr>
      </w:pPr>
      <w:r w:rsidRPr="005512A7">
        <w:rPr>
          <w:rFonts w:ascii="Times New Roman" w:eastAsia="Batang" w:hAnsi="Times New Roman"/>
          <w:snapToGrid w:val="0"/>
          <w:kern w:val="2"/>
          <w:sz w:val="20"/>
          <w:szCs w:val="20"/>
          <w:lang w:val="en-GB" w:eastAsia="ko-KR"/>
        </w:rPr>
        <w:t>CSI-RS based CSI feedback is only supported in TM9</w:t>
      </w:r>
    </w:p>
    <w:p w14:paraId="06972DB1" w14:textId="77777777" w:rsidR="005512A7" w:rsidRPr="005512A7" w:rsidRDefault="005512A7" w:rsidP="00D1491C">
      <w:pPr>
        <w:pStyle w:val="ListParagraph"/>
        <w:widowControl w:val="0"/>
        <w:numPr>
          <w:ilvl w:val="0"/>
          <w:numId w:val="40"/>
        </w:numPr>
        <w:wordWrap w:val="0"/>
        <w:overflowPunct/>
        <w:autoSpaceDE/>
        <w:autoSpaceDN/>
        <w:adjustRightInd/>
        <w:contextualSpacing/>
        <w:jc w:val="both"/>
        <w:textAlignment w:val="auto"/>
        <w:rPr>
          <w:rFonts w:ascii="Times New Roman" w:eastAsia="Batang" w:hAnsi="Times New Roman"/>
          <w:snapToGrid w:val="0"/>
          <w:kern w:val="2"/>
          <w:sz w:val="20"/>
          <w:szCs w:val="20"/>
          <w:lang w:val="en-GB" w:eastAsia="ko-KR"/>
        </w:rPr>
      </w:pPr>
      <w:r w:rsidRPr="005512A7">
        <w:rPr>
          <w:rFonts w:ascii="Times New Roman" w:eastAsia="Batang" w:hAnsi="Times New Roman"/>
          <w:snapToGrid w:val="0"/>
          <w:kern w:val="2"/>
          <w:sz w:val="20"/>
          <w:szCs w:val="20"/>
          <w:lang w:val="en-GB" w:eastAsia="ko-KR"/>
        </w:rPr>
        <w:t>For CSI feedback of non-BL CE UE, RI is fixed to 1 if it is included as part of reporting on PUCCH or PUSCH</w:t>
      </w:r>
    </w:p>
    <w:p w14:paraId="070C0CCD" w14:textId="77777777" w:rsidR="005512A7" w:rsidRPr="005512A7" w:rsidRDefault="005512A7" w:rsidP="00D1491C">
      <w:pPr>
        <w:pStyle w:val="ListParagraph"/>
        <w:widowControl w:val="0"/>
        <w:numPr>
          <w:ilvl w:val="0"/>
          <w:numId w:val="40"/>
        </w:numPr>
        <w:wordWrap w:val="0"/>
        <w:overflowPunct/>
        <w:autoSpaceDE/>
        <w:autoSpaceDN/>
        <w:adjustRightInd/>
        <w:contextualSpacing/>
        <w:jc w:val="both"/>
        <w:textAlignment w:val="auto"/>
        <w:rPr>
          <w:rFonts w:ascii="Times New Roman" w:eastAsia="Batang" w:hAnsi="Times New Roman"/>
          <w:snapToGrid w:val="0"/>
          <w:kern w:val="2"/>
          <w:sz w:val="20"/>
          <w:szCs w:val="20"/>
          <w:lang w:val="en-GB" w:eastAsia="ko-KR"/>
        </w:rPr>
      </w:pPr>
      <w:r w:rsidRPr="005512A7">
        <w:rPr>
          <w:rFonts w:ascii="Times New Roman" w:eastAsia="Batang" w:hAnsi="Times New Roman"/>
          <w:snapToGrid w:val="0"/>
          <w:kern w:val="2"/>
          <w:sz w:val="20"/>
          <w:szCs w:val="20"/>
          <w:lang w:val="en-GB" w:eastAsia="ko-KR"/>
        </w:rPr>
        <w:t>MPDCCH and PDSCH are punctured around the REs used for the CSI-RS transmission.</w:t>
      </w:r>
    </w:p>
    <w:p w14:paraId="6F4F7796" w14:textId="77777777" w:rsidR="00B1538B" w:rsidRDefault="00B1538B" w:rsidP="00FA761F">
      <w:pPr>
        <w:widowControl w:val="0"/>
        <w:wordWrap w:val="0"/>
        <w:spacing w:after="120"/>
        <w:contextualSpacing/>
        <w:jc w:val="both"/>
        <w:rPr>
          <w:rFonts w:eastAsia="Batang"/>
          <w:snapToGrid w:val="0"/>
          <w:kern w:val="2"/>
          <w:lang w:eastAsia="ko-KR"/>
        </w:rPr>
      </w:pPr>
      <w:bookmarkStart w:id="1" w:name="_Ref178064866"/>
      <w:bookmarkEnd w:id="0"/>
    </w:p>
    <w:p w14:paraId="75F3232A" w14:textId="77777777" w:rsidR="005512A7" w:rsidRPr="005512A7" w:rsidRDefault="005512A7" w:rsidP="005512A7">
      <w:pPr>
        <w:rPr>
          <w:rFonts w:eastAsia="Batang"/>
          <w:b/>
          <w:snapToGrid w:val="0"/>
          <w:kern w:val="2"/>
          <w:lang w:eastAsia="ko-KR"/>
        </w:rPr>
      </w:pPr>
      <w:r w:rsidRPr="005512A7">
        <w:rPr>
          <w:rFonts w:eastAsia="Batang"/>
          <w:b/>
          <w:snapToGrid w:val="0"/>
          <w:kern w:val="2"/>
          <w:lang w:eastAsia="ko-KR"/>
        </w:rPr>
        <w:t>Conclusion</w:t>
      </w:r>
    </w:p>
    <w:p w14:paraId="0B98E877" w14:textId="77777777" w:rsidR="005512A7" w:rsidRPr="005512A7" w:rsidRDefault="005512A7" w:rsidP="005512A7">
      <w:pPr>
        <w:pStyle w:val="ListParagraph"/>
        <w:widowControl w:val="0"/>
        <w:numPr>
          <w:ilvl w:val="0"/>
          <w:numId w:val="40"/>
        </w:numPr>
        <w:wordWrap w:val="0"/>
        <w:overflowPunct/>
        <w:autoSpaceDE/>
        <w:autoSpaceDN/>
        <w:adjustRightInd/>
        <w:contextualSpacing/>
        <w:jc w:val="both"/>
        <w:textAlignment w:val="auto"/>
        <w:rPr>
          <w:rFonts w:ascii="Times New Roman" w:eastAsia="Batang" w:hAnsi="Times New Roman"/>
          <w:snapToGrid w:val="0"/>
          <w:kern w:val="2"/>
          <w:sz w:val="20"/>
          <w:szCs w:val="20"/>
          <w:lang w:val="en-GB" w:eastAsia="ko-KR"/>
        </w:rPr>
      </w:pPr>
      <w:r w:rsidRPr="005512A7">
        <w:rPr>
          <w:rFonts w:ascii="Times New Roman" w:eastAsia="Batang" w:hAnsi="Times New Roman"/>
          <w:snapToGrid w:val="0"/>
          <w:kern w:val="2"/>
          <w:sz w:val="20"/>
          <w:szCs w:val="20"/>
          <w:lang w:val="en-GB" w:eastAsia="ko-KR"/>
        </w:rPr>
        <w:t>No further discussion on the modification on the design or configuration for support of CSI-RS for non-BL CE UEs in CE mode A in Rel-16. The baseline is Rel-15 CSI-RS.</w:t>
      </w:r>
    </w:p>
    <w:p w14:paraId="4987B337" w14:textId="30E7C18C" w:rsidR="005512A7" w:rsidRDefault="005512A7" w:rsidP="00FA761F">
      <w:pPr>
        <w:widowControl w:val="0"/>
        <w:wordWrap w:val="0"/>
        <w:spacing w:after="120"/>
        <w:contextualSpacing/>
        <w:jc w:val="both"/>
        <w:rPr>
          <w:rFonts w:eastAsia="Batang"/>
          <w:snapToGrid w:val="0"/>
          <w:kern w:val="2"/>
          <w:lang w:eastAsia="ko-KR"/>
        </w:rPr>
      </w:pPr>
    </w:p>
    <w:p w14:paraId="56AAF8D4" w14:textId="54082B78" w:rsidR="00CB61F7" w:rsidRPr="00E6678D" w:rsidRDefault="00FA0631" w:rsidP="00FA761F">
      <w:pPr>
        <w:widowControl w:val="0"/>
        <w:wordWrap w:val="0"/>
        <w:spacing w:after="120"/>
        <w:contextualSpacing/>
        <w:jc w:val="both"/>
        <w:rPr>
          <w:rFonts w:eastAsia="Batang"/>
          <w:snapToGrid w:val="0"/>
          <w:kern w:val="2"/>
          <w:lang w:eastAsia="ko-KR"/>
        </w:rPr>
      </w:pPr>
      <w:r w:rsidRPr="00E6678D">
        <w:rPr>
          <w:rFonts w:eastAsia="Batang"/>
          <w:snapToGrid w:val="0"/>
          <w:kern w:val="2"/>
          <w:lang w:eastAsia="ko-KR"/>
        </w:rPr>
        <w:t xml:space="preserve">In this contribution, we will </w:t>
      </w:r>
      <w:r w:rsidR="004E045F" w:rsidRPr="00E6678D">
        <w:rPr>
          <w:rFonts w:eastAsia="Batang"/>
          <w:snapToGrid w:val="0"/>
          <w:kern w:val="2"/>
          <w:lang w:eastAsia="ko-KR"/>
        </w:rPr>
        <w:t xml:space="preserve">continue to </w:t>
      </w:r>
      <w:r w:rsidR="00FA761F" w:rsidRPr="00E6678D">
        <w:rPr>
          <w:rFonts w:eastAsia="Batang"/>
          <w:snapToGrid w:val="0"/>
          <w:kern w:val="2"/>
          <w:lang w:eastAsia="ko-KR"/>
        </w:rPr>
        <w:t xml:space="preserve">discuss the </w:t>
      </w:r>
      <w:r w:rsidR="006C1F43" w:rsidRPr="00E6678D">
        <w:rPr>
          <w:rFonts w:eastAsia="Batang"/>
          <w:snapToGrid w:val="0"/>
          <w:kern w:val="2"/>
          <w:lang w:eastAsia="ko-KR"/>
        </w:rPr>
        <w:t xml:space="preserve">support of CSI-RS based CSI feedback </w:t>
      </w:r>
      <w:r w:rsidR="005512A7">
        <w:rPr>
          <w:rFonts w:eastAsia="Batang"/>
          <w:snapToGrid w:val="0"/>
          <w:kern w:val="2"/>
          <w:lang w:eastAsia="ko-KR"/>
        </w:rPr>
        <w:t xml:space="preserve">and the monitoring of ETWS/CMAS indication in connected mode </w:t>
      </w:r>
      <w:r w:rsidR="006C1F43" w:rsidRPr="00E6678D">
        <w:rPr>
          <w:rFonts w:eastAsia="Batang"/>
          <w:snapToGrid w:val="0"/>
          <w:kern w:val="2"/>
          <w:lang w:eastAsia="ko-KR"/>
        </w:rPr>
        <w:t xml:space="preserve">for </w:t>
      </w:r>
      <w:r w:rsidR="00C546FF" w:rsidRPr="00E6678D">
        <w:rPr>
          <w:rFonts w:eastAsia="Batang"/>
          <w:snapToGrid w:val="0"/>
          <w:kern w:val="2"/>
          <w:lang w:eastAsia="ko-KR"/>
        </w:rPr>
        <w:t xml:space="preserve">the non-BL UEs in </w:t>
      </w:r>
      <w:r w:rsidR="006C1F43" w:rsidRPr="00E6678D">
        <w:rPr>
          <w:rFonts w:eastAsia="Batang"/>
          <w:snapToGrid w:val="0"/>
          <w:kern w:val="2"/>
          <w:lang w:eastAsia="ko-KR"/>
        </w:rPr>
        <w:t>CE mode A</w:t>
      </w:r>
      <w:r w:rsidRPr="00E6678D">
        <w:rPr>
          <w:rFonts w:eastAsia="Batang"/>
          <w:snapToGrid w:val="0"/>
          <w:kern w:val="2"/>
          <w:lang w:eastAsia="ko-KR"/>
        </w:rPr>
        <w:t xml:space="preserve">. </w:t>
      </w:r>
    </w:p>
    <w:bookmarkEnd w:id="1"/>
    <w:p w14:paraId="0E8F9219" w14:textId="39E9D99F" w:rsidR="00052373" w:rsidRPr="00724983" w:rsidRDefault="004E045F" w:rsidP="001E1C8D">
      <w:pPr>
        <w:pStyle w:val="Heading1"/>
      </w:pPr>
      <w:r w:rsidRPr="00724983">
        <w:t>2</w:t>
      </w:r>
      <w:r w:rsidR="00724983">
        <w:t xml:space="preserve">. </w:t>
      </w:r>
      <w:r w:rsidR="005512A7">
        <w:t>CSI-RS based CSI feedback</w:t>
      </w:r>
    </w:p>
    <w:p w14:paraId="6B7023E0" w14:textId="00222C9A" w:rsidR="00BE1BDA" w:rsidRPr="00E12FB1" w:rsidRDefault="00BE1BDA" w:rsidP="00BE1BDA">
      <w:pPr>
        <w:spacing w:beforeLines="50" w:before="120" w:line="276" w:lineRule="auto"/>
        <w:rPr>
          <w:b/>
          <w:u w:val="single"/>
          <w:lang w:eastAsia="zh-CN"/>
        </w:rPr>
      </w:pPr>
      <w:r>
        <w:rPr>
          <w:b/>
          <w:u w:val="single"/>
          <w:lang w:eastAsia="zh-CN"/>
        </w:rPr>
        <w:t>CSI Feedback Mechanism</w:t>
      </w:r>
    </w:p>
    <w:p w14:paraId="61E33A73" w14:textId="0FEB5310" w:rsidR="00E45568" w:rsidRDefault="005512A7" w:rsidP="00CA03EB">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 xml:space="preserve">One remaining issue for the CSI-RS based CSI feedback is the detailed CSI feedback mechanism. </w:t>
      </w:r>
      <w:r w:rsidR="00E45568">
        <w:rPr>
          <w:rFonts w:eastAsia="Batang" w:hint="eastAsia"/>
          <w:snapToGrid w:val="0"/>
          <w:kern w:val="2"/>
          <w:szCs w:val="22"/>
          <w:lang w:eastAsia="ko-KR"/>
        </w:rPr>
        <w:t>T</w:t>
      </w:r>
      <w:r w:rsidR="00E45568">
        <w:rPr>
          <w:rFonts w:eastAsia="Batang"/>
          <w:snapToGrid w:val="0"/>
          <w:kern w:val="2"/>
          <w:szCs w:val="22"/>
          <w:lang w:eastAsia="ko-KR"/>
        </w:rPr>
        <w:t xml:space="preserve">able 1 below shows the CSI reporting mode for the BL/CE UE configured in TM9. </w:t>
      </w:r>
      <w:r w:rsidR="005E7931">
        <w:rPr>
          <w:rFonts w:eastAsia="Batang"/>
          <w:snapToGrid w:val="0"/>
          <w:kern w:val="2"/>
          <w:szCs w:val="22"/>
          <w:lang w:eastAsia="ko-KR"/>
        </w:rPr>
        <w:t xml:space="preserve">According to Table 1, </w:t>
      </w:r>
      <w:r w:rsidR="00245424">
        <w:rPr>
          <w:rFonts w:eastAsia="Batang"/>
          <w:snapToGrid w:val="0"/>
          <w:kern w:val="2"/>
          <w:szCs w:val="22"/>
          <w:lang w:eastAsia="ko-KR"/>
        </w:rPr>
        <w:t xml:space="preserve">PMI feedback is only supported for </w:t>
      </w:r>
      <w:r w:rsidR="005E7931">
        <w:rPr>
          <w:rFonts w:eastAsia="Batang"/>
          <w:snapToGrid w:val="0"/>
          <w:kern w:val="2"/>
          <w:szCs w:val="22"/>
          <w:lang w:eastAsia="ko-KR"/>
        </w:rPr>
        <w:t>the</w:t>
      </w:r>
      <w:r w:rsidR="00E45568">
        <w:rPr>
          <w:rFonts w:eastAsia="Batang"/>
          <w:snapToGrid w:val="0"/>
          <w:kern w:val="2"/>
          <w:szCs w:val="22"/>
          <w:lang w:eastAsia="ko-KR"/>
        </w:rPr>
        <w:t xml:space="preserve"> </w:t>
      </w:r>
      <w:proofErr w:type="spellStart"/>
      <w:r w:rsidR="00E45568">
        <w:rPr>
          <w:rFonts w:eastAsia="Batang"/>
          <w:snapToGrid w:val="0"/>
          <w:kern w:val="2"/>
          <w:szCs w:val="22"/>
          <w:lang w:eastAsia="ko-KR"/>
        </w:rPr>
        <w:t>subband</w:t>
      </w:r>
      <w:proofErr w:type="spellEnd"/>
      <w:r w:rsidR="00E45568">
        <w:rPr>
          <w:rFonts w:eastAsia="Batang"/>
          <w:snapToGrid w:val="0"/>
          <w:kern w:val="2"/>
          <w:szCs w:val="22"/>
          <w:lang w:eastAsia="ko-KR"/>
        </w:rPr>
        <w:t xml:space="preserve"> CSI reporting, i.e. mode 1-1</w:t>
      </w:r>
      <w:r w:rsidR="00245424">
        <w:rPr>
          <w:rFonts w:eastAsia="Batang"/>
          <w:snapToGrid w:val="0"/>
          <w:kern w:val="2"/>
          <w:szCs w:val="22"/>
          <w:lang w:eastAsia="ko-KR"/>
        </w:rPr>
        <w:t xml:space="preserve"> </w:t>
      </w:r>
      <w:r w:rsidR="00E45568">
        <w:rPr>
          <w:rFonts w:eastAsia="Batang"/>
          <w:snapToGrid w:val="0"/>
          <w:kern w:val="2"/>
          <w:szCs w:val="22"/>
          <w:lang w:eastAsia="ko-KR"/>
        </w:rPr>
        <w:t xml:space="preserve">for periodic CSI reporting, </w:t>
      </w:r>
      <w:r w:rsidR="005E7931">
        <w:rPr>
          <w:rFonts w:eastAsia="Batang"/>
          <w:snapToGrid w:val="0"/>
          <w:kern w:val="2"/>
          <w:szCs w:val="22"/>
          <w:lang w:eastAsia="ko-KR"/>
        </w:rPr>
        <w:t>for which</w:t>
      </w:r>
      <w:r w:rsidR="00E45568">
        <w:rPr>
          <w:rFonts w:eastAsia="Batang"/>
          <w:snapToGrid w:val="0"/>
          <w:kern w:val="2"/>
          <w:szCs w:val="22"/>
          <w:lang w:eastAsia="ko-KR"/>
        </w:rPr>
        <w:t xml:space="preserve"> UE shall report a wideband CQI and </w:t>
      </w:r>
      <w:r w:rsidR="00F0412C">
        <w:rPr>
          <w:rFonts w:eastAsia="Batang"/>
          <w:snapToGrid w:val="0"/>
          <w:kern w:val="2"/>
          <w:szCs w:val="22"/>
          <w:lang w:eastAsia="ko-KR"/>
        </w:rPr>
        <w:t xml:space="preserve">a </w:t>
      </w:r>
      <w:r w:rsidR="00E45568">
        <w:rPr>
          <w:rFonts w:eastAsia="Batang"/>
          <w:snapToGrid w:val="0"/>
          <w:kern w:val="2"/>
          <w:szCs w:val="22"/>
          <w:lang w:eastAsia="ko-KR"/>
        </w:rPr>
        <w:t xml:space="preserve">wideband PMI. For CSI-RS based CSI feedback, </w:t>
      </w:r>
      <w:r w:rsidR="005E7931">
        <w:rPr>
          <w:rFonts w:eastAsia="Batang"/>
          <w:snapToGrid w:val="0"/>
          <w:kern w:val="2"/>
          <w:szCs w:val="22"/>
          <w:lang w:eastAsia="ko-KR"/>
        </w:rPr>
        <w:t xml:space="preserve">since the number of CSI-RS ports is 8, the PMI </w:t>
      </w:r>
      <w:r w:rsidR="00F0412C">
        <w:rPr>
          <w:rFonts w:eastAsia="Batang"/>
          <w:snapToGrid w:val="0"/>
          <w:kern w:val="2"/>
          <w:szCs w:val="22"/>
          <w:lang w:eastAsia="ko-KR"/>
        </w:rPr>
        <w:t>consists of t</w:t>
      </w:r>
      <w:r w:rsidR="005E7931">
        <w:rPr>
          <w:rFonts w:eastAsia="Batang"/>
          <w:snapToGrid w:val="0"/>
          <w:kern w:val="2"/>
          <w:szCs w:val="22"/>
          <w:lang w:eastAsia="ko-KR"/>
        </w:rPr>
        <w:t xml:space="preserve">wo components, i.e. a first PMI index </w:t>
      </w:r>
      <m:oMath>
        <m:sSub>
          <m:sSubPr>
            <m:ctrlPr>
              <w:rPr>
                <w:rFonts w:ascii="Cambria Math" w:eastAsia="Batang" w:hAnsi="Cambria Math"/>
                <w:i/>
                <w:snapToGrid w:val="0"/>
                <w:kern w:val="2"/>
                <w:szCs w:val="22"/>
                <w:lang w:eastAsia="ko-KR"/>
              </w:rPr>
            </m:ctrlPr>
          </m:sSubPr>
          <m:e>
            <m:r>
              <w:rPr>
                <w:rFonts w:ascii="Cambria Math" w:eastAsia="Batang" w:hAnsi="Cambria Math"/>
                <w:snapToGrid w:val="0"/>
                <w:kern w:val="2"/>
                <w:szCs w:val="22"/>
                <w:lang w:eastAsia="ko-KR"/>
              </w:rPr>
              <m:t>i</m:t>
            </m:r>
          </m:e>
          <m:sub>
            <m:r>
              <w:rPr>
                <w:rFonts w:ascii="Cambria Math" w:eastAsia="Batang" w:hAnsi="Cambria Math"/>
                <w:snapToGrid w:val="0"/>
                <w:kern w:val="2"/>
                <w:szCs w:val="22"/>
                <w:lang w:eastAsia="ko-KR"/>
              </w:rPr>
              <m:t>1</m:t>
            </m:r>
          </m:sub>
        </m:sSub>
      </m:oMath>
      <w:r w:rsidR="005E7931">
        <w:rPr>
          <w:rFonts w:eastAsia="Batang" w:hint="eastAsia"/>
          <w:snapToGrid w:val="0"/>
          <w:kern w:val="2"/>
          <w:szCs w:val="22"/>
          <w:lang w:eastAsia="ko-KR"/>
        </w:rPr>
        <w:t xml:space="preserve"> </w:t>
      </w:r>
      <w:r w:rsidR="005E7931">
        <w:rPr>
          <w:rFonts w:eastAsia="Batang"/>
          <w:snapToGrid w:val="0"/>
          <w:kern w:val="2"/>
          <w:szCs w:val="22"/>
          <w:lang w:eastAsia="ko-KR"/>
        </w:rPr>
        <w:t xml:space="preserve">and a second PMI </w:t>
      </w:r>
      <m:oMath>
        <m:sSub>
          <m:sSubPr>
            <m:ctrlPr>
              <w:rPr>
                <w:rFonts w:ascii="Cambria Math" w:eastAsia="Batang" w:hAnsi="Cambria Math"/>
                <w:i/>
                <w:snapToGrid w:val="0"/>
                <w:kern w:val="2"/>
                <w:szCs w:val="22"/>
                <w:lang w:eastAsia="ko-KR"/>
              </w:rPr>
            </m:ctrlPr>
          </m:sSubPr>
          <m:e>
            <m:r>
              <w:rPr>
                <w:rFonts w:ascii="Cambria Math" w:eastAsia="Batang" w:hAnsi="Cambria Math"/>
                <w:snapToGrid w:val="0"/>
                <w:kern w:val="2"/>
                <w:szCs w:val="22"/>
                <w:lang w:eastAsia="ko-KR"/>
              </w:rPr>
              <m:t>i</m:t>
            </m:r>
          </m:e>
          <m:sub>
            <m:r>
              <w:rPr>
                <w:rFonts w:ascii="Cambria Math" w:eastAsia="Batang" w:hAnsi="Cambria Math"/>
                <w:snapToGrid w:val="0"/>
                <w:kern w:val="2"/>
                <w:szCs w:val="22"/>
                <w:lang w:eastAsia="ko-KR"/>
              </w:rPr>
              <m:t>2</m:t>
            </m:r>
          </m:sub>
        </m:sSub>
      </m:oMath>
      <w:r w:rsidR="005E7931">
        <w:rPr>
          <w:rFonts w:eastAsia="Batang" w:hint="eastAsia"/>
          <w:snapToGrid w:val="0"/>
          <w:kern w:val="2"/>
          <w:szCs w:val="22"/>
          <w:lang w:eastAsia="ko-KR"/>
        </w:rPr>
        <w:t xml:space="preserve"> </w:t>
      </w:r>
      <w:r w:rsidR="005E7931">
        <w:rPr>
          <w:rFonts w:eastAsia="Batang"/>
          <w:snapToGrid w:val="0"/>
          <w:kern w:val="2"/>
          <w:szCs w:val="22"/>
          <w:lang w:eastAsia="ko-KR"/>
        </w:rPr>
        <w:t>with a total payload size of 8. The total payload for the wideband CQI and PMI reporting would be 12 bits, which is larger than the maximum payload supported by PUCCH format 2.</w:t>
      </w:r>
      <w:r w:rsidR="00F0412C">
        <w:rPr>
          <w:rFonts w:eastAsia="Batang"/>
          <w:snapToGrid w:val="0"/>
          <w:kern w:val="2"/>
          <w:szCs w:val="22"/>
          <w:lang w:eastAsia="ko-KR"/>
        </w:rPr>
        <w:t xml:space="preserve"> C</w:t>
      </w:r>
      <w:r w:rsidR="005E7931">
        <w:rPr>
          <w:rFonts w:eastAsia="Batang"/>
          <w:snapToGrid w:val="0"/>
          <w:kern w:val="2"/>
          <w:szCs w:val="22"/>
          <w:lang w:eastAsia="ko-KR"/>
        </w:rPr>
        <w:t xml:space="preserve">odebook subsampling is </w:t>
      </w:r>
      <w:r w:rsidR="00F0412C">
        <w:rPr>
          <w:rFonts w:eastAsia="Batang"/>
          <w:snapToGrid w:val="0"/>
          <w:kern w:val="2"/>
          <w:szCs w:val="22"/>
          <w:lang w:eastAsia="ko-KR"/>
        </w:rPr>
        <w:t xml:space="preserve">thus </w:t>
      </w:r>
      <w:r w:rsidR="005E7931">
        <w:rPr>
          <w:rFonts w:eastAsia="Batang"/>
          <w:snapToGrid w:val="0"/>
          <w:kern w:val="2"/>
          <w:szCs w:val="22"/>
          <w:lang w:eastAsia="ko-KR"/>
        </w:rPr>
        <w:t xml:space="preserve">required for periodic CSI reporting. </w:t>
      </w:r>
      <w:r w:rsidR="00BE1BDA">
        <w:rPr>
          <w:rFonts w:eastAsia="Batang"/>
          <w:snapToGrid w:val="0"/>
          <w:kern w:val="2"/>
          <w:szCs w:val="22"/>
          <w:lang w:eastAsia="ko-KR"/>
        </w:rPr>
        <w:t xml:space="preserve">For example, </w:t>
      </w:r>
      <w:r w:rsidR="00C957FB">
        <w:rPr>
          <w:rFonts w:eastAsia="Batang"/>
          <w:snapToGrid w:val="0"/>
          <w:kern w:val="2"/>
          <w:szCs w:val="22"/>
          <w:lang w:eastAsia="ko-KR"/>
        </w:rPr>
        <w:t xml:space="preserve">reusing </w:t>
      </w:r>
      <w:r w:rsidR="00BE1BDA">
        <w:rPr>
          <w:rFonts w:eastAsia="Batang"/>
          <w:snapToGrid w:val="0"/>
          <w:kern w:val="2"/>
          <w:szCs w:val="22"/>
          <w:lang w:eastAsia="ko-KR"/>
        </w:rPr>
        <w:t xml:space="preserve">the </w:t>
      </w:r>
      <w:r w:rsidR="00C957FB">
        <w:rPr>
          <w:rFonts w:eastAsia="Batang"/>
          <w:snapToGrid w:val="0"/>
          <w:kern w:val="2"/>
          <w:szCs w:val="22"/>
          <w:lang w:eastAsia="ko-KR"/>
        </w:rPr>
        <w:t xml:space="preserve">codebook subsampling of PUCCH 1-1 </w:t>
      </w:r>
      <w:proofErr w:type="spellStart"/>
      <w:r w:rsidR="00C957FB">
        <w:rPr>
          <w:rFonts w:eastAsia="Batang"/>
          <w:snapToGrid w:val="0"/>
          <w:kern w:val="2"/>
          <w:szCs w:val="22"/>
          <w:lang w:eastAsia="ko-KR"/>
        </w:rPr>
        <w:t>submode</w:t>
      </w:r>
      <w:proofErr w:type="spellEnd"/>
      <w:r w:rsidR="00C957FB">
        <w:rPr>
          <w:rFonts w:eastAsia="Batang"/>
          <w:snapToGrid w:val="0"/>
          <w:kern w:val="2"/>
          <w:szCs w:val="22"/>
          <w:lang w:eastAsia="ko-KR"/>
        </w:rPr>
        <w:t xml:space="preserve"> 2 for 8Tx. However, the performance degradation by codebook subsampling cannot be ignored. </w:t>
      </w:r>
      <w:r w:rsidR="005E7931">
        <w:rPr>
          <w:rFonts w:eastAsia="Batang"/>
          <w:snapToGrid w:val="0"/>
          <w:kern w:val="2"/>
          <w:szCs w:val="22"/>
          <w:lang w:eastAsia="ko-KR"/>
        </w:rPr>
        <w:t xml:space="preserve">Alternatively, we can consider </w:t>
      </w:r>
      <w:r w:rsidR="00245424">
        <w:rPr>
          <w:rFonts w:eastAsia="Batang"/>
          <w:snapToGrid w:val="0"/>
          <w:kern w:val="2"/>
          <w:szCs w:val="22"/>
          <w:lang w:eastAsia="ko-KR"/>
        </w:rPr>
        <w:t>supporting</w:t>
      </w:r>
      <w:r w:rsidR="005E7931">
        <w:rPr>
          <w:rFonts w:eastAsia="Batang"/>
          <w:snapToGrid w:val="0"/>
          <w:kern w:val="2"/>
          <w:szCs w:val="22"/>
          <w:lang w:eastAsia="ko-KR"/>
        </w:rPr>
        <w:t xml:space="preserve"> the </w:t>
      </w:r>
      <w:r w:rsidR="00245424">
        <w:rPr>
          <w:rFonts w:eastAsia="Batang"/>
          <w:snapToGrid w:val="0"/>
          <w:kern w:val="2"/>
          <w:szCs w:val="22"/>
          <w:lang w:eastAsia="ko-KR"/>
        </w:rPr>
        <w:t xml:space="preserve">PMI feedback for aperiodic CSI reporting, e.g. </w:t>
      </w:r>
      <w:r w:rsidR="00F0412C">
        <w:rPr>
          <w:rFonts w:eastAsia="Batang"/>
          <w:snapToGrid w:val="0"/>
          <w:kern w:val="2"/>
          <w:szCs w:val="22"/>
          <w:lang w:eastAsia="ko-KR"/>
        </w:rPr>
        <w:t xml:space="preserve">supporting </w:t>
      </w:r>
      <w:r w:rsidR="00245424">
        <w:rPr>
          <w:rFonts w:eastAsia="Batang"/>
          <w:snapToGrid w:val="0"/>
          <w:kern w:val="2"/>
          <w:szCs w:val="22"/>
          <w:lang w:eastAsia="ko-KR"/>
        </w:rPr>
        <w:t xml:space="preserve">either mode 1-1 for wideband PMI reporting </w:t>
      </w:r>
      <w:r w:rsidR="00C957FB">
        <w:rPr>
          <w:rFonts w:eastAsia="Batang"/>
          <w:snapToGrid w:val="0"/>
          <w:kern w:val="2"/>
          <w:szCs w:val="22"/>
          <w:lang w:eastAsia="ko-KR"/>
        </w:rPr>
        <w:t>or</w:t>
      </w:r>
      <w:r w:rsidR="00245424">
        <w:rPr>
          <w:rFonts w:eastAsia="Batang"/>
          <w:snapToGrid w:val="0"/>
          <w:kern w:val="2"/>
          <w:szCs w:val="22"/>
          <w:lang w:eastAsia="ko-KR"/>
        </w:rPr>
        <w:t xml:space="preserve"> mode 2-2 for single </w:t>
      </w:r>
      <w:proofErr w:type="spellStart"/>
      <w:r w:rsidR="00245424">
        <w:rPr>
          <w:rFonts w:eastAsia="Batang"/>
          <w:snapToGrid w:val="0"/>
          <w:kern w:val="2"/>
          <w:szCs w:val="22"/>
          <w:lang w:eastAsia="ko-KR"/>
        </w:rPr>
        <w:t>subband</w:t>
      </w:r>
      <w:proofErr w:type="spellEnd"/>
      <w:r w:rsidR="00245424">
        <w:rPr>
          <w:rFonts w:eastAsia="Batang"/>
          <w:snapToGrid w:val="0"/>
          <w:kern w:val="2"/>
          <w:szCs w:val="22"/>
          <w:lang w:eastAsia="ko-KR"/>
        </w:rPr>
        <w:t xml:space="preserve"> PMI reporting. </w:t>
      </w:r>
    </w:p>
    <w:p w14:paraId="54B70C34" w14:textId="5827A94F" w:rsidR="00E45568" w:rsidRPr="00E6678D" w:rsidRDefault="00E45568" w:rsidP="00E45568">
      <w:pPr>
        <w:pStyle w:val="LGTdoc1"/>
        <w:spacing w:beforeLines="0" w:before="120" w:after="120" w:afterAutospacing="0"/>
        <w:jc w:val="center"/>
        <w:rPr>
          <w:kern w:val="2"/>
          <w:sz w:val="20"/>
        </w:rPr>
      </w:pPr>
      <w:r w:rsidRPr="00E6678D">
        <w:rPr>
          <w:kern w:val="2"/>
          <w:sz w:val="20"/>
        </w:rPr>
        <w:t>Table 1</w:t>
      </w:r>
      <w:r w:rsidRPr="00E6678D">
        <w:rPr>
          <w:b w:val="0"/>
          <w:kern w:val="2"/>
          <w:sz w:val="20"/>
        </w:rPr>
        <w:t xml:space="preserve">: </w:t>
      </w:r>
      <w:r>
        <w:rPr>
          <w:b w:val="0"/>
          <w:kern w:val="2"/>
          <w:sz w:val="20"/>
        </w:rPr>
        <w:t>CSI reporting mode for the BL/CE UE in TM9</w:t>
      </w:r>
    </w:p>
    <w:tbl>
      <w:tblPr>
        <w:tblW w:w="6653" w:type="dxa"/>
        <w:jc w:val="center"/>
        <w:tblCellMar>
          <w:left w:w="0" w:type="dxa"/>
          <w:right w:w="0" w:type="dxa"/>
        </w:tblCellMar>
        <w:tblLook w:val="0420" w:firstRow="1" w:lastRow="0" w:firstColumn="0" w:lastColumn="0" w:noHBand="0" w:noVBand="1"/>
      </w:tblPr>
      <w:tblGrid>
        <w:gridCol w:w="1955"/>
        <w:gridCol w:w="2430"/>
        <w:gridCol w:w="2268"/>
      </w:tblGrid>
      <w:tr w:rsidR="00E45568" w:rsidRPr="00E6678D" w14:paraId="11A675AF" w14:textId="6F53FBFE" w:rsidTr="00E45568">
        <w:trPr>
          <w:trHeight w:val="195"/>
          <w:jc w:val="center"/>
        </w:trPr>
        <w:tc>
          <w:tcPr>
            <w:tcW w:w="1955"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0D5C000F" w14:textId="77777777" w:rsidR="00E45568" w:rsidRPr="00E6678D" w:rsidRDefault="00E45568" w:rsidP="00E45FE5">
            <w:pPr>
              <w:overflowPunct/>
              <w:autoSpaceDE/>
              <w:autoSpaceDN/>
              <w:adjustRightInd/>
              <w:spacing w:after="0"/>
              <w:textAlignment w:val="auto"/>
              <w:rPr>
                <w:rFonts w:ascii="宋体" w:eastAsia="宋体" w:hAnsi="宋体" w:cs="宋体"/>
                <w:lang w:val="en-US" w:eastAsia="zh-CN"/>
              </w:rPr>
            </w:pPr>
          </w:p>
        </w:tc>
        <w:tc>
          <w:tcPr>
            <w:tcW w:w="243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1D7AF8C6" w14:textId="28F9D6CB" w:rsidR="00E45568" w:rsidRPr="00E6678D" w:rsidRDefault="00E45568" w:rsidP="00E45FE5">
            <w:pPr>
              <w:overflowPunct/>
              <w:autoSpaceDE/>
              <w:autoSpaceDN/>
              <w:adjustRightInd/>
              <w:spacing w:after="0"/>
              <w:textAlignment w:val="auto"/>
              <w:rPr>
                <w:rFonts w:ascii="Arial" w:eastAsia="宋体" w:hAnsi="Arial" w:cs="Arial"/>
                <w:lang w:val="en-US" w:eastAsia="zh-CN"/>
              </w:rPr>
            </w:pPr>
            <w:r>
              <w:rPr>
                <w:rFonts w:ascii="Qualcomm Office Regular" w:eastAsia="宋体" w:hAnsi="Qualcomm Office Regular" w:cs="Arial"/>
                <w:b/>
                <w:bCs/>
                <w:color w:val="FFFFFF"/>
                <w:kern w:val="24"/>
                <w:lang w:val="en-US" w:eastAsia="zh-CN"/>
              </w:rPr>
              <w:t>Wideband CSI reporting</w:t>
            </w:r>
          </w:p>
        </w:tc>
        <w:tc>
          <w:tcPr>
            <w:tcW w:w="2268" w:type="dxa"/>
            <w:tcBorders>
              <w:top w:val="single" w:sz="8" w:space="0" w:color="FFFFFF"/>
              <w:left w:val="single" w:sz="8" w:space="0" w:color="FFFFFF"/>
              <w:bottom w:val="single" w:sz="24" w:space="0" w:color="FFFFFF"/>
              <w:right w:val="single" w:sz="8" w:space="0" w:color="FFFFFF"/>
            </w:tcBorders>
            <w:shd w:val="clear" w:color="auto" w:fill="70CFEE"/>
          </w:tcPr>
          <w:p w14:paraId="03F73224" w14:textId="22AA59B7" w:rsidR="00E45568" w:rsidRPr="00E6678D" w:rsidRDefault="00E45568" w:rsidP="00E45FE5">
            <w:pPr>
              <w:overflowPunct/>
              <w:autoSpaceDE/>
              <w:autoSpaceDN/>
              <w:adjustRightInd/>
              <w:spacing w:after="0"/>
              <w:textAlignment w:val="auto"/>
              <w:rPr>
                <w:rFonts w:ascii="Qualcomm Office Regular" w:eastAsia="宋体" w:hAnsi="Qualcomm Office Regular" w:cs="Arial"/>
                <w:b/>
                <w:bCs/>
                <w:color w:val="FFFFFF"/>
                <w:kern w:val="24"/>
                <w:lang w:val="en-US" w:eastAsia="zh-CN"/>
              </w:rPr>
            </w:pPr>
            <w:proofErr w:type="spellStart"/>
            <w:r>
              <w:rPr>
                <w:rFonts w:ascii="Qualcomm Office Regular" w:eastAsia="宋体" w:hAnsi="Qualcomm Office Regular" w:cs="Arial" w:hint="eastAsia"/>
                <w:b/>
                <w:bCs/>
                <w:color w:val="FFFFFF"/>
                <w:kern w:val="24"/>
                <w:lang w:val="en-US" w:eastAsia="zh-CN"/>
              </w:rPr>
              <w:t>S</w:t>
            </w:r>
            <w:r>
              <w:rPr>
                <w:rFonts w:ascii="Qualcomm Office Regular" w:eastAsia="宋体" w:hAnsi="Qualcomm Office Regular" w:cs="Arial"/>
                <w:b/>
                <w:bCs/>
                <w:color w:val="FFFFFF"/>
                <w:kern w:val="24"/>
                <w:lang w:val="en-US" w:eastAsia="zh-CN"/>
              </w:rPr>
              <w:t>ubband</w:t>
            </w:r>
            <w:proofErr w:type="spellEnd"/>
            <w:r>
              <w:rPr>
                <w:rFonts w:ascii="Qualcomm Office Regular" w:eastAsia="宋体" w:hAnsi="Qualcomm Office Regular" w:cs="Arial"/>
                <w:b/>
                <w:bCs/>
                <w:color w:val="FFFFFF"/>
                <w:kern w:val="24"/>
                <w:lang w:val="en-US" w:eastAsia="zh-CN"/>
              </w:rPr>
              <w:t xml:space="preserve"> CSI reporting</w:t>
            </w:r>
          </w:p>
        </w:tc>
      </w:tr>
      <w:tr w:rsidR="00E45568" w:rsidRPr="00E6678D" w14:paraId="3A939BF8" w14:textId="3D4B5416" w:rsidTr="00E45568">
        <w:trPr>
          <w:trHeight w:val="221"/>
          <w:jc w:val="center"/>
        </w:trPr>
        <w:tc>
          <w:tcPr>
            <w:tcW w:w="1955"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39FD856E" w14:textId="4B3BCE50" w:rsidR="00E45568" w:rsidRPr="00E6678D" w:rsidRDefault="00E45568" w:rsidP="00E45FE5">
            <w:pPr>
              <w:overflowPunct/>
              <w:autoSpaceDE/>
              <w:autoSpaceDN/>
              <w:adjustRightInd/>
              <w:spacing w:after="0"/>
              <w:textAlignment w:val="auto"/>
              <w:rPr>
                <w:rFonts w:ascii="Arial" w:eastAsia="宋体" w:hAnsi="Arial" w:cs="Arial"/>
                <w:lang w:val="en-US" w:eastAsia="zh-CN"/>
              </w:rPr>
            </w:pPr>
            <w:r>
              <w:rPr>
                <w:rFonts w:ascii="Qualcomm Office Regular" w:eastAsia="宋体" w:hAnsi="Qualcomm Office Regular" w:cs="Arial"/>
                <w:color w:val="000000"/>
                <w:kern w:val="24"/>
                <w:lang w:val="en-US" w:eastAsia="zh-CN"/>
              </w:rPr>
              <w:t>Periodic CSI</w:t>
            </w:r>
          </w:p>
        </w:tc>
        <w:tc>
          <w:tcPr>
            <w:tcW w:w="243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4DF4920B" w14:textId="1E03F032" w:rsidR="00E45568" w:rsidRPr="00E6678D" w:rsidRDefault="00E45568" w:rsidP="00E45FE5">
            <w:pPr>
              <w:overflowPunct/>
              <w:autoSpaceDE/>
              <w:autoSpaceDN/>
              <w:adjustRightInd/>
              <w:spacing w:after="0"/>
              <w:textAlignment w:val="auto"/>
              <w:rPr>
                <w:rFonts w:ascii="Arial" w:eastAsia="宋体" w:hAnsi="Arial" w:cs="Arial"/>
                <w:lang w:val="en-US" w:eastAsia="zh-CN"/>
              </w:rPr>
            </w:pPr>
            <w:r>
              <w:rPr>
                <w:rFonts w:ascii="Qualcomm Office Regular" w:eastAsia="宋体" w:hAnsi="Qualcomm Office Regular" w:cs="Arial"/>
                <w:color w:val="000000"/>
                <w:kern w:val="24"/>
                <w:lang w:val="en-US" w:eastAsia="zh-CN"/>
              </w:rPr>
              <w:t>Mode 1-0</w:t>
            </w:r>
          </w:p>
        </w:tc>
        <w:tc>
          <w:tcPr>
            <w:tcW w:w="2268" w:type="dxa"/>
            <w:tcBorders>
              <w:top w:val="single" w:sz="24" w:space="0" w:color="FFFFFF"/>
              <w:left w:val="single" w:sz="8" w:space="0" w:color="FFFFFF"/>
              <w:bottom w:val="single" w:sz="8" w:space="0" w:color="FFFFFF"/>
              <w:right w:val="single" w:sz="8" w:space="0" w:color="FFFFFF"/>
            </w:tcBorders>
            <w:shd w:val="clear" w:color="auto" w:fill="D5EDF8"/>
          </w:tcPr>
          <w:p w14:paraId="0DE5B500" w14:textId="1A1BF2BE" w:rsidR="00E45568" w:rsidRPr="00E6678D" w:rsidRDefault="00E45568" w:rsidP="00E45FE5">
            <w:pPr>
              <w:overflowPunct/>
              <w:autoSpaceDE/>
              <w:autoSpaceDN/>
              <w:adjustRightInd/>
              <w:spacing w:after="0"/>
              <w:textAlignment w:val="auto"/>
              <w:rPr>
                <w:rFonts w:ascii="Qualcomm Office Regular" w:eastAsia="宋体" w:hAnsi="Qualcomm Office Regular" w:cs="Arial"/>
                <w:color w:val="000000"/>
                <w:kern w:val="24"/>
                <w:lang w:val="en-US" w:eastAsia="zh-CN"/>
              </w:rPr>
            </w:pPr>
            <w:r>
              <w:rPr>
                <w:rFonts w:ascii="Qualcomm Office Regular" w:eastAsia="宋体" w:hAnsi="Qualcomm Office Regular" w:cs="Arial" w:hint="eastAsia"/>
                <w:color w:val="000000"/>
                <w:kern w:val="24"/>
                <w:lang w:val="en-US" w:eastAsia="zh-CN"/>
              </w:rPr>
              <w:t>M</w:t>
            </w:r>
            <w:r>
              <w:rPr>
                <w:rFonts w:ascii="Qualcomm Office Regular" w:eastAsia="宋体" w:hAnsi="Qualcomm Office Regular" w:cs="Arial"/>
                <w:color w:val="000000"/>
                <w:kern w:val="24"/>
                <w:lang w:val="en-US" w:eastAsia="zh-CN"/>
              </w:rPr>
              <w:t>ode 1-1</w:t>
            </w:r>
          </w:p>
        </w:tc>
      </w:tr>
      <w:tr w:rsidR="00E45568" w:rsidRPr="00E6678D" w14:paraId="0043EDDA" w14:textId="405D6EC8" w:rsidTr="00E45568">
        <w:trPr>
          <w:trHeight w:val="268"/>
          <w:jc w:val="center"/>
        </w:trPr>
        <w:tc>
          <w:tcPr>
            <w:tcW w:w="1955"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4BD3491E" w14:textId="4C0453AB" w:rsidR="00E45568" w:rsidRPr="00E6678D" w:rsidRDefault="00E45568" w:rsidP="00E45FE5">
            <w:pPr>
              <w:overflowPunct/>
              <w:autoSpaceDE/>
              <w:autoSpaceDN/>
              <w:adjustRightInd/>
              <w:spacing w:after="0"/>
              <w:textAlignment w:val="auto"/>
              <w:rPr>
                <w:rFonts w:ascii="Arial" w:eastAsia="宋体" w:hAnsi="Arial" w:cs="Arial"/>
                <w:lang w:val="en-US" w:eastAsia="zh-CN"/>
              </w:rPr>
            </w:pPr>
            <w:r>
              <w:rPr>
                <w:rFonts w:ascii="Qualcomm Office Regular" w:eastAsia="宋体" w:hAnsi="Qualcomm Office Regular" w:cs="Arial"/>
                <w:color w:val="000000"/>
                <w:kern w:val="24"/>
                <w:lang w:val="en-US" w:eastAsia="zh-CN"/>
              </w:rPr>
              <w:t>Aperiodic CSI</w:t>
            </w:r>
          </w:p>
        </w:tc>
        <w:tc>
          <w:tcPr>
            <w:tcW w:w="243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03A8DD71" w14:textId="3DAE1D05" w:rsidR="00E45568" w:rsidRPr="00E6678D" w:rsidRDefault="00E45568" w:rsidP="00E45FE5">
            <w:pPr>
              <w:overflowPunct/>
              <w:autoSpaceDE/>
              <w:autoSpaceDN/>
              <w:adjustRightInd/>
              <w:spacing w:after="0"/>
              <w:textAlignment w:val="auto"/>
              <w:rPr>
                <w:rFonts w:ascii="Arial" w:eastAsia="宋体" w:hAnsi="Arial" w:cs="Arial"/>
                <w:lang w:val="en-US" w:eastAsia="zh-CN"/>
              </w:rPr>
            </w:pPr>
            <w:r>
              <w:rPr>
                <w:rFonts w:ascii="Qualcomm Office Regular" w:eastAsia="宋体" w:hAnsi="Qualcomm Office Regular" w:cs="Arial"/>
                <w:color w:val="000000"/>
                <w:kern w:val="24"/>
                <w:lang w:val="en-US" w:eastAsia="zh-CN"/>
              </w:rPr>
              <w:t>Mode 2-0</w:t>
            </w:r>
          </w:p>
        </w:tc>
        <w:tc>
          <w:tcPr>
            <w:tcW w:w="2268" w:type="dxa"/>
            <w:tcBorders>
              <w:top w:val="single" w:sz="8" w:space="0" w:color="FFFFFF"/>
              <w:left w:val="single" w:sz="8" w:space="0" w:color="FFFFFF"/>
              <w:bottom w:val="single" w:sz="8" w:space="0" w:color="FFFFFF"/>
              <w:right w:val="single" w:sz="8" w:space="0" w:color="FFFFFF"/>
            </w:tcBorders>
            <w:shd w:val="clear" w:color="auto" w:fill="EBF6FC"/>
          </w:tcPr>
          <w:p w14:paraId="5B6FC7D2" w14:textId="1F1D5A7D" w:rsidR="00E45568" w:rsidRPr="00E6678D" w:rsidRDefault="00E45568" w:rsidP="00E45FE5">
            <w:pPr>
              <w:overflowPunct/>
              <w:autoSpaceDE/>
              <w:autoSpaceDN/>
              <w:adjustRightInd/>
              <w:spacing w:after="0"/>
              <w:textAlignment w:val="auto"/>
              <w:rPr>
                <w:rFonts w:ascii="Qualcomm Office Regular" w:eastAsia="宋体" w:hAnsi="Qualcomm Office Regular" w:cs="Arial"/>
                <w:color w:val="000000"/>
                <w:kern w:val="24"/>
                <w:lang w:val="en-US" w:eastAsia="zh-CN"/>
              </w:rPr>
            </w:pPr>
            <w:proofErr w:type="gramStart"/>
            <w:r>
              <w:rPr>
                <w:rFonts w:ascii="Qualcomm Office Regular" w:eastAsia="宋体" w:hAnsi="Qualcomm Office Regular" w:cs="Arial" w:hint="eastAsia"/>
                <w:color w:val="000000"/>
                <w:kern w:val="24"/>
                <w:lang w:val="en-US" w:eastAsia="zh-CN"/>
              </w:rPr>
              <w:t>N</w:t>
            </w:r>
            <w:r>
              <w:rPr>
                <w:rFonts w:ascii="Qualcomm Office Regular" w:eastAsia="宋体" w:hAnsi="Qualcomm Office Regular" w:cs="Arial"/>
                <w:color w:val="000000"/>
                <w:kern w:val="24"/>
                <w:lang w:val="en-US" w:eastAsia="zh-CN"/>
              </w:rPr>
              <w:t>.A</w:t>
            </w:r>
            <w:proofErr w:type="gramEnd"/>
          </w:p>
        </w:tc>
      </w:tr>
    </w:tbl>
    <w:p w14:paraId="54920EB5" w14:textId="578CE485" w:rsidR="00E45568" w:rsidRDefault="00E45568" w:rsidP="00CA03EB">
      <w:pPr>
        <w:widowControl w:val="0"/>
        <w:wordWrap w:val="0"/>
        <w:spacing w:after="120"/>
        <w:contextualSpacing/>
        <w:jc w:val="both"/>
        <w:rPr>
          <w:rFonts w:eastAsia="Batang"/>
          <w:snapToGrid w:val="0"/>
          <w:kern w:val="2"/>
          <w:szCs w:val="22"/>
          <w:lang w:eastAsia="ko-KR"/>
        </w:rPr>
      </w:pPr>
    </w:p>
    <w:p w14:paraId="74F225C9" w14:textId="0ECB3AC0" w:rsidR="00245424" w:rsidRPr="00E6678D" w:rsidRDefault="00245424" w:rsidP="00245424">
      <w:pPr>
        <w:pStyle w:val="LGTdoc1"/>
        <w:spacing w:beforeLines="0" w:before="120" w:after="220" w:afterAutospacing="0"/>
        <w:rPr>
          <w:sz w:val="20"/>
          <w:szCs w:val="22"/>
        </w:rPr>
      </w:pPr>
      <w:r>
        <w:rPr>
          <w:sz w:val="20"/>
          <w:szCs w:val="22"/>
          <w:u w:val="single"/>
        </w:rPr>
        <w:lastRenderedPageBreak/>
        <w:t>Proposal</w:t>
      </w:r>
      <w:r w:rsidRPr="00E6678D">
        <w:rPr>
          <w:sz w:val="20"/>
          <w:szCs w:val="22"/>
          <w:u w:val="single"/>
        </w:rPr>
        <w:t xml:space="preserve"> </w:t>
      </w:r>
      <w:r w:rsidR="00BE1BDA">
        <w:rPr>
          <w:sz w:val="20"/>
          <w:szCs w:val="22"/>
          <w:u w:val="single"/>
        </w:rPr>
        <w:t>1</w:t>
      </w:r>
      <w:r w:rsidRPr="00E6678D">
        <w:rPr>
          <w:sz w:val="20"/>
          <w:szCs w:val="22"/>
          <w:u w:val="single"/>
        </w:rPr>
        <w:t>:</w:t>
      </w:r>
      <w:r w:rsidRPr="00E6678D">
        <w:rPr>
          <w:sz w:val="20"/>
          <w:szCs w:val="22"/>
        </w:rPr>
        <w:t xml:space="preserve"> </w:t>
      </w:r>
      <w:r>
        <w:rPr>
          <w:sz w:val="20"/>
          <w:szCs w:val="22"/>
        </w:rPr>
        <w:t xml:space="preserve">PMI feedback </w:t>
      </w:r>
      <w:r w:rsidR="00436B03">
        <w:rPr>
          <w:sz w:val="20"/>
          <w:szCs w:val="22"/>
        </w:rPr>
        <w:t>is</w:t>
      </w:r>
      <w:r>
        <w:rPr>
          <w:sz w:val="20"/>
          <w:szCs w:val="22"/>
        </w:rPr>
        <w:t xml:space="preserve"> supported for aperiodic CSI reporting for the non-BL UE in CE mode A. Either mode 1-1 wideband PMI reporting or mode 2-2 </w:t>
      </w:r>
      <w:proofErr w:type="spellStart"/>
      <w:r>
        <w:rPr>
          <w:sz w:val="20"/>
          <w:szCs w:val="22"/>
        </w:rPr>
        <w:t>subband</w:t>
      </w:r>
      <w:proofErr w:type="spellEnd"/>
      <w:r>
        <w:rPr>
          <w:sz w:val="20"/>
          <w:szCs w:val="22"/>
        </w:rPr>
        <w:t xml:space="preserve"> PMI reporting can be configured.</w:t>
      </w:r>
      <w:r w:rsidRPr="00E6678D">
        <w:rPr>
          <w:sz w:val="20"/>
          <w:szCs w:val="22"/>
        </w:rPr>
        <w:t xml:space="preserve"> </w:t>
      </w:r>
    </w:p>
    <w:p w14:paraId="679413FC" w14:textId="5629B72E" w:rsidR="00C957FB" w:rsidRPr="00E12FB1" w:rsidRDefault="00C957FB" w:rsidP="00C957FB">
      <w:pPr>
        <w:spacing w:beforeLines="50" w:before="120" w:line="276" w:lineRule="auto"/>
        <w:rPr>
          <w:b/>
          <w:u w:val="single"/>
          <w:lang w:eastAsia="zh-CN"/>
        </w:rPr>
      </w:pPr>
      <w:r>
        <w:rPr>
          <w:b/>
          <w:u w:val="single"/>
          <w:lang w:eastAsia="zh-CN"/>
        </w:rPr>
        <w:t>CSI-RS Measurement Bandwidth</w:t>
      </w:r>
    </w:p>
    <w:p w14:paraId="3151344B" w14:textId="4A84B489" w:rsidR="00C957FB" w:rsidRDefault="00245424" w:rsidP="00CA03EB">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 xml:space="preserve">For CRS based CSI feedback, </w:t>
      </w:r>
      <w:r w:rsidR="00110B92">
        <w:rPr>
          <w:rFonts w:eastAsia="Batang"/>
          <w:snapToGrid w:val="0"/>
          <w:kern w:val="2"/>
          <w:szCs w:val="22"/>
          <w:lang w:eastAsia="ko-KR"/>
        </w:rPr>
        <w:t>t</w:t>
      </w:r>
      <w:r>
        <w:rPr>
          <w:rFonts w:eastAsia="Batang"/>
          <w:snapToGrid w:val="0"/>
          <w:kern w:val="2"/>
          <w:szCs w:val="22"/>
          <w:lang w:eastAsia="ko-KR"/>
        </w:rPr>
        <w:t>he CSI reference resource</w:t>
      </w:r>
      <w:r w:rsidR="00436B03">
        <w:rPr>
          <w:rFonts w:eastAsia="Batang"/>
          <w:snapToGrid w:val="0"/>
          <w:kern w:val="2"/>
          <w:szCs w:val="22"/>
          <w:lang w:eastAsia="ko-KR"/>
        </w:rPr>
        <w:t>,</w:t>
      </w:r>
      <w:r>
        <w:rPr>
          <w:rFonts w:eastAsia="Batang"/>
          <w:snapToGrid w:val="0"/>
          <w:kern w:val="2"/>
          <w:szCs w:val="22"/>
          <w:lang w:eastAsia="ko-KR"/>
        </w:rPr>
        <w:t xml:space="preserve"> which</w:t>
      </w:r>
      <w:r w:rsidR="00436B03">
        <w:rPr>
          <w:rFonts w:eastAsia="Batang"/>
          <w:snapToGrid w:val="0"/>
          <w:kern w:val="2"/>
          <w:szCs w:val="22"/>
          <w:lang w:eastAsia="ko-KR"/>
        </w:rPr>
        <w:t xml:space="preserve"> is used to derive the CQI value, consists of</w:t>
      </w:r>
      <w:r>
        <w:rPr>
          <w:rFonts w:eastAsia="Batang"/>
          <w:snapToGrid w:val="0"/>
          <w:kern w:val="2"/>
          <w:szCs w:val="22"/>
          <w:lang w:eastAsia="ko-KR"/>
        </w:rPr>
        <w:t xml:space="preserve"> all the NBs </w:t>
      </w:r>
      <w:r w:rsidR="00436B03">
        <w:rPr>
          <w:rFonts w:eastAsia="Batang"/>
          <w:snapToGrid w:val="0"/>
          <w:kern w:val="2"/>
          <w:szCs w:val="22"/>
          <w:lang w:eastAsia="ko-KR"/>
        </w:rPr>
        <w:t xml:space="preserve">used for MPDCCH monitoring and may span over a set of subframes. </w:t>
      </w:r>
      <w:r w:rsidR="00414322">
        <w:rPr>
          <w:rFonts w:eastAsia="Batang"/>
          <w:snapToGrid w:val="0"/>
          <w:kern w:val="2"/>
          <w:szCs w:val="22"/>
          <w:lang w:eastAsia="ko-KR"/>
        </w:rPr>
        <w:t xml:space="preserve">In other words, UE reports the CSI corresponding to the </w:t>
      </w:r>
      <w:proofErr w:type="spellStart"/>
      <w:r w:rsidR="00414322">
        <w:rPr>
          <w:rFonts w:eastAsia="Batang"/>
          <w:snapToGrid w:val="0"/>
          <w:kern w:val="2"/>
          <w:szCs w:val="22"/>
          <w:lang w:eastAsia="ko-KR"/>
        </w:rPr>
        <w:t>narrowbands</w:t>
      </w:r>
      <w:proofErr w:type="spellEnd"/>
      <w:r w:rsidR="00414322">
        <w:rPr>
          <w:rFonts w:eastAsia="Batang"/>
          <w:snapToGrid w:val="0"/>
          <w:kern w:val="2"/>
          <w:szCs w:val="22"/>
          <w:lang w:eastAsia="ko-KR"/>
        </w:rPr>
        <w:t xml:space="preserve"> used for MPDCCH monitoring. </w:t>
      </w:r>
      <w:r w:rsidR="00436B03">
        <w:rPr>
          <w:rFonts w:eastAsia="Batang"/>
          <w:snapToGrid w:val="0"/>
          <w:kern w:val="2"/>
          <w:szCs w:val="22"/>
          <w:lang w:eastAsia="ko-KR"/>
        </w:rPr>
        <w:t xml:space="preserve">The same principle can be adopted </w:t>
      </w:r>
      <w:r w:rsidR="00C957FB">
        <w:rPr>
          <w:rFonts w:eastAsia="Batang"/>
          <w:snapToGrid w:val="0"/>
          <w:kern w:val="2"/>
          <w:szCs w:val="22"/>
          <w:lang w:eastAsia="ko-KR"/>
        </w:rPr>
        <w:t>when</w:t>
      </w:r>
      <w:r w:rsidR="00436B03">
        <w:rPr>
          <w:rFonts w:eastAsia="Batang"/>
          <w:snapToGrid w:val="0"/>
          <w:kern w:val="2"/>
          <w:szCs w:val="22"/>
          <w:lang w:eastAsia="ko-KR"/>
        </w:rPr>
        <w:t xml:space="preserve"> CSI-RS </w:t>
      </w:r>
      <w:r w:rsidR="00C957FB">
        <w:rPr>
          <w:rFonts w:eastAsia="Batang"/>
          <w:snapToGrid w:val="0"/>
          <w:kern w:val="2"/>
          <w:szCs w:val="22"/>
          <w:lang w:eastAsia="ko-KR"/>
        </w:rPr>
        <w:t xml:space="preserve">is configured for </w:t>
      </w:r>
      <w:r w:rsidR="00436B03">
        <w:rPr>
          <w:rFonts w:eastAsia="Batang"/>
          <w:snapToGrid w:val="0"/>
          <w:kern w:val="2"/>
          <w:szCs w:val="22"/>
          <w:lang w:eastAsia="ko-KR"/>
        </w:rPr>
        <w:t xml:space="preserve">CSI </w:t>
      </w:r>
      <w:r w:rsidR="00C957FB">
        <w:rPr>
          <w:rFonts w:eastAsia="Batang"/>
          <w:snapToGrid w:val="0"/>
          <w:kern w:val="2"/>
          <w:szCs w:val="22"/>
          <w:lang w:eastAsia="ko-KR"/>
        </w:rPr>
        <w:t xml:space="preserve">reporting so that the non-BL </w:t>
      </w:r>
      <w:r w:rsidR="00436B03">
        <w:rPr>
          <w:rFonts w:eastAsia="Batang"/>
          <w:snapToGrid w:val="0"/>
          <w:kern w:val="2"/>
          <w:szCs w:val="22"/>
          <w:lang w:eastAsia="ko-KR"/>
        </w:rPr>
        <w:t xml:space="preserve">UE </w:t>
      </w:r>
      <w:r w:rsidR="00414322">
        <w:rPr>
          <w:rFonts w:eastAsia="Batang"/>
          <w:snapToGrid w:val="0"/>
          <w:kern w:val="2"/>
          <w:szCs w:val="22"/>
          <w:lang w:eastAsia="ko-KR"/>
        </w:rPr>
        <w:t xml:space="preserve">measures and </w:t>
      </w:r>
      <w:r w:rsidR="00436B03">
        <w:rPr>
          <w:rFonts w:eastAsia="Batang"/>
          <w:snapToGrid w:val="0"/>
          <w:kern w:val="2"/>
          <w:szCs w:val="22"/>
          <w:lang w:eastAsia="ko-KR"/>
        </w:rPr>
        <w:t xml:space="preserve">reports the CSI based on </w:t>
      </w:r>
      <w:r w:rsidR="00C957FB">
        <w:rPr>
          <w:rFonts w:eastAsia="Batang"/>
          <w:snapToGrid w:val="0"/>
          <w:kern w:val="2"/>
          <w:szCs w:val="22"/>
          <w:lang w:eastAsia="ko-KR"/>
        </w:rPr>
        <w:t xml:space="preserve">the </w:t>
      </w:r>
      <w:r w:rsidR="00436B03">
        <w:rPr>
          <w:rFonts w:eastAsia="Batang"/>
          <w:snapToGrid w:val="0"/>
          <w:kern w:val="2"/>
          <w:szCs w:val="22"/>
          <w:lang w:eastAsia="ko-KR"/>
        </w:rPr>
        <w:t xml:space="preserve">CSI-RS on the </w:t>
      </w:r>
      <w:proofErr w:type="spellStart"/>
      <w:r w:rsidR="00436B03">
        <w:rPr>
          <w:rFonts w:eastAsia="Batang"/>
          <w:snapToGrid w:val="0"/>
          <w:kern w:val="2"/>
          <w:szCs w:val="22"/>
          <w:lang w:eastAsia="ko-KR"/>
        </w:rPr>
        <w:t>narrowbands</w:t>
      </w:r>
      <w:proofErr w:type="spellEnd"/>
      <w:r w:rsidR="00436B03">
        <w:rPr>
          <w:rFonts w:eastAsia="Batang"/>
          <w:snapToGrid w:val="0"/>
          <w:kern w:val="2"/>
          <w:szCs w:val="22"/>
          <w:lang w:eastAsia="ko-KR"/>
        </w:rPr>
        <w:t xml:space="preserve"> used for MPDCCH monitoring. </w:t>
      </w:r>
      <w:r w:rsidR="00C957FB">
        <w:rPr>
          <w:rFonts w:eastAsia="Batang"/>
          <w:snapToGrid w:val="0"/>
          <w:kern w:val="2"/>
          <w:szCs w:val="22"/>
          <w:lang w:eastAsia="ko-KR"/>
        </w:rPr>
        <w:t xml:space="preserve">It shall be possible that the non-BL UE uses the CSI-RS outside the </w:t>
      </w:r>
      <w:proofErr w:type="spellStart"/>
      <w:r w:rsidR="00C957FB">
        <w:rPr>
          <w:rFonts w:eastAsia="Batang"/>
          <w:snapToGrid w:val="0"/>
          <w:kern w:val="2"/>
          <w:szCs w:val="22"/>
          <w:lang w:eastAsia="ko-KR"/>
        </w:rPr>
        <w:t>narrowbands</w:t>
      </w:r>
      <w:proofErr w:type="spellEnd"/>
      <w:r w:rsidR="00C957FB">
        <w:rPr>
          <w:rFonts w:eastAsia="Batang"/>
          <w:snapToGrid w:val="0"/>
          <w:kern w:val="2"/>
          <w:szCs w:val="22"/>
          <w:lang w:eastAsia="ko-KR"/>
        </w:rPr>
        <w:t xml:space="preserve"> for MPDCCH monitoring for frequency domain filtering for improving CSI-RS channel estimation, however, the reported CSI shall </w:t>
      </w:r>
      <w:r w:rsidR="00E45FE5">
        <w:rPr>
          <w:rFonts w:eastAsia="Batang"/>
          <w:snapToGrid w:val="0"/>
          <w:kern w:val="2"/>
          <w:szCs w:val="22"/>
          <w:lang w:eastAsia="ko-KR"/>
        </w:rPr>
        <w:t xml:space="preserve">be based on the </w:t>
      </w:r>
      <w:proofErr w:type="spellStart"/>
      <w:r w:rsidR="00E45FE5">
        <w:rPr>
          <w:rFonts w:eastAsia="Batang"/>
          <w:snapToGrid w:val="0"/>
          <w:kern w:val="2"/>
          <w:szCs w:val="22"/>
          <w:lang w:eastAsia="ko-KR"/>
        </w:rPr>
        <w:t>narrowbands</w:t>
      </w:r>
      <w:proofErr w:type="spellEnd"/>
      <w:r w:rsidR="00E45FE5">
        <w:rPr>
          <w:rFonts w:eastAsia="Batang"/>
          <w:snapToGrid w:val="0"/>
          <w:kern w:val="2"/>
          <w:szCs w:val="22"/>
          <w:lang w:eastAsia="ko-KR"/>
        </w:rPr>
        <w:t xml:space="preserve"> used for MPDCCH monitoring. </w:t>
      </w:r>
      <w:r w:rsidR="00C957FB">
        <w:rPr>
          <w:rFonts w:eastAsia="Batang"/>
          <w:snapToGrid w:val="0"/>
          <w:kern w:val="2"/>
          <w:szCs w:val="22"/>
          <w:lang w:eastAsia="ko-KR"/>
        </w:rPr>
        <w:t xml:space="preserve"> </w:t>
      </w:r>
    </w:p>
    <w:p w14:paraId="7CE1FDDC" w14:textId="77777777" w:rsidR="00C957FB" w:rsidRDefault="00C957FB" w:rsidP="00CA03EB">
      <w:pPr>
        <w:widowControl w:val="0"/>
        <w:wordWrap w:val="0"/>
        <w:spacing w:after="120"/>
        <w:contextualSpacing/>
        <w:jc w:val="both"/>
        <w:rPr>
          <w:rFonts w:eastAsia="Batang"/>
          <w:snapToGrid w:val="0"/>
          <w:kern w:val="2"/>
          <w:szCs w:val="22"/>
          <w:lang w:eastAsia="ko-KR"/>
        </w:rPr>
      </w:pPr>
    </w:p>
    <w:p w14:paraId="6F45695D" w14:textId="6B562251" w:rsidR="00414322" w:rsidRDefault="00435139" w:rsidP="00CA03EB">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 xml:space="preserve">However, </w:t>
      </w:r>
      <w:r w:rsidR="00436B03">
        <w:rPr>
          <w:rFonts w:eastAsia="Batang"/>
          <w:snapToGrid w:val="0"/>
          <w:kern w:val="2"/>
          <w:szCs w:val="22"/>
          <w:lang w:eastAsia="ko-KR"/>
        </w:rPr>
        <w:t xml:space="preserve">the PDSCH transmission bandwidth </w:t>
      </w:r>
      <w:r>
        <w:rPr>
          <w:rFonts w:eastAsia="Batang"/>
          <w:snapToGrid w:val="0"/>
          <w:kern w:val="2"/>
          <w:szCs w:val="22"/>
          <w:lang w:eastAsia="ko-KR"/>
        </w:rPr>
        <w:t xml:space="preserve">for the non-BL UE operating in CE mode A </w:t>
      </w:r>
      <w:r w:rsidR="00436B03">
        <w:rPr>
          <w:rFonts w:eastAsia="Batang"/>
          <w:snapToGrid w:val="0"/>
          <w:kern w:val="2"/>
          <w:szCs w:val="22"/>
          <w:lang w:eastAsia="ko-KR"/>
        </w:rPr>
        <w:t xml:space="preserve">can be </w:t>
      </w:r>
      <w:r w:rsidR="00414322">
        <w:rPr>
          <w:rFonts w:eastAsia="Batang"/>
          <w:snapToGrid w:val="0"/>
          <w:kern w:val="2"/>
          <w:szCs w:val="22"/>
          <w:lang w:eastAsia="ko-KR"/>
        </w:rPr>
        <w:t>larger than 1.4MHz</w:t>
      </w:r>
      <w:r w:rsidR="00436B03">
        <w:rPr>
          <w:rFonts w:eastAsia="Batang"/>
          <w:snapToGrid w:val="0"/>
          <w:kern w:val="2"/>
          <w:szCs w:val="22"/>
          <w:lang w:eastAsia="ko-KR"/>
        </w:rPr>
        <w:t xml:space="preserve">. </w:t>
      </w:r>
      <w:r w:rsidR="00414322">
        <w:rPr>
          <w:rFonts w:eastAsia="Batang"/>
          <w:snapToGrid w:val="0"/>
          <w:kern w:val="2"/>
          <w:szCs w:val="22"/>
          <w:lang w:eastAsia="ko-KR"/>
        </w:rPr>
        <w:t xml:space="preserve">When the configured maximum PDSCH transmission bandwidth is 20MHz, it seems not performance optimum to report the CSI only for </w:t>
      </w:r>
      <w:proofErr w:type="spellStart"/>
      <w:r w:rsidR="00414322">
        <w:rPr>
          <w:rFonts w:eastAsia="Batang"/>
          <w:snapToGrid w:val="0"/>
          <w:kern w:val="2"/>
          <w:szCs w:val="22"/>
          <w:lang w:eastAsia="ko-KR"/>
        </w:rPr>
        <w:t>narrowbands</w:t>
      </w:r>
      <w:proofErr w:type="spellEnd"/>
      <w:r w:rsidR="00414322">
        <w:rPr>
          <w:rFonts w:eastAsia="Batang"/>
          <w:snapToGrid w:val="0"/>
          <w:kern w:val="2"/>
          <w:szCs w:val="22"/>
          <w:lang w:eastAsia="ko-KR"/>
        </w:rPr>
        <w:t xml:space="preserve"> used for MPDCCH monitoring. Although this is the case for the Cat M2 UE according to the current specification, we think this can be improved at least for the non-BL UE operating in coverage enhancement mode so that the reported CSI can accurately reflect the channel condition in the scheduled bandwidth. </w:t>
      </w:r>
    </w:p>
    <w:p w14:paraId="740B3A6E" w14:textId="7D9243F1" w:rsidR="00414322" w:rsidRDefault="00414322" w:rsidP="00CA03EB">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 xml:space="preserve"> </w:t>
      </w:r>
    </w:p>
    <w:p w14:paraId="4CC187A3" w14:textId="05B4712D" w:rsidR="005D0E8F" w:rsidRDefault="005D0E8F" w:rsidP="005D0E8F">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 xml:space="preserve">If </w:t>
      </w:r>
      <w:r w:rsidR="00436B03">
        <w:rPr>
          <w:rFonts w:eastAsia="Batang"/>
          <w:snapToGrid w:val="0"/>
          <w:kern w:val="2"/>
          <w:szCs w:val="22"/>
          <w:lang w:eastAsia="ko-KR"/>
        </w:rPr>
        <w:t xml:space="preserve">the </w:t>
      </w:r>
      <w:proofErr w:type="spellStart"/>
      <w:r w:rsidR="00436B03">
        <w:rPr>
          <w:rFonts w:eastAsia="Batang"/>
          <w:snapToGrid w:val="0"/>
          <w:kern w:val="2"/>
          <w:szCs w:val="22"/>
          <w:lang w:eastAsia="ko-KR"/>
        </w:rPr>
        <w:t>narrowbands</w:t>
      </w:r>
      <w:proofErr w:type="spellEnd"/>
      <w:r w:rsidR="00436B03">
        <w:rPr>
          <w:rFonts w:eastAsia="Batang"/>
          <w:snapToGrid w:val="0"/>
          <w:kern w:val="2"/>
          <w:szCs w:val="22"/>
          <w:lang w:eastAsia="ko-KR"/>
        </w:rPr>
        <w:t xml:space="preserve"> other than those </w:t>
      </w:r>
      <w:r w:rsidR="00435139">
        <w:rPr>
          <w:rFonts w:eastAsia="Batang"/>
          <w:snapToGrid w:val="0"/>
          <w:kern w:val="2"/>
          <w:szCs w:val="22"/>
          <w:lang w:eastAsia="ko-KR"/>
        </w:rPr>
        <w:t xml:space="preserve">used </w:t>
      </w:r>
      <w:r w:rsidR="00436B03">
        <w:rPr>
          <w:rFonts w:eastAsia="Batang"/>
          <w:snapToGrid w:val="0"/>
          <w:kern w:val="2"/>
          <w:szCs w:val="22"/>
          <w:lang w:eastAsia="ko-KR"/>
        </w:rPr>
        <w:t xml:space="preserve">for MPDCCH monitoring </w:t>
      </w:r>
      <w:r>
        <w:rPr>
          <w:rFonts w:eastAsia="Batang"/>
          <w:snapToGrid w:val="0"/>
          <w:kern w:val="2"/>
          <w:szCs w:val="22"/>
          <w:lang w:eastAsia="ko-KR"/>
        </w:rPr>
        <w:t xml:space="preserve">are </w:t>
      </w:r>
      <w:r w:rsidR="00436B03">
        <w:rPr>
          <w:rFonts w:eastAsia="Batang"/>
          <w:snapToGrid w:val="0"/>
          <w:kern w:val="2"/>
          <w:szCs w:val="22"/>
          <w:lang w:eastAsia="ko-KR"/>
        </w:rPr>
        <w:t>configured for CSI reporting</w:t>
      </w:r>
      <w:r>
        <w:rPr>
          <w:rFonts w:eastAsia="Batang"/>
          <w:snapToGrid w:val="0"/>
          <w:kern w:val="2"/>
          <w:szCs w:val="22"/>
          <w:lang w:eastAsia="ko-KR"/>
        </w:rPr>
        <w:t xml:space="preserve">, it shall be not assumed that all the </w:t>
      </w:r>
      <w:proofErr w:type="spellStart"/>
      <w:r>
        <w:rPr>
          <w:rFonts w:eastAsia="Batang"/>
          <w:snapToGrid w:val="0"/>
          <w:kern w:val="2"/>
          <w:szCs w:val="22"/>
          <w:lang w:eastAsia="ko-KR"/>
        </w:rPr>
        <w:t>narrowbands</w:t>
      </w:r>
      <w:proofErr w:type="spellEnd"/>
      <w:r>
        <w:rPr>
          <w:rFonts w:eastAsia="Batang"/>
          <w:snapToGrid w:val="0"/>
          <w:kern w:val="2"/>
          <w:szCs w:val="22"/>
          <w:lang w:eastAsia="ko-KR"/>
        </w:rPr>
        <w:t xml:space="preserve"> of the system are used for CSI reporting. The </w:t>
      </w:r>
      <w:r w:rsidR="006C3DCB">
        <w:rPr>
          <w:rFonts w:eastAsia="Batang"/>
          <w:snapToGrid w:val="0"/>
          <w:kern w:val="2"/>
          <w:szCs w:val="22"/>
          <w:lang w:eastAsia="ko-KR"/>
        </w:rPr>
        <w:t xml:space="preserve">CSI reporting </w:t>
      </w:r>
      <w:r>
        <w:rPr>
          <w:rFonts w:eastAsia="Batang"/>
          <w:snapToGrid w:val="0"/>
          <w:kern w:val="2"/>
          <w:szCs w:val="22"/>
          <w:lang w:eastAsia="ko-KR"/>
        </w:rPr>
        <w:t xml:space="preserve">bandwidth shall not exceed the configured maximum PDSCH transmission bandwidth. This is because the CQI is </w:t>
      </w:r>
      <w:r w:rsidR="006C3DCB">
        <w:rPr>
          <w:rFonts w:eastAsia="Batang"/>
          <w:snapToGrid w:val="0"/>
          <w:kern w:val="2"/>
          <w:szCs w:val="22"/>
          <w:lang w:eastAsia="ko-KR"/>
        </w:rPr>
        <w:t>defined with a linkage of possible PDSCH assignment, i.e. by mapping a PDSCH to the CSI reference resource.</w:t>
      </w:r>
      <w:r>
        <w:rPr>
          <w:rFonts w:eastAsia="Batang"/>
          <w:snapToGrid w:val="0"/>
          <w:kern w:val="2"/>
          <w:szCs w:val="22"/>
          <w:lang w:eastAsia="ko-KR"/>
        </w:rPr>
        <w:t xml:space="preserve"> </w:t>
      </w:r>
      <w:r w:rsidR="006C3DCB">
        <w:rPr>
          <w:rFonts w:eastAsia="Batang"/>
          <w:snapToGrid w:val="0"/>
          <w:kern w:val="2"/>
          <w:szCs w:val="22"/>
          <w:lang w:eastAsia="ko-KR"/>
        </w:rPr>
        <w:t xml:space="preserve">If the CSI reference resource has a size larger than the maximum PDSCH transmission bandwidth, the reported wideband CQI cannot be correctly tested. Secondly, the </w:t>
      </w:r>
      <w:proofErr w:type="spellStart"/>
      <w:r w:rsidR="006C3DCB">
        <w:rPr>
          <w:rFonts w:eastAsia="Batang"/>
          <w:snapToGrid w:val="0"/>
          <w:kern w:val="2"/>
          <w:szCs w:val="22"/>
          <w:lang w:eastAsia="ko-KR"/>
        </w:rPr>
        <w:t>subband</w:t>
      </w:r>
      <w:proofErr w:type="spellEnd"/>
      <w:r w:rsidR="006C3DCB">
        <w:rPr>
          <w:rFonts w:eastAsia="Batang"/>
          <w:snapToGrid w:val="0"/>
          <w:kern w:val="2"/>
          <w:szCs w:val="22"/>
          <w:lang w:eastAsia="ko-KR"/>
        </w:rPr>
        <w:t xml:space="preserve"> CQI is differentially encoded relative to the wideband CQI. </w:t>
      </w:r>
      <w:r w:rsidR="007C18EC">
        <w:rPr>
          <w:rFonts w:eastAsia="Batang"/>
          <w:snapToGrid w:val="0"/>
          <w:kern w:val="2"/>
          <w:szCs w:val="22"/>
          <w:lang w:eastAsia="ko-KR"/>
        </w:rPr>
        <w:t xml:space="preserve">If the wideband CQI consists of the bandwidth not assigned to PDSCH, the reported </w:t>
      </w:r>
      <w:proofErr w:type="spellStart"/>
      <w:r w:rsidR="007C18EC">
        <w:rPr>
          <w:rFonts w:eastAsia="Batang"/>
          <w:snapToGrid w:val="0"/>
          <w:kern w:val="2"/>
          <w:szCs w:val="22"/>
          <w:lang w:eastAsia="ko-KR"/>
        </w:rPr>
        <w:t>subbband</w:t>
      </w:r>
      <w:proofErr w:type="spellEnd"/>
      <w:r w:rsidR="007C18EC">
        <w:rPr>
          <w:rFonts w:eastAsia="Batang"/>
          <w:snapToGrid w:val="0"/>
          <w:kern w:val="2"/>
          <w:szCs w:val="22"/>
          <w:lang w:eastAsia="ko-KR"/>
        </w:rPr>
        <w:t xml:space="preserve"> CQI may be either over or under estimated thus degrading the PDSCH performance if the PDSCH is scheduled based on the reported CQI.</w:t>
      </w:r>
      <w:r w:rsidR="006C3DCB">
        <w:rPr>
          <w:rFonts w:eastAsia="Batang"/>
          <w:snapToGrid w:val="0"/>
          <w:kern w:val="2"/>
          <w:szCs w:val="22"/>
          <w:lang w:eastAsia="ko-KR"/>
        </w:rPr>
        <w:t xml:space="preserve">   </w:t>
      </w:r>
    </w:p>
    <w:p w14:paraId="57DE0FE8" w14:textId="77777777" w:rsidR="005D0E8F" w:rsidRDefault="005D0E8F" w:rsidP="005D0E8F">
      <w:pPr>
        <w:widowControl w:val="0"/>
        <w:wordWrap w:val="0"/>
        <w:spacing w:after="120"/>
        <w:contextualSpacing/>
        <w:jc w:val="both"/>
        <w:rPr>
          <w:rFonts w:eastAsia="Batang"/>
          <w:snapToGrid w:val="0"/>
          <w:kern w:val="2"/>
          <w:szCs w:val="22"/>
          <w:lang w:eastAsia="ko-KR"/>
        </w:rPr>
      </w:pPr>
    </w:p>
    <w:p w14:paraId="138AA153" w14:textId="7E830EEA" w:rsidR="00E45FE5" w:rsidRDefault="007C18EC" w:rsidP="00CA03EB">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 xml:space="preserve">Therefore, for CSI-RS based CSI feedback, the </w:t>
      </w:r>
      <w:proofErr w:type="spellStart"/>
      <w:r>
        <w:rPr>
          <w:rFonts w:eastAsia="Batang"/>
          <w:snapToGrid w:val="0"/>
          <w:kern w:val="2"/>
          <w:szCs w:val="22"/>
          <w:lang w:eastAsia="ko-KR"/>
        </w:rPr>
        <w:t>narrowbands</w:t>
      </w:r>
      <w:proofErr w:type="spellEnd"/>
      <w:r>
        <w:rPr>
          <w:rFonts w:eastAsia="Batang"/>
          <w:snapToGrid w:val="0"/>
          <w:kern w:val="2"/>
          <w:szCs w:val="22"/>
          <w:lang w:eastAsia="ko-KR"/>
        </w:rPr>
        <w:t xml:space="preserve"> for CSI reporting configured by the network </w:t>
      </w:r>
      <w:r w:rsidR="00FC2CCD">
        <w:rPr>
          <w:rFonts w:eastAsia="Batang"/>
          <w:snapToGrid w:val="0"/>
          <w:kern w:val="2"/>
          <w:szCs w:val="22"/>
          <w:lang w:eastAsia="ko-KR"/>
        </w:rPr>
        <w:t xml:space="preserve">shall have </w:t>
      </w:r>
      <w:r>
        <w:rPr>
          <w:rFonts w:eastAsia="Batang"/>
          <w:snapToGrid w:val="0"/>
          <w:kern w:val="2"/>
          <w:szCs w:val="22"/>
          <w:lang w:eastAsia="ko-KR"/>
        </w:rPr>
        <w:t xml:space="preserve">a size not exceeding the configured maximum PDSCH transmission bandwidth. </w:t>
      </w:r>
      <w:r w:rsidR="00FC2CCD">
        <w:rPr>
          <w:rFonts w:eastAsia="Batang"/>
          <w:snapToGrid w:val="0"/>
          <w:kern w:val="2"/>
          <w:szCs w:val="22"/>
          <w:lang w:eastAsia="ko-KR"/>
        </w:rPr>
        <w:t>Also, c</w:t>
      </w:r>
      <w:r>
        <w:rPr>
          <w:rFonts w:eastAsia="Batang"/>
          <w:snapToGrid w:val="0"/>
          <w:kern w:val="2"/>
          <w:szCs w:val="22"/>
          <w:lang w:eastAsia="ko-KR"/>
        </w:rPr>
        <w:t>onsidering</w:t>
      </w:r>
      <w:r w:rsidR="00FC2CCD">
        <w:rPr>
          <w:rFonts w:eastAsia="Batang"/>
          <w:snapToGrid w:val="0"/>
          <w:kern w:val="2"/>
          <w:szCs w:val="22"/>
          <w:lang w:eastAsia="ko-KR"/>
        </w:rPr>
        <w:t xml:space="preserve"> coexistence with NR, </w:t>
      </w:r>
      <w:proofErr w:type="spellStart"/>
      <w:r w:rsidR="00FC2CCD">
        <w:rPr>
          <w:rFonts w:eastAsia="Batang"/>
          <w:snapToGrid w:val="0"/>
          <w:kern w:val="2"/>
          <w:szCs w:val="22"/>
          <w:lang w:eastAsia="ko-KR"/>
        </w:rPr>
        <w:t>narrowbands</w:t>
      </w:r>
      <w:proofErr w:type="spellEnd"/>
      <w:r w:rsidR="00FC2CCD">
        <w:rPr>
          <w:rFonts w:eastAsia="Batang"/>
          <w:snapToGrid w:val="0"/>
          <w:kern w:val="2"/>
          <w:szCs w:val="22"/>
          <w:lang w:eastAsia="ko-KR"/>
        </w:rPr>
        <w:t xml:space="preserve"> that are reserved for NR DL transmission shall be excluded from CSI reporting, and therefore the </w:t>
      </w:r>
      <w:proofErr w:type="spellStart"/>
      <w:r w:rsidR="00FC2CCD">
        <w:rPr>
          <w:rFonts w:eastAsia="Batang"/>
          <w:snapToGrid w:val="0"/>
          <w:kern w:val="2"/>
          <w:szCs w:val="22"/>
          <w:lang w:eastAsia="ko-KR"/>
        </w:rPr>
        <w:t>narrowbands</w:t>
      </w:r>
      <w:proofErr w:type="spellEnd"/>
      <w:r w:rsidR="00FC2CCD">
        <w:rPr>
          <w:rFonts w:eastAsia="Batang"/>
          <w:snapToGrid w:val="0"/>
          <w:kern w:val="2"/>
          <w:szCs w:val="22"/>
          <w:lang w:eastAsia="ko-KR"/>
        </w:rPr>
        <w:t xml:space="preserve"> configured for the CSI reporting for the non-BL UE can be either continuous or discontinuous in the frequency domain.  </w:t>
      </w:r>
    </w:p>
    <w:p w14:paraId="1229B049" w14:textId="77777777" w:rsidR="007C18EC" w:rsidRDefault="007C18EC" w:rsidP="00CA03EB">
      <w:pPr>
        <w:widowControl w:val="0"/>
        <w:wordWrap w:val="0"/>
        <w:spacing w:after="120"/>
        <w:contextualSpacing/>
        <w:jc w:val="both"/>
        <w:rPr>
          <w:rFonts w:eastAsia="Batang"/>
          <w:snapToGrid w:val="0"/>
          <w:kern w:val="2"/>
          <w:szCs w:val="22"/>
          <w:lang w:eastAsia="ko-KR"/>
        </w:rPr>
      </w:pPr>
    </w:p>
    <w:p w14:paraId="7CFF379E" w14:textId="3115F9FE" w:rsidR="00435139" w:rsidRDefault="00435139" w:rsidP="00435139">
      <w:pPr>
        <w:pStyle w:val="LGTdoc1"/>
        <w:spacing w:beforeLines="0" w:before="120" w:after="220" w:afterAutospacing="0"/>
        <w:rPr>
          <w:sz w:val="20"/>
          <w:szCs w:val="22"/>
        </w:rPr>
      </w:pPr>
      <w:r>
        <w:rPr>
          <w:sz w:val="20"/>
          <w:szCs w:val="22"/>
          <w:u w:val="single"/>
        </w:rPr>
        <w:t>Proposal</w:t>
      </w:r>
      <w:r w:rsidRPr="00E6678D">
        <w:rPr>
          <w:sz w:val="20"/>
          <w:szCs w:val="22"/>
          <w:u w:val="single"/>
        </w:rPr>
        <w:t xml:space="preserve"> </w:t>
      </w:r>
      <w:r w:rsidR="00FC2CCD">
        <w:rPr>
          <w:sz w:val="20"/>
          <w:szCs w:val="22"/>
          <w:u w:val="single"/>
        </w:rPr>
        <w:t>2</w:t>
      </w:r>
      <w:r w:rsidRPr="00E6678D">
        <w:rPr>
          <w:sz w:val="20"/>
          <w:szCs w:val="22"/>
          <w:u w:val="single"/>
        </w:rPr>
        <w:t>:</w:t>
      </w:r>
      <w:r w:rsidRPr="00E6678D">
        <w:rPr>
          <w:sz w:val="20"/>
          <w:szCs w:val="22"/>
        </w:rPr>
        <w:t xml:space="preserve"> </w:t>
      </w:r>
      <w:r>
        <w:rPr>
          <w:sz w:val="20"/>
          <w:szCs w:val="22"/>
        </w:rPr>
        <w:t>For CSI-RS based CSI feedback, the</w:t>
      </w:r>
      <w:r w:rsidR="00FC2CCD">
        <w:rPr>
          <w:sz w:val="20"/>
          <w:szCs w:val="22"/>
        </w:rPr>
        <w:t xml:space="preserve"> non-BL UE can be configured with a subset of the </w:t>
      </w:r>
      <w:r>
        <w:rPr>
          <w:sz w:val="20"/>
          <w:szCs w:val="22"/>
        </w:rPr>
        <w:t>narrowband</w:t>
      </w:r>
      <w:r w:rsidR="00EA6E62">
        <w:rPr>
          <w:sz w:val="20"/>
          <w:szCs w:val="22"/>
        </w:rPr>
        <w:t>(</w:t>
      </w:r>
      <w:r>
        <w:rPr>
          <w:sz w:val="20"/>
          <w:szCs w:val="22"/>
        </w:rPr>
        <w:t>s</w:t>
      </w:r>
      <w:r w:rsidR="00EA6E62">
        <w:rPr>
          <w:sz w:val="20"/>
          <w:szCs w:val="22"/>
        </w:rPr>
        <w:t>)</w:t>
      </w:r>
      <w:r>
        <w:rPr>
          <w:sz w:val="20"/>
          <w:szCs w:val="22"/>
        </w:rPr>
        <w:t xml:space="preserve"> </w:t>
      </w:r>
      <w:r w:rsidR="00FC2CCD">
        <w:rPr>
          <w:sz w:val="20"/>
          <w:szCs w:val="22"/>
        </w:rPr>
        <w:t xml:space="preserve">in addition to the </w:t>
      </w:r>
      <w:proofErr w:type="spellStart"/>
      <w:r w:rsidR="00FC2CCD">
        <w:rPr>
          <w:sz w:val="20"/>
          <w:szCs w:val="22"/>
        </w:rPr>
        <w:t>narrowbands</w:t>
      </w:r>
      <w:proofErr w:type="spellEnd"/>
      <w:r w:rsidR="00FC2CCD">
        <w:rPr>
          <w:sz w:val="20"/>
          <w:szCs w:val="22"/>
        </w:rPr>
        <w:t xml:space="preserve"> </w:t>
      </w:r>
      <w:r>
        <w:rPr>
          <w:sz w:val="20"/>
          <w:szCs w:val="22"/>
        </w:rPr>
        <w:t xml:space="preserve">for MPDCCH monitoring </w:t>
      </w:r>
      <w:r w:rsidR="00FC2CCD">
        <w:rPr>
          <w:sz w:val="20"/>
          <w:szCs w:val="22"/>
        </w:rPr>
        <w:t>f</w:t>
      </w:r>
      <w:r>
        <w:rPr>
          <w:sz w:val="20"/>
          <w:szCs w:val="22"/>
        </w:rPr>
        <w:t>or CSI reporting</w:t>
      </w:r>
      <w:r w:rsidR="00FC2CCD">
        <w:rPr>
          <w:sz w:val="20"/>
          <w:szCs w:val="22"/>
        </w:rPr>
        <w:t>. The total CSI reporting bandwidth shall not exceed the configured</w:t>
      </w:r>
      <w:r>
        <w:rPr>
          <w:sz w:val="20"/>
          <w:szCs w:val="22"/>
        </w:rPr>
        <w:t xml:space="preserve"> maximum </w:t>
      </w:r>
      <w:r w:rsidR="00EA6E62">
        <w:rPr>
          <w:sz w:val="20"/>
          <w:szCs w:val="22"/>
        </w:rPr>
        <w:t>PDSCH transmission bandwidth.</w:t>
      </w:r>
      <w:r w:rsidRPr="00E6678D">
        <w:rPr>
          <w:sz w:val="20"/>
          <w:szCs w:val="22"/>
        </w:rPr>
        <w:t xml:space="preserve"> </w:t>
      </w:r>
    </w:p>
    <w:p w14:paraId="12C10B79" w14:textId="0AB6B6AF" w:rsidR="00FC2CCD" w:rsidRPr="00E12FB1" w:rsidRDefault="00FC2CCD" w:rsidP="00FC2CCD">
      <w:pPr>
        <w:spacing w:beforeLines="50" w:before="120" w:line="276" w:lineRule="auto"/>
        <w:rPr>
          <w:b/>
          <w:u w:val="single"/>
          <w:lang w:eastAsia="zh-CN"/>
        </w:rPr>
      </w:pPr>
      <w:r>
        <w:rPr>
          <w:b/>
          <w:u w:val="single"/>
          <w:lang w:eastAsia="zh-CN"/>
        </w:rPr>
        <w:t>Aperiodic CSI-RS</w:t>
      </w:r>
    </w:p>
    <w:p w14:paraId="6BEF2ACB" w14:textId="49E25F02" w:rsidR="00EA6E62" w:rsidRPr="00EA6E62" w:rsidRDefault="00EA6E62" w:rsidP="00CA03EB">
      <w:pPr>
        <w:widowControl w:val="0"/>
        <w:wordWrap w:val="0"/>
        <w:spacing w:after="120"/>
        <w:contextualSpacing/>
        <w:jc w:val="both"/>
        <w:rPr>
          <w:rFonts w:eastAsia="Batang"/>
          <w:snapToGrid w:val="0"/>
          <w:kern w:val="2"/>
          <w:szCs w:val="22"/>
          <w:lang w:eastAsia="ko-KR"/>
        </w:rPr>
      </w:pPr>
      <w:r>
        <w:rPr>
          <w:rFonts w:eastAsia="Batang" w:hint="eastAsia"/>
          <w:snapToGrid w:val="0"/>
          <w:kern w:val="2"/>
          <w:szCs w:val="22"/>
          <w:lang w:eastAsia="ko-KR"/>
        </w:rPr>
        <w:t>I</w:t>
      </w:r>
      <w:r>
        <w:rPr>
          <w:rFonts w:eastAsia="Batang"/>
          <w:snapToGrid w:val="0"/>
          <w:kern w:val="2"/>
          <w:szCs w:val="22"/>
          <w:lang w:eastAsia="ko-KR"/>
        </w:rPr>
        <w:t>n current specification, aperiodic CSI-RS can also be configured for CSI measure and reporting</w:t>
      </w:r>
      <w:r w:rsidR="00FC2CCD">
        <w:rPr>
          <w:rFonts w:eastAsia="Batang"/>
          <w:snapToGrid w:val="0"/>
          <w:kern w:val="2"/>
          <w:szCs w:val="22"/>
          <w:lang w:eastAsia="ko-KR"/>
        </w:rPr>
        <w:t xml:space="preserve"> for the non-BL/CE UE</w:t>
      </w:r>
      <w:r>
        <w:rPr>
          <w:rFonts w:eastAsia="Batang"/>
          <w:snapToGrid w:val="0"/>
          <w:kern w:val="2"/>
          <w:szCs w:val="22"/>
          <w:lang w:eastAsia="ko-KR"/>
        </w:rPr>
        <w:t>. Different from periodic CSI-RS, the presence of aperiodic CSI-RS is triggered by the DCI for UL grant and if triggered it is transmitted only once on the same subframe as the triggering DCI. The usage of aperiodic CSI-RS is mainly to reduce the CSI-RS overhead when CSI reporting is based on UE specific beamformed CSI-RS. For the non-BL UE operating in CE mode A, the performance benefits for supporting FD-MIMO with UE specific beamforming are not clear. Also, the</w:t>
      </w:r>
      <w:r w:rsidR="00FC2CCD">
        <w:rPr>
          <w:rFonts w:eastAsia="Batang"/>
          <w:snapToGrid w:val="0"/>
          <w:kern w:val="2"/>
          <w:szCs w:val="22"/>
          <w:lang w:eastAsia="ko-KR"/>
        </w:rPr>
        <w:t xml:space="preserve"> one-shot transmission of aperiodic CSI-RS </w:t>
      </w:r>
      <w:r w:rsidR="00116887">
        <w:rPr>
          <w:rFonts w:eastAsia="Batang"/>
          <w:snapToGrid w:val="0"/>
          <w:kern w:val="2"/>
          <w:szCs w:val="22"/>
          <w:lang w:eastAsia="ko-KR"/>
        </w:rPr>
        <w:t>cannot</w:t>
      </w:r>
      <w:r w:rsidR="00FC2CCD">
        <w:rPr>
          <w:rFonts w:eastAsia="Batang"/>
          <w:snapToGrid w:val="0"/>
          <w:kern w:val="2"/>
          <w:szCs w:val="22"/>
          <w:lang w:eastAsia="ko-KR"/>
        </w:rPr>
        <w:t xml:space="preserve"> </w:t>
      </w:r>
      <w:r w:rsidR="00116887">
        <w:rPr>
          <w:rFonts w:eastAsia="Batang"/>
          <w:snapToGrid w:val="0"/>
          <w:kern w:val="2"/>
          <w:szCs w:val="22"/>
          <w:lang w:eastAsia="ko-KR"/>
        </w:rPr>
        <w:t xml:space="preserve">achieve good </w:t>
      </w:r>
      <w:r w:rsidR="00CD6353">
        <w:rPr>
          <w:rFonts w:eastAsia="Batang"/>
          <w:snapToGrid w:val="0"/>
          <w:kern w:val="2"/>
          <w:szCs w:val="22"/>
          <w:lang w:eastAsia="ko-KR"/>
        </w:rPr>
        <w:t xml:space="preserve">channel estimation performance </w:t>
      </w:r>
      <w:r w:rsidR="00FC2CCD">
        <w:rPr>
          <w:rFonts w:eastAsia="Batang"/>
          <w:snapToGrid w:val="0"/>
          <w:kern w:val="2"/>
          <w:szCs w:val="22"/>
          <w:lang w:eastAsia="ko-KR"/>
        </w:rPr>
        <w:t>for the non-BL UE operating in coverage enhancement mode since</w:t>
      </w:r>
      <w:r>
        <w:rPr>
          <w:rFonts w:eastAsia="Batang"/>
          <w:snapToGrid w:val="0"/>
          <w:kern w:val="2"/>
          <w:szCs w:val="22"/>
          <w:lang w:eastAsia="ko-KR"/>
        </w:rPr>
        <w:t xml:space="preserve"> the received SINR may be very low. </w:t>
      </w:r>
    </w:p>
    <w:p w14:paraId="3C07DCE7" w14:textId="272ABB8A" w:rsidR="00EA6E62" w:rsidRDefault="00EA6E62" w:rsidP="00EA6E62">
      <w:pPr>
        <w:pStyle w:val="LGTdoc1"/>
        <w:spacing w:beforeLines="0" w:before="120" w:after="220" w:afterAutospacing="0"/>
        <w:rPr>
          <w:sz w:val="20"/>
          <w:szCs w:val="22"/>
        </w:rPr>
      </w:pPr>
      <w:r>
        <w:rPr>
          <w:sz w:val="20"/>
          <w:szCs w:val="22"/>
          <w:u w:val="single"/>
        </w:rPr>
        <w:t>Proposal</w:t>
      </w:r>
      <w:r w:rsidRPr="00E6678D">
        <w:rPr>
          <w:sz w:val="20"/>
          <w:szCs w:val="22"/>
          <w:u w:val="single"/>
        </w:rPr>
        <w:t xml:space="preserve"> </w:t>
      </w:r>
      <w:r w:rsidR="00FC2CCD">
        <w:rPr>
          <w:sz w:val="20"/>
          <w:szCs w:val="22"/>
          <w:u w:val="single"/>
        </w:rPr>
        <w:t>3</w:t>
      </w:r>
      <w:r w:rsidRPr="00E6678D">
        <w:rPr>
          <w:sz w:val="20"/>
          <w:szCs w:val="22"/>
          <w:u w:val="single"/>
        </w:rPr>
        <w:t>:</w:t>
      </w:r>
      <w:r w:rsidRPr="00E6678D">
        <w:rPr>
          <w:sz w:val="20"/>
          <w:szCs w:val="22"/>
        </w:rPr>
        <w:t xml:space="preserve"> </w:t>
      </w:r>
      <w:r>
        <w:rPr>
          <w:sz w:val="20"/>
          <w:szCs w:val="22"/>
        </w:rPr>
        <w:t>Aperiodic CSI-RS is not supported for the non-BL UE operating in CE mode A.</w:t>
      </w:r>
      <w:r w:rsidRPr="00E6678D">
        <w:rPr>
          <w:sz w:val="20"/>
          <w:szCs w:val="22"/>
        </w:rPr>
        <w:t xml:space="preserve"> </w:t>
      </w:r>
    </w:p>
    <w:p w14:paraId="7FC6E756" w14:textId="7A3C5074" w:rsidR="001E1C8D" w:rsidRDefault="001E1C8D" w:rsidP="002037A4">
      <w:pPr>
        <w:pStyle w:val="Heading1"/>
      </w:pPr>
      <w:r>
        <w:t>3</w:t>
      </w:r>
      <w:r>
        <w:tab/>
        <w:t>ETWS/CMAS in connected mode</w:t>
      </w:r>
    </w:p>
    <w:p w14:paraId="39255497" w14:textId="06BEBDC4" w:rsidR="00D940F9" w:rsidRDefault="001E1C8D" w:rsidP="001E1C8D">
      <w:r>
        <w:t xml:space="preserve">One </w:t>
      </w:r>
      <w:r w:rsidR="00D940F9">
        <w:t xml:space="preserve">of </w:t>
      </w:r>
      <w:r>
        <w:t>the WI objective</w:t>
      </w:r>
      <w:r w:rsidR="00D940F9">
        <w:t>s</w:t>
      </w:r>
      <w:r>
        <w:t xml:space="preserve"> for the </w:t>
      </w:r>
      <w:r w:rsidRPr="001E1C8D">
        <w:t>CE Mode A and B improvements for non-BL UEs</w:t>
      </w:r>
      <w:r>
        <w:t xml:space="preserve"> </w:t>
      </w:r>
      <w:r w:rsidR="00D940F9">
        <w:t>is to support “</w:t>
      </w:r>
      <w:r>
        <w:t>ETWS/CMAS</w:t>
      </w:r>
      <w:r w:rsidR="00D940F9">
        <w:t xml:space="preserve"> in connected mode”. RAN2 has made the following assumption in last meeting:</w:t>
      </w:r>
    </w:p>
    <w:p w14:paraId="7A036665" w14:textId="77777777" w:rsidR="00D940F9" w:rsidRPr="00D940F9" w:rsidRDefault="00D940F9" w:rsidP="00D940F9">
      <w:pPr>
        <w:pStyle w:val="Doc-text2"/>
        <w:pBdr>
          <w:top w:val="single" w:sz="4" w:space="1" w:color="auto"/>
          <w:left w:val="single" w:sz="4" w:space="4" w:color="auto"/>
          <w:bottom w:val="single" w:sz="4" w:space="1" w:color="auto"/>
          <w:right w:val="single" w:sz="4" w:space="4" w:color="auto"/>
        </w:pBdr>
        <w:spacing w:after="120"/>
        <w:rPr>
          <w:rFonts w:ascii="Times New Roman" w:hAnsi="Times New Roman"/>
          <w:b/>
          <w:lang w:eastAsia="en-GB"/>
        </w:rPr>
      </w:pPr>
      <w:r w:rsidRPr="00D940F9">
        <w:rPr>
          <w:rFonts w:ascii="Times New Roman" w:hAnsi="Times New Roman"/>
          <w:b/>
        </w:rPr>
        <w:t>Agreements</w:t>
      </w:r>
    </w:p>
    <w:p w14:paraId="6F7C3B88" w14:textId="77777777" w:rsidR="00D940F9" w:rsidRDefault="00D940F9" w:rsidP="00D940F9">
      <w:pPr>
        <w:pStyle w:val="Doc-text2"/>
        <w:pBdr>
          <w:top w:val="single" w:sz="4" w:space="1" w:color="auto"/>
          <w:left w:val="single" w:sz="4" w:space="4" w:color="auto"/>
          <w:bottom w:val="single" w:sz="4" w:space="1" w:color="auto"/>
          <w:right w:val="single" w:sz="4" w:space="4" w:color="auto"/>
        </w:pBdr>
        <w:tabs>
          <w:tab w:val="left" w:pos="1276"/>
        </w:tabs>
        <w:rPr>
          <w:lang w:val="en-US"/>
        </w:rPr>
      </w:pPr>
      <w:r>
        <w:rPr>
          <w:lang w:val="en-US"/>
        </w:rPr>
        <w:lastRenderedPageBreak/>
        <w:t xml:space="preserve">- </w:t>
      </w:r>
      <w:r w:rsidRPr="00D940F9">
        <w:rPr>
          <w:rFonts w:ascii="Times New Roman" w:hAnsi="Times New Roman"/>
          <w:lang w:val="en-US"/>
        </w:rPr>
        <w:t>Working assumption: In connected mode n</w:t>
      </w:r>
      <w:r w:rsidRPr="00D940F9">
        <w:rPr>
          <w:rFonts w:ascii="Times New Roman" w:hAnsi="Times New Roman"/>
        </w:rPr>
        <w:t>on-BL UEs in CE monitor MPDCCH to receive ETWS indication and/or CMAS indication</w:t>
      </w:r>
      <w:r w:rsidRPr="00D940F9">
        <w:rPr>
          <w:rFonts w:ascii="Times New Roman" w:hAnsi="Times New Roman"/>
          <w:noProof/>
        </w:rPr>
        <w:t xml:space="preserve"> using CSS in the same narrowband where unicast transmission can be received</w:t>
      </w:r>
      <w:r>
        <w:rPr>
          <w:noProof/>
        </w:rPr>
        <w:t>.</w:t>
      </w:r>
    </w:p>
    <w:p w14:paraId="0C04C094" w14:textId="77777777" w:rsidR="00D940F9" w:rsidRDefault="00D940F9" w:rsidP="00D940F9">
      <w:pPr>
        <w:pStyle w:val="Doc-text2"/>
        <w:pBdr>
          <w:top w:val="single" w:sz="4" w:space="1" w:color="auto"/>
          <w:left w:val="single" w:sz="4" w:space="4" w:color="auto"/>
          <w:bottom w:val="single" w:sz="4" w:space="1" w:color="auto"/>
          <w:right w:val="single" w:sz="4" w:space="4" w:color="auto"/>
        </w:pBdr>
        <w:tabs>
          <w:tab w:val="left" w:pos="1276"/>
        </w:tabs>
        <w:rPr>
          <w:lang w:val="en-US"/>
        </w:rPr>
      </w:pPr>
    </w:p>
    <w:p w14:paraId="76E767B3" w14:textId="4383FD65" w:rsidR="001E1C8D" w:rsidRDefault="001E1C8D" w:rsidP="001E1C8D">
      <w:r>
        <w:t xml:space="preserve"> </w:t>
      </w:r>
    </w:p>
    <w:p w14:paraId="22DC999F" w14:textId="4AC9AC9E" w:rsidR="002C0DCB" w:rsidRDefault="00D940F9" w:rsidP="001E1C8D">
      <w:r>
        <w:t xml:space="preserve">In [2], </w:t>
      </w:r>
      <w:r w:rsidR="002C0DCB">
        <w:t>the</w:t>
      </w:r>
      <w:r>
        <w:t xml:space="preserve"> LS was sent from RAN2 to </w:t>
      </w:r>
      <w:r w:rsidR="002C0DCB">
        <w:t xml:space="preserve">ask </w:t>
      </w:r>
      <w:r>
        <w:t xml:space="preserve">RAN1 </w:t>
      </w:r>
      <w:r w:rsidR="002C0DCB">
        <w:t xml:space="preserve">the </w:t>
      </w:r>
      <w:r>
        <w:t>following questions</w:t>
      </w:r>
      <w:r w:rsidR="002C0DCB">
        <w:t xml:space="preserve"> about monitoring ETWS/CMAS in connected mode. </w:t>
      </w:r>
    </w:p>
    <w:p w14:paraId="36CF17CA" w14:textId="11440C7E" w:rsidR="00D940F9" w:rsidRDefault="00D940F9" w:rsidP="00D940F9">
      <w:pPr>
        <w:numPr>
          <w:ilvl w:val="0"/>
          <w:numId w:val="46"/>
        </w:numPr>
        <w:spacing w:before="120" w:after="0"/>
        <w:ind w:left="714" w:hanging="357"/>
        <w:textAlignment w:val="auto"/>
        <w:rPr>
          <w:sz w:val="22"/>
          <w:szCs w:val="22"/>
          <w:lang w:eastAsia="en-GB"/>
        </w:rPr>
      </w:pPr>
      <w:r w:rsidRPr="00D940F9">
        <w:t>Whether it is feasible for a non-BL UE in CE in connected mode to monitor MPDCCH to receive ETWS indication and/or CMAS indication using CSS in the same narrowband where unicast transmission can be receiv</w:t>
      </w:r>
      <w:r>
        <w:t>ed?</w:t>
      </w:r>
    </w:p>
    <w:p w14:paraId="41D074D4" w14:textId="0EEDE2B3" w:rsidR="00D940F9" w:rsidRDefault="00D940F9" w:rsidP="00D940F9">
      <w:pPr>
        <w:numPr>
          <w:ilvl w:val="0"/>
          <w:numId w:val="46"/>
        </w:numPr>
        <w:spacing w:before="120" w:after="0"/>
        <w:ind w:left="714" w:hanging="357"/>
        <w:textAlignment w:val="auto"/>
        <w:rPr>
          <w:sz w:val="22"/>
          <w:szCs w:val="22"/>
        </w:rPr>
      </w:pPr>
      <w:r w:rsidRPr="00D940F9">
        <w:t>Whether it is possible for a non-BL UE in CE in connected mode to monitor USS and CSS simultaneously in the same narrowban</w:t>
      </w:r>
      <w:r>
        <w:t>d?</w:t>
      </w:r>
      <w:r>
        <w:rPr>
          <w:noProof/>
          <w:sz w:val="22"/>
          <w:szCs w:val="22"/>
        </w:rPr>
        <w:t xml:space="preserve"> </w:t>
      </w:r>
    </w:p>
    <w:p w14:paraId="399CEDD9" w14:textId="5E186EB1" w:rsidR="00D940F9" w:rsidRDefault="00D940F9" w:rsidP="001E1C8D">
      <w:r>
        <w:t xml:space="preserve"> </w:t>
      </w:r>
    </w:p>
    <w:p w14:paraId="0E417534" w14:textId="17ABC6E0" w:rsidR="00D43BB9" w:rsidRDefault="00AF7E5B" w:rsidP="001E1C8D">
      <w:r>
        <w:t xml:space="preserve">Currently in CE mode A, LTE-MTC UE can be configured with both Type0-CSS and USS on the same narrowband for MPDCCH monitoring. </w:t>
      </w:r>
      <w:r w:rsidR="00D43BB9">
        <w:t xml:space="preserve">Type0-CSS can be used for fallback and group power control (DCI format 3/3A). </w:t>
      </w:r>
      <w:r w:rsidR="006D4030">
        <w:t>In addition to the same PRB set used for Type0-CSS and USS, t</w:t>
      </w:r>
      <w:r>
        <w:t xml:space="preserve">he </w:t>
      </w:r>
      <w:r w:rsidR="006D4030">
        <w:t xml:space="preserve">scrambling sequence (i.e. UERS scrambling sequence, MPDCCH scrambling sequence) </w:t>
      </w:r>
      <w:r w:rsidR="00C30531">
        <w:t xml:space="preserve">and transmission type (i.e. localized or distributed) </w:t>
      </w:r>
      <w:r w:rsidR="00D43BB9">
        <w:t>are</w:t>
      </w:r>
      <w:r w:rsidR="006D4030">
        <w:t xml:space="preserve"> </w:t>
      </w:r>
      <w:r w:rsidR="00D43BB9">
        <w:t xml:space="preserve">also </w:t>
      </w:r>
      <w:r w:rsidR="006D4030">
        <w:t xml:space="preserve">same. The Type0-CSS </w:t>
      </w:r>
      <w:r>
        <w:t xml:space="preserve">DCI size and RNTI </w:t>
      </w:r>
      <w:r w:rsidR="006D4030">
        <w:t xml:space="preserve">can </w:t>
      </w:r>
      <w:r>
        <w:t xml:space="preserve">be different from that of USS, and </w:t>
      </w:r>
      <w:r w:rsidR="006D4030">
        <w:t xml:space="preserve">the total number of BD attempts and the associated aggregation levels are </w:t>
      </w:r>
      <w:r w:rsidR="00A450AD">
        <w:t xml:space="preserve">also </w:t>
      </w:r>
      <w:r w:rsidR="006D4030">
        <w:t>different</w:t>
      </w:r>
      <w:r w:rsidR="009E5102">
        <w:t xml:space="preserve"> </w:t>
      </w:r>
      <w:r w:rsidR="006D4030">
        <w:t xml:space="preserve">between Type0-CSS and USS. </w:t>
      </w:r>
    </w:p>
    <w:p w14:paraId="4E95ED55" w14:textId="438DF066" w:rsidR="00D43BB9" w:rsidRDefault="00D43BB9" w:rsidP="001E1C8D">
      <w:r>
        <w:t xml:space="preserve">In CE mode B, LTE-MTC UE in connected mode can only be configured with UE specific search space for MPDCCH monitoring. However, the total number of BD trials for USS in CE mode B is smaller than that in CE mode A, i.e. maximum 12 </w:t>
      </w:r>
      <w:r w:rsidR="00A450AD">
        <w:t>trials</w:t>
      </w:r>
      <w:r>
        <w:t xml:space="preserve"> in CE mode B as compared to 16 </w:t>
      </w:r>
      <w:r w:rsidR="00C30531">
        <w:t>in CE mode A. Therefore, MPDCCH monitoring in CE mode B is not a bottleneck for UE from implementation perspective. It shall be possible to extend Type0-CSS also to CE mode B.</w:t>
      </w:r>
    </w:p>
    <w:p w14:paraId="2B18AFD9" w14:textId="333874A6" w:rsidR="00C30531" w:rsidRDefault="009E5102" w:rsidP="001E1C8D">
      <w:r>
        <w:t>Because LTE-MTC UE already supports monitoring of CSS in connected mode at least for CE mode A, we think it is feasible to monitor MPDCCH to receive ETWS/CMAS indication using CSS in the same narrowband as USS.</w:t>
      </w:r>
      <w:r w:rsidR="00C30531">
        <w:t xml:space="preserve"> We can consider extending Type0-CSS to CE mode B. This may lead to an increase on implementation complexity, but shall not be a big effort </w:t>
      </w:r>
      <w:r w:rsidR="00A450AD">
        <w:t xml:space="preserve">since </w:t>
      </w:r>
      <w:r w:rsidR="00C30531">
        <w:t xml:space="preserve">UE </w:t>
      </w:r>
      <w:r w:rsidR="00A450AD">
        <w:t xml:space="preserve">already </w:t>
      </w:r>
      <w:r w:rsidR="00C30531">
        <w:t>support</w:t>
      </w:r>
      <w:r w:rsidR="00A450AD">
        <w:t>s</w:t>
      </w:r>
      <w:r w:rsidR="00C30531">
        <w:t xml:space="preserve"> Type0-CSS in CE mode A.</w:t>
      </w:r>
    </w:p>
    <w:p w14:paraId="504843B3" w14:textId="03D8F60B" w:rsidR="00AA35BF" w:rsidRDefault="00AA35BF" w:rsidP="00AA35BF">
      <w:pPr>
        <w:pStyle w:val="LGTdoc1"/>
        <w:spacing w:beforeLines="0" w:before="120" w:after="220" w:afterAutospacing="0"/>
        <w:rPr>
          <w:sz w:val="20"/>
          <w:szCs w:val="22"/>
        </w:rPr>
      </w:pPr>
      <w:r>
        <w:rPr>
          <w:sz w:val="20"/>
          <w:szCs w:val="22"/>
          <w:u w:val="single"/>
        </w:rPr>
        <w:t>Observation</w:t>
      </w:r>
      <w:r w:rsidRPr="00E6678D">
        <w:rPr>
          <w:sz w:val="20"/>
          <w:szCs w:val="22"/>
          <w:u w:val="single"/>
        </w:rPr>
        <w:t xml:space="preserve"> </w:t>
      </w:r>
      <w:r>
        <w:rPr>
          <w:sz w:val="20"/>
          <w:szCs w:val="22"/>
          <w:u w:val="single"/>
        </w:rPr>
        <w:t>1</w:t>
      </w:r>
      <w:r w:rsidRPr="00E6678D">
        <w:rPr>
          <w:sz w:val="20"/>
          <w:szCs w:val="22"/>
          <w:u w:val="single"/>
        </w:rPr>
        <w:t>:</w:t>
      </w:r>
      <w:r w:rsidRPr="00E6678D">
        <w:rPr>
          <w:sz w:val="20"/>
          <w:szCs w:val="22"/>
        </w:rPr>
        <w:t xml:space="preserve"> </w:t>
      </w:r>
      <w:r>
        <w:rPr>
          <w:sz w:val="20"/>
          <w:szCs w:val="22"/>
        </w:rPr>
        <w:t>It is feasible for a non-BL UE in CE in connected mode to monitor MPDCCH to receive ETWS/CMAS indication using CSS in the same narrowband as USS</w:t>
      </w:r>
    </w:p>
    <w:p w14:paraId="2DDBC9B8" w14:textId="021DA5D5" w:rsidR="009E5102" w:rsidRDefault="00AA35BF" w:rsidP="001E1C8D">
      <w:r>
        <w:t>With respect to simultaneous monitoring of CSS and USS in the same narrowband, if we adopt the same p</w:t>
      </w:r>
      <w:r w:rsidR="009E5102">
        <w:t xml:space="preserve">rinciple </w:t>
      </w:r>
      <w:r>
        <w:t>for Type0-CSS and USS</w:t>
      </w:r>
      <w:r w:rsidR="009E5102">
        <w:t xml:space="preserve"> (i.e. using same scrambling sequence </w:t>
      </w:r>
      <w:r>
        <w:t>and same transmission type</w:t>
      </w:r>
      <w:r w:rsidR="009E5102">
        <w:t xml:space="preserve">), </w:t>
      </w:r>
      <w:r w:rsidR="00034597">
        <w:t>there is no extra complexity</w:t>
      </w:r>
      <w:r>
        <w:t xml:space="preserve"> </w:t>
      </w:r>
      <w:r w:rsidR="00034597">
        <w:t>increase and can be supported by the existing implementation</w:t>
      </w:r>
      <w:r w:rsidR="009E5102">
        <w:t>.</w:t>
      </w:r>
      <w:r w:rsidR="00034597">
        <w:t xml:space="preserve"> </w:t>
      </w:r>
      <w:r w:rsidR="009E5102">
        <w:t>For backward compatibility, a new RNTI need</w:t>
      </w:r>
      <w:r>
        <w:t>s</w:t>
      </w:r>
      <w:r w:rsidR="009E5102">
        <w:t xml:space="preserve"> to be introduced for MPDCCH for ETWS/CMAS indication.</w:t>
      </w:r>
      <w:r w:rsidR="00034597">
        <w:t xml:space="preserve"> </w:t>
      </w:r>
      <w:r w:rsidR="00A450AD">
        <w:t>T</w:t>
      </w:r>
      <w:r w:rsidR="00034597">
        <w:t>his shall be okay.</w:t>
      </w:r>
    </w:p>
    <w:p w14:paraId="2319B36C" w14:textId="46674A29" w:rsidR="00D43BB9" w:rsidRDefault="00D43BB9" w:rsidP="00D43BB9">
      <w:pPr>
        <w:pStyle w:val="LGTdoc1"/>
        <w:spacing w:beforeLines="0" w:before="120" w:after="220" w:afterAutospacing="0"/>
        <w:rPr>
          <w:sz w:val="20"/>
          <w:szCs w:val="22"/>
        </w:rPr>
      </w:pPr>
      <w:r>
        <w:rPr>
          <w:sz w:val="20"/>
          <w:szCs w:val="22"/>
          <w:u w:val="single"/>
        </w:rPr>
        <w:t>Observation</w:t>
      </w:r>
      <w:r w:rsidRPr="00E6678D">
        <w:rPr>
          <w:sz w:val="20"/>
          <w:szCs w:val="22"/>
          <w:u w:val="single"/>
        </w:rPr>
        <w:t xml:space="preserve"> </w:t>
      </w:r>
      <w:r w:rsidR="00034597">
        <w:rPr>
          <w:sz w:val="20"/>
          <w:szCs w:val="22"/>
          <w:u w:val="single"/>
        </w:rPr>
        <w:t>2</w:t>
      </w:r>
      <w:r w:rsidRPr="00E6678D">
        <w:rPr>
          <w:sz w:val="20"/>
          <w:szCs w:val="22"/>
          <w:u w:val="single"/>
        </w:rPr>
        <w:t>:</w:t>
      </w:r>
      <w:r w:rsidRPr="00E6678D">
        <w:rPr>
          <w:sz w:val="20"/>
          <w:szCs w:val="22"/>
        </w:rPr>
        <w:t xml:space="preserve"> </w:t>
      </w:r>
      <w:r>
        <w:rPr>
          <w:sz w:val="20"/>
          <w:szCs w:val="22"/>
        </w:rPr>
        <w:t xml:space="preserve">It is feasible for a non-BL UE in </w:t>
      </w:r>
      <w:r w:rsidR="00034597">
        <w:rPr>
          <w:sz w:val="20"/>
          <w:szCs w:val="22"/>
        </w:rPr>
        <w:t xml:space="preserve">CE in </w:t>
      </w:r>
      <w:r>
        <w:rPr>
          <w:sz w:val="20"/>
          <w:szCs w:val="22"/>
        </w:rPr>
        <w:t xml:space="preserve">connected mode to monitor </w:t>
      </w:r>
      <w:r w:rsidR="00034597">
        <w:rPr>
          <w:sz w:val="20"/>
          <w:szCs w:val="22"/>
        </w:rPr>
        <w:t xml:space="preserve">CSS and USS simultaneously </w:t>
      </w:r>
      <w:r>
        <w:rPr>
          <w:sz w:val="20"/>
          <w:szCs w:val="22"/>
        </w:rPr>
        <w:t xml:space="preserve">in the same narrowband </w:t>
      </w:r>
      <w:r w:rsidR="00034597">
        <w:rPr>
          <w:sz w:val="20"/>
          <w:szCs w:val="22"/>
        </w:rPr>
        <w:t>when the same scrambling sequence and transmission type are used for CSS and USS</w:t>
      </w:r>
    </w:p>
    <w:p w14:paraId="6706615D" w14:textId="77C8CBDB" w:rsidR="00514CAA" w:rsidRPr="005B4209" w:rsidRDefault="00514CAA" w:rsidP="00514CAA">
      <w:pPr>
        <w:rPr>
          <w:b/>
          <w:color w:val="FF0000"/>
        </w:rPr>
      </w:pPr>
      <w:r>
        <w:t>A</w:t>
      </w:r>
      <w:r w:rsidRPr="00514CAA">
        <w:t xml:space="preserve">nother proposal presented in RAN2#105 </w:t>
      </w:r>
      <w:r>
        <w:t xml:space="preserve">[3] </w:t>
      </w:r>
      <w:r w:rsidRPr="00514CAA">
        <w:t>was for UE to switch to wide-band receive mode to receive the common search space at every paging occasion during connected mode. But wide band operation (20MHz) consumes ~13% more power compared to narrow band operation (1.4MHz). While this does not mean overall UE power consumption will increase by up to 13% when operating in CE mode but the increase can be significant, depending on paging DRX cycle.</w:t>
      </w:r>
      <w:r>
        <w:t xml:space="preserve"> </w:t>
      </w:r>
      <w:r w:rsidRPr="00514CAA">
        <w:t>Given that ETWS/CMAS events are very rare then it does not make sense to have solution that increases UE power consumption always during connected mode</w:t>
      </w:r>
      <w:r>
        <w:t>.</w:t>
      </w:r>
    </w:p>
    <w:p w14:paraId="0F2C12D9" w14:textId="4B0486AE" w:rsidR="00514CAA" w:rsidRPr="00514CAA" w:rsidRDefault="00514CAA" w:rsidP="00514CAA">
      <w:pPr>
        <w:rPr>
          <w:rFonts w:eastAsia="Batang"/>
          <w:b/>
          <w:snapToGrid w:val="0"/>
          <w:szCs w:val="22"/>
          <w:u w:val="single"/>
          <w:lang w:eastAsia="ko-KR"/>
        </w:rPr>
      </w:pPr>
      <w:r w:rsidRPr="00514CAA">
        <w:rPr>
          <w:rFonts w:eastAsia="Batang"/>
          <w:b/>
          <w:snapToGrid w:val="0"/>
          <w:szCs w:val="22"/>
          <w:u w:val="single"/>
          <w:lang w:eastAsia="ko-KR"/>
        </w:rPr>
        <w:t xml:space="preserve">Observation </w:t>
      </w:r>
      <w:r>
        <w:rPr>
          <w:rFonts w:eastAsia="Batang"/>
          <w:b/>
          <w:snapToGrid w:val="0"/>
          <w:szCs w:val="22"/>
          <w:u w:val="single"/>
          <w:lang w:eastAsia="ko-KR"/>
        </w:rPr>
        <w:t>3</w:t>
      </w:r>
      <w:r w:rsidRPr="00514CAA">
        <w:rPr>
          <w:rFonts w:eastAsia="Batang"/>
          <w:b/>
          <w:snapToGrid w:val="0"/>
          <w:szCs w:val="22"/>
          <w:u w:val="single"/>
          <w:lang w:eastAsia="ko-KR"/>
        </w:rPr>
        <w:t xml:space="preserve">: </w:t>
      </w:r>
      <w:r w:rsidRPr="00514CAA">
        <w:rPr>
          <w:rFonts w:eastAsia="Batang"/>
          <w:b/>
          <w:snapToGrid w:val="0"/>
          <w:szCs w:val="22"/>
          <w:lang w:eastAsia="ko-KR"/>
        </w:rPr>
        <w:t xml:space="preserve">Wideband operations </w:t>
      </w:r>
      <w:r>
        <w:rPr>
          <w:rFonts w:eastAsia="Batang"/>
          <w:b/>
          <w:snapToGrid w:val="0"/>
          <w:szCs w:val="22"/>
          <w:lang w:eastAsia="ko-KR"/>
        </w:rPr>
        <w:t xml:space="preserve">for ETWS/CMAS monitoring </w:t>
      </w:r>
      <w:r w:rsidRPr="00514CAA">
        <w:rPr>
          <w:rFonts w:eastAsia="Batang"/>
          <w:b/>
          <w:snapToGrid w:val="0"/>
          <w:szCs w:val="22"/>
          <w:lang w:eastAsia="ko-KR"/>
        </w:rPr>
        <w:t>increases UE power consumption</w:t>
      </w:r>
    </w:p>
    <w:p w14:paraId="24D32882" w14:textId="55DCB582" w:rsidR="00034597" w:rsidRDefault="00034597" w:rsidP="001E1C8D">
      <w:r>
        <w:t>Based on the above discussion, we have the following proposal</w:t>
      </w:r>
      <w:r w:rsidR="00A450AD">
        <w:t>s</w:t>
      </w:r>
      <w:r>
        <w:t>:</w:t>
      </w:r>
    </w:p>
    <w:p w14:paraId="40D7BFBC" w14:textId="42FCCD4B" w:rsidR="00034597" w:rsidRDefault="00034597" w:rsidP="00034597">
      <w:pPr>
        <w:pStyle w:val="LGTdoc1"/>
        <w:spacing w:beforeLines="0" w:before="120" w:after="220" w:afterAutospacing="0"/>
        <w:rPr>
          <w:sz w:val="20"/>
          <w:szCs w:val="22"/>
        </w:rPr>
      </w:pPr>
      <w:r>
        <w:rPr>
          <w:sz w:val="20"/>
          <w:szCs w:val="22"/>
          <w:u w:val="single"/>
        </w:rPr>
        <w:t>Proposal</w:t>
      </w:r>
      <w:r w:rsidRPr="00E6678D">
        <w:rPr>
          <w:sz w:val="20"/>
          <w:szCs w:val="22"/>
          <w:u w:val="single"/>
        </w:rPr>
        <w:t xml:space="preserve"> </w:t>
      </w:r>
      <w:r>
        <w:rPr>
          <w:sz w:val="20"/>
          <w:szCs w:val="22"/>
          <w:u w:val="single"/>
        </w:rPr>
        <w:t>4</w:t>
      </w:r>
      <w:r w:rsidRPr="00E6678D">
        <w:rPr>
          <w:sz w:val="20"/>
          <w:szCs w:val="22"/>
          <w:u w:val="single"/>
        </w:rPr>
        <w:t>:</w:t>
      </w:r>
      <w:r w:rsidRPr="00E6678D">
        <w:rPr>
          <w:sz w:val="20"/>
          <w:szCs w:val="22"/>
        </w:rPr>
        <w:t xml:space="preserve"> </w:t>
      </w:r>
      <w:r>
        <w:rPr>
          <w:sz w:val="20"/>
          <w:szCs w:val="22"/>
        </w:rPr>
        <w:t>Support Type0-CSS monitoring in CE mode B for ETWS/CMAS indication for the non-BL UE in connected mode</w:t>
      </w:r>
    </w:p>
    <w:p w14:paraId="775C8212" w14:textId="1DAD2891" w:rsidR="00034597" w:rsidRDefault="00034597" w:rsidP="00034597">
      <w:pPr>
        <w:pStyle w:val="LGTdoc1"/>
        <w:spacing w:beforeLines="0" w:before="120" w:after="220" w:afterAutospacing="0"/>
        <w:rPr>
          <w:sz w:val="20"/>
          <w:szCs w:val="22"/>
        </w:rPr>
      </w:pPr>
      <w:r>
        <w:rPr>
          <w:sz w:val="20"/>
          <w:szCs w:val="22"/>
          <w:u w:val="single"/>
        </w:rPr>
        <w:t>Proposal</w:t>
      </w:r>
      <w:r w:rsidRPr="00E6678D">
        <w:rPr>
          <w:sz w:val="20"/>
          <w:szCs w:val="22"/>
          <w:u w:val="single"/>
        </w:rPr>
        <w:t xml:space="preserve"> </w:t>
      </w:r>
      <w:r>
        <w:rPr>
          <w:sz w:val="20"/>
          <w:szCs w:val="22"/>
          <w:u w:val="single"/>
        </w:rPr>
        <w:t>5</w:t>
      </w:r>
      <w:r w:rsidRPr="00E6678D">
        <w:rPr>
          <w:sz w:val="20"/>
          <w:szCs w:val="22"/>
          <w:u w:val="single"/>
        </w:rPr>
        <w:t>:</w:t>
      </w:r>
      <w:r w:rsidRPr="00E6678D">
        <w:rPr>
          <w:sz w:val="20"/>
          <w:szCs w:val="22"/>
        </w:rPr>
        <w:t xml:space="preserve"> </w:t>
      </w:r>
      <w:r>
        <w:rPr>
          <w:sz w:val="20"/>
          <w:szCs w:val="22"/>
        </w:rPr>
        <w:t xml:space="preserve">Introduce a new RNTI for MPDCCH </w:t>
      </w:r>
      <w:r w:rsidR="00A450AD">
        <w:rPr>
          <w:sz w:val="20"/>
          <w:szCs w:val="22"/>
        </w:rPr>
        <w:t>for ETWS/CMAS indication</w:t>
      </w:r>
    </w:p>
    <w:p w14:paraId="527BA53C" w14:textId="3AE11537" w:rsidR="002037A4" w:rsidRDefault="001E1C8D" w:rsidP="002037A4">
      <w:pPr>
        <w:pStyle w:val="Heading1"/>
      </w:pPr>
      <w:r>
        <w:lastRenderedPageBreak/>
        <w:t>4</w:t>
      </w:r>
      <w:r w:rsidR="002037A4">
        <w:tab/>
        <w:t>Summary</w:t>
      </w:r>
    </w:p>
    <w:p w14:paraId="1743E280" w14:textId="37881B86" w:rsidR="00A450AD" w:rsidRDefault="002037A4" w:rsidP="009433F1">
      <w:pPr>
        <w:widowControl w:val="0"/>
        <w:wordWrap w:val="0"/>
        <w:spacing w:after="120"/>
        <w:contextualSpacing/>
        <w:jc w:val="both"/>
        <w:rPr>
          <w:rFonts w:eastAsia="Batang"/>
          <w:snapToGrid w:val="0"/>
          <w:kern w:val="2"/>
          <w:szCs w:val="22"/>
          <w:lang w:eastAsia="ko-KR"/>
        </w:rPr>
      </w:pPr>
      <w:r w:rsidRPr="00101257">
        <w:rPr>
          <w:rFonts w:eastAsia="Batang" w:hint="eastAsia"/>
          <w:snapToGrid w:val="0"/>
          <w:kern w:val="2"/>
          <w:szCs w:val="22"/>
          <w:lang w:eastAsia="ko-KR"/>
        </w:rPr>
        <w:t xml:space="preserve">In this contribution, we </w:t>
      </w:r>
      <w:r w:rsidR="00697EBC" w:rsidRPr="00101257">
        <w:rPr>
          <w:rFonts w:eastAsia="Batang"/>
          <w:snapToGrid w:val="0"/>
          <w:kern w:val="2"/>
          <w:szCs w:val="22"/>
          <w:lang w:eastAsia="ko-KR"/>
        </w:rPr>
        <w:t xml:space="preserve">discuss the aspects </w:t>
      </w:r>
      <w:r w:rsidR="00B15A58" w:rsidRPr="00101257">
        <w:rPr>
          <w:rFonts w:eastAsia="Batang"/>
          <w:snapToGrid w:val="0"/>
          <w:kern w:val="2"/>
          <w:szCs w:val="22"/>
          <w:lang w:eastAsia="ko-KR"/>
        </w:rPr>
        <w:t xml:space="preserve">of </w:t>
      </w:r>
      <w:r w:rsidR="00A450AD">
        <w:rPr>
          <w:rFonts w:eastAsia="Batang"/>
          <w:snapToGrid w:val="0"/>
          <w:kern w:val="2"/>
          <w:szCs w:val="22"/>
          <w:lang w:eastAsia="ko-KR"/>
        </w:rPr>
        <w:t>CE mode A and B improvements for the non-BL UE.</w:t>
      </w:r>
    </w:p>
    <w:p w14:paraId="7B94B3C6" w14:textId="38031CD7" w:rsidR="00A450AD" w:rsidRDefault="00A450AD" w:rsidP="009433F1">
      <w:pPr>
        <w:widowControl w:val="0"/>
        <w:wordWrap w:val="0"/>
        <w:spacing w:after="120"/>
        <w:contextualSpacing/>
        <w:jc w:val="both"/>
        <w:rPr>
          <w:rFonts w:eastAsia="Batang"/>
          <w:snapToGrid w:val="0"/>
          <w:kern w:val="2"/>
          <w:szCs w:val="22"/>
          <w:lang w:eastAsia="ko-KR"/>
        </w:rPr>
      </w:pPr>
    </w:p>
    <w:p w14:paraId="667127A8" w14:textId="02C357D0" w:rsidR="009433F1" w:rsidRPr="00101257" w:rsidRDefault="00A450AD" w:rsidP="009433F1">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With respect to CSI-RS based CSI feedback in CE mode A, we m</w:t>
      </w:r>
      <w:r w:rsidR="009433F1" w:rsidRPr="00101257">
        <w:rPr>
          <w:rFonts w:eastAsia="Batang"/>
          <w:snapToGrid w:val="0"/>
          <w:kern w:val="2"/>
          <w:szCs w:val="22"/>
          <w:lang w:eastAsia="ko-KR"/>
        </w:rPr>
        <w:t>ade the following proposals:</w:t>
      </w:r>
    </w:p>
    <w:p w14:paraId="2DBFE62F" w14:textId="77777777" w:rsidR="001E1C8D" w:rsidRPr="00E6678D" w:rsidRDefault="001E1C8D" w:rsidP="001E1C8D">
      <w:pPr>
        <w:pStyle w:val="LGTdoc1"/>
        <w:spacing w:beforeLines="0" w:before="120" w:after="220" w:afterAutospacing="0"/>
        <w:rPr>
          <w:sz w:val="20"/>
          <w:szCs w:val="22"/>
        </w:rPr>
      </w:pPr>
      <w:r>
        <w:rPr>
          <w:sz w:val="20"/>
          <w:szCs w:val="22"/>
          <w:u w:val="single"/>
        </w:rPr>
        <w:t>Proposal</w:t>
      </w:r>
      <w:r w:rsidRPr="00E6678D">
        <w:rPr>
          <w:sz w:val="20"/>
          <w:szCs w:val="22"/>
          <w:u w:val="single"/>
        </w:rPr>
        <w:t xml:space="preserve"> </w:t>
      </w:r>
      <w:r>
        <w:rPr>
          <w:sz w:val="20"/>
          <w:szCs w:val="22"/>
          <w:u w:val="single"/>
        </w:rPr>
        <w:t>1</w:t>
      </w:r>
      <w:r w:rsidRPr="00E6678D">
        <w:rPr>
          <w:sz w:val="20"/>
          <w:szCs w:val="22"/>
          <w:u w:val="single"/>
        </w:rPr>
        <w:t>:</w:t>
      </w:r>
      <w:r w:rsidRPr="00E6678D">
        <w:rPr>
          <w:sz w:val="20"/>
          <w:szCs w:val="22"/>
        </w:rPr>
        <w:t xml:space="preserve"> </w:t>
      </w:r>
      <w:r>
        <w:rPr>
          <w:sz w:val="20"/>
          <w:szCs w:val="22"/>
        </w:rPr>
        <w:t xml:space="preserve">PMI feedback is supported for aperiodic CSI reporting for the non-BL UE in CE mode A. Either mode 1-1 wideband PMI reporting or mode 2-2 </w:t>
      </w:r>
      <w:proofErr w:type="spellStart"/>
      <w:r>
        <w:rPr>
          <w:sz w:val="20"/>
          <w:szCs w:val="22"/>
        </w:rPr>
        <w:t>subband</w:t>
      </w:r>
      <w:proofErr w:type="spellEnd"/>
      <w:r>
        <w:rPr>
          <w:sz w:val="20"/>
          <w:szCs w:val="22"/>
        </w:rPr>
        <w:t xml:space="preserve"> PMI reporting can be configured.</w:t>
      </w:r>
      <w:r w:rsidRPr="00E6678D">
        <w:rPr>
          <w:sz w:val="20"/>
          <w:szCs w:val="22"/>
        </w:rPr>
        <w:t xml:space="preserve"> </w:t>
      </w:r>
    </w:p>
    <w:p w14:paraId="13C49A56" w14:textId="77777777" w:rsidR="001E1C8D" w:rsidRDefault="001E1C8D" w:rsidP="001E1C8D">
      <w:pPr>
        <w:pStyle w:val="LGTdoc1"/>
        <w:spacing w:beforeLines="0" w:before="120" w:after="220" w:afterAutospacing="0"/>
        <w:rPr>
          <w:sz w:val="20"/>
          <w:szCs w:val="22"/>
        </w:rPr>
      </w:pPr>
      <w:r>
        <w:rPr>
          <w:sz w:val="20"/>
          <w:szCs w:val="22"/>
          <w:u w:val="single"/>
        </w:rPr>
        <w:t>Proposal</w:t>
      </w:r>
      <w:r w:rsidRPr="00E6678D">
        <w:rPr>
          <w:sz w:val="20"/>
          <w:szCs w:val="22"/>
          <w:u w:val="single"/>
        </w:rPr>
        <w:t xml:space="preserve"> </w:t>
      </w:r>
      <w:r>
        <w:rPr>
          <w:sz w:val="20"/>
          <w:szCs w:val="22"/>
          <w:u w:val="single"/>
        </w:rPr>
        <w:t>2</w:t>
      </w:r>
      <w:r w:rsidRPr="00E6678D">
        <w:rPr>
          <w:sz w:val="20"/>
          <w:szCs w:val="22"/>
          <w:u w:val="single"/>
        </w:rPr>
        <w:t>:</w:t>
      </w:r>
      <w:r w:rsidRPr="00E6678D">
        <w:rPr>
          <w:sz w:val="20"/>
          <w:szCs w:val="22"/>
        </w:rPr>
        <w:t xml:space="preserve"> </w:t>
      </w:r>
      <w:r>
        <w:rPr>
          <w:sz w:val="20"/>
          <w:szCs w:val="22"/>
        </w:rPr>
        <w:t xml:space="preserve">For CSI-RS based CSI feedback, the non-BL UE can be configured with a subset of the narrowband(s) in addition to the </w:t>
      </w:r>
      <w:proofErr w:type="spellStart"/>
      <w:r>
        <w:rPr>
          <w:sz w:val="20"/>
          <w:szCs w:val="22"/>
        </w:rPr>
        <w:t>narrowbands</w:t>
      </w:r>
      <w:proofErr w:type="spellEnd"/>
      <w:r>
        <w:rPr>
          <w:sz w:val="20"/>
          <w:szCs w:val="22"/>
        </w:rPr>
        <w:t xml:space="preserve"> for MPDCCH monitoring for CSI reporting. The total CSI reporting bandwidth shall not exceed the configured maximum PDSCH transmission bandwidth.</w:t>
      </w:r>
      <w:r w:rsidRPr="00E6678D">
        <w:rPr>
          <w:sz w:val="20"/>
          <w:szCs w:val="22"/>
        </w:rPr>
        <w:t xml:space="preserve"> </w:t>
      </w:r>
    </w:p>
    <w:p w14:paraId="503FB298" w14:textId="1B0C8834" w:rsidR="001E1C8D" w:rsidRDefault="001E1C8D" w:rsidP="001E1C8D">
      <w:pPr>
        <w:pStyle w:val="LGTdoc1"/>
        <w:spacing w:beforeLines="0" w:before="120" w:after="220" w:afterAutospacing="0"/>
        <w:rPr>
          <w:sz w:val="20"/>
          <w:szCs w:val="22"/>
        </w:rPr>
      </w:pPr>
      <w:r>
        <w:rPr>
          <w:sz w:val="20"/>
          <w:szCs w:val="22"/>
          <w:u w:val="single"/>
        </w:rPr>
        <w:t>Proposal</w:t>
      </w:r>
      <w:r w:rsidRPr="00E6678D">
        <w:rPr>
          <w:sz w:val="20"/>
          <w:szCs w:val="22"/>
          <w:u w:val="single"/>
        </w:rPr>
        <w:t xml:space="preserve"> </w:t>
      </w:r>
      <w:r>
        <w:rPr>
          <w:sz w:val="20"/>
          <w:szCs w:val="22"/>
          <w:u w:val="single"/>
        </w:rPr>
        <w:t>3</w:t>
      </w:r>
      <w:r w:rsidRPr="00E6678D">
        <w:rPr>
          <w:sz w:val="20"/>
          <w:szCs w:val="22"/>
          <w:u w:val="single"/>
        </w:rPr>
        <w:t>:</w:t>
      </w:r>
      <w:r w:rsidRPr="00E6678D">
        <w:rPr>
          <w:sz w:val="20"/>
          <w:szCs w:val="22"/>
        </w:rPr>
        <w:t xml:space="preserve"> </w:t>
      </w:r>
      <w:r>
        <w:rPr>
          <w:sz w:val="20"/>
          <w:szCs w:val="22"/>
        </w:rPr>
        <w:t>Aperiodic CSI-RS is not supported for the non-BL UE operating in CE mode A.</w:t>
      </w:r>
      <w:r w:rsidRPr="00E6678D">
        <w:rPr>
          <w:sz w:val="20"/>
          <w:szCs w:val="22"/>
        </w:rPr>
        <w:t xml:space="preserve"> </w:t>
      </w:r>
    </w:p>
    <w:p w14:paraId="662B4DAC" w14:textId="40B4B3F7" w:rsidR="00A450AD" w:rsidRPr="00101257" w:rsidRDefault="00A450AD" w:rsidP="00A450AD">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 xml:space="preserve">With respect to ETWS/CMAS monitoring in connected mode, we have the following observations and </w:t>
      </w:r>
      <w:r w:rsidRPr="00101257">
        <w:rPr>
          <w:rFonts w:eastAsia="Batang"/>
          <w:snapToGrid w:val="0"/>
          <w:kern w:val="2"/>
          <w:szCs w:val="22"/>
          <w:lang w:eastAsia="ko-KR"/>
        </w:rPr>
        <w:t>proposals:</w:t>
      </w:r>
    </w:p>
    <w:p w14:paraId="333E1C9E" w14:textId="77777777" w:rsidR="00A450AD" w:rsidRDefault="00A450AD" w:rsidP="00A450AD">
      <w:pPr>
        <w:pStyle w:val="LGTdoc1"/>
        <w:spacing w:beforeLines="0" w:before="120" w:after="220" w:afterAutospacing="0"/>
        <w:rPr>
          <w:sz w:val="20"/>
          <w:szCs w:val="22"/>
        </w:rPr>
      </w:pPr>
      <w:r>
        <w:rPr>
          <w:sz w:val="20"/>
          <w:szCs w:val="22"/>
          <w:u w:val="single"/>
        </w:rPr>
        <w:t>Observation</w:t>
      </w:r>
      <w:r w:rsidRPr="00E6678D">
        <w:rPr>
          <w:sz w:val="20"/>
          <w:szCs w:val="22"/>
          <w:u w:val="single"/>
        </w:rPr>
        <w:t xml:space="preserve"> </w:t>
      </w:r>
      <w:r>
        <w:rPr>
          <w:sz w:val="20"/>
          <w:szCs w:val="22"/>
          <w:u w:val="single"/>
        </w:rPr>
        <w:t>1</w:t>
      </w:r>
      <w:r w:rsidRPr="00E6678D">
        <w:rPr>
          <w:sz w:val="20"/>
          <w:szCs w:val="22"/>
          <w:u w:val="single"/>
        </w:rPr>
        <w:t>:</w:t>
      </w:r>
      <w:r w:rsidRPr="00E6678D">
        <w:rPr>
          <w:sz w:val="20"/>
          <w:szCs w:val="22"/>
        </w:rPr>
        <w:t xml:space="preserve"> </w:t>
      </w:r>
      <w:r>
        <w:rPr>
          <w:sz w:val="20"/>
          <w:szCs w:val="22"/>
        </w:rPr>
        <w:t>It is feasible for a non-BL UE in CE in connected mode to monitor MPDCCH to receive ETWS/CMAS indication using CSS in the same narrowband as USS</w:t>
      </w:r>
    </w:p>
    <w:p w14:paraId="77CFCDB9" w14:textId="77777777" w:rsidR="00514CAA" w:rsidRDefault="00514CAA" w:rsidP="00514CAA">
      <w:pPr>
        <w:pStyle w:val="LGTdoc1"/>
        <w:spacing w:beforeLines="0" w:before="120" w:after="220" w:afterAutospacing="0"/>
        <w:rPr>
          <w:sz w:val="20"/>
          <w:szCs w:val="22"/>
        </w:rPr>
      </w:pPr>
      <w:r>
        <w:rPr>
          <w:sz w:val="20"/>
          <w:szCs w:val="22"/>
          <w:u w:val="single"/>
        </w:rPr>
        <w:t>Observation</w:t>
      </w:r>
      <w:r w:rsidRPr="00E6678D">
        <w:rPr>
          <w:sz w:val="20"/>
          <w:szCs w:val="22"/>
          <w:u w:val="single"/>
        </w:rPr>
        <w:t xml:space="preserve"> </w:t>
      </w:r>
      <w:r>
        <w:rPr>
          <w:sz w:val="20"/>
          <w:szCs w:val="22"/>
          <w:u w:val="single"/>
        </w:rPr>
        <w:t>2</w:t>
      </w:r>
      <w:r w:rsidRPr="00E6678D">
        <w:rPr>
          <w:sz w:val="20"/>
          <w:szCs w:val="22"/>
          <w:u w:val="single"/>
        </w:rPr>
        <w:t>:</w:t>
      </w:r>
      <w:r w:rsidRPr="00E6678D">
        <w:rPr>
          <w:sz w:val="20"/>
          <w:szCs w:val="22"/>
        </w:rPr>
        <w:t xml:space="preserve"> </w:t>
      </w:r>
      <w:r>
        <w:rPr>
          <w:sz w:val="20"/>
          <w:szCs w:val="22"/>
        </w:rPr>
        <w:t>It is feasible for a non-BL UE in CE in connected mode to monitor CSS and USS simultaneously in the same narrowband when the same scrambling sequence and transmission type are used for CSS and USS</w:t>
      </w:r>
    </w:p>
    <w:p w14:paraId="42E7169F" w14:textId="780705F1" w:rsidR="00514CAA" w:rsidRPr="00514CAA" w:rsidRDefault="00514CAA" w:rsidP="00514CAA">
      <w:pPr>
        <w:rPr>
          <w:rFonts w:eastAsia="Batang"/>
          <w:b/>
          <w:snapToGrid w:val="0"/>
          <w:szCs w:val="22"/>
          <w:u w:val="single"/>
          <w:lang w:eastAsia="ko-KR"/>
        </w:rPr>
      </w:pPr>
      <w:r w:rsidRPr="00514CAA">
        <w:rPr>
          <w:rFonts w:eastAsia="Batang"/>
          <w:b/>
          <w:snapToGrid w:val="0"/>
          <w:szCs w:val="22"/>
          <w:u w:val="single"/>
          <w:lang w:eastAsia="ko-KR"/>
        </w:rPr>
        <w:t xml:space="preserve">Observation </w:t>
      </w:r>
      <w:r>
        <w:rPr>
          <w:rFonts w:eastAsia="Batang"/>
          <w:b/>
          <w:snapToGrid w:val="0"/>
          <w:szCs w:val="22"/>
          <w:u w:val="single"/>
          <w:lang w:eastAsia="ko-KR"/>
        </w:rPr>
        <w:t>3</w:t>
      </w:r>
      <w:r w:rsidRPr="00514CAA">
        <w:rPr>
          <w:rFonts w:eastAsia="Batang"/>
          <w:b/>
          <w:snapToGrid w:val="0"/>
          <w:szCs w:val="22"/>
          <w:u w:val="single"/>
          <w:lang w:eastAsia="ko-KR"/>
        </w:rPr>
        <w:t xml:space="preserve">: </w:t>
      </w:r>
      <w:r w:rsidRPr="00514CAA">
        <w:rPr>
          <w:rFonts w:eastAsia="Batang"/>
          <w:b/>
          <w:snapToGrid w:val="0"/>
          <w:szCs w:val="22"/>
          <w:lang w:eastAsia="ko-KR"/>
        </w:rPr>
        <w:t xml:space="preserve">Wideband operations </w:t>
      </w:r>
      <w:r>
        <w:rPr>
          <w:rFonts w:eastAsia="Batang"/>
          <w:b/>
          <w:snapToGrid w:val="0"/>
          <w:szCs w:val="22"/>
          <w:lang w:eastAsia="ko-KR"/>
        </w:rPr>
        <w:t xml:space="preserve">for ETWS/CMAS monitoring </w:t>
      </w:r>
      <w:r w:rsidRPr="00514CAA">
        <w:rPr>
          <w:rFonts w:eastAsia="Batang"/>
          <w:b/>
          <w:snapToGrid w:val="0"/>
          <w:szCs w:val="22"/>
          <w:lang w:eastAsia="ko-KR"/>
        </w:rPr>
        <w:t>increases UE power consumption</w:t>
      </w:r>
    </w:p>
    <w:p w14:paraId="2486775C" w14:textId="68DE2AA3" w:rsidR="00A450AD" w:rsidRDefault="00A450AD" w:rsidP="00A450AD">
      <w:pPr>
        <w:pStyle w:val="LGTdoc1"/>
        <w:spacing w:beforeLines="0" w:before="120" w:after="220" w:afterAutospacing="0"/>
        <w:rPr>
          <w:sz w:val="20"/>
          <w:szCs w:val="22"/>
        </w:rPr>
      </w:pPr>
      <w:r>
        <w:rPr>
          <w:sz w:val="20"/>
          <w:szCs w:val="22"/>
          <w:u w:val="single"/>
        </w:rPr>
        <w:t>Proposal</w:t>
      </w:r>
      <w:r w:rsidRPr="00E6678D">
        <w:rPr>
          <w:sz w:val="20"/>
          <w:szCs w:val="22"/>
          <w:u w:val="single"/>
        </w:rPr>
        <w:t xml:space="preserve"> </w:t>
      </w:r>
      <w:r>
        <w:rPr>
          <w:sz w:val="20"/>
          <w:szCs w:val="22"/>
          <w:u w:val="single"/>
        </w:rPr>
        <w:t>4</w:t>
      </w:r>
      <w:r w:rsidRPr="00E6678D">
        <w:rPr>
          <w:sz w:val="20"/>
          <w:szCs w:val="22"/>
          <w:u w:val="single"/>
        </w:rPr>
        <w:t>:</w:t>
      </w:r>
      <w:r w:rsidRPr="00E6678D">
        <w:rPr>
          <w:sz w:val="20"/>
          <w:szCs w:val="22"/>
        </w:rPr>
        <w:t xml:space="preserve"> </w:t>
      </w:r>
      <w:r>
        <w:rPr>
          <w:sz w:val="20"/>
          <w:szCs w:val="22"/>
        </w:rPr>
        <w:t>Support Type0-CSS monitoring in CE mode B for ETWS/CMAS indication for the non-BL UE in connected mode</w:t>
      </w:r>
    </w:p>
    <w:p w14:paraId="4AD1EADD" w14:textId="407BE7B6" w:rsidR="00A450AD" w:rsidRPr="00A450AD" w:rsidRDefault="00A450AD" w:rsidP="001E1C8D">
      <w:pPr>
        <w:pStyle w:val="LGTdoc1"/>
        <w:spacing w:beforeLines="0" w:before="120" w:after="220" w:afterAutospacing="0"/>
        <w:rPr>
          <w:sz w:val="20"/>
          <w:szCs w:val="22"/>
        </w:rPr>
      </w:pPr>
      <w:r>
        <w:rPr>
          <w:sz w:val="20"/>
          <w:szCs w:val="22"/>
          <w:u w:val="single"/>
        </w:rPr>
        <w:t>Proposal</w:t>
      </w:r>
      <w:r w:rsidRPr="00E6678D">
        <w:rPr>
          <w:sz w:val="20"/>
          <w:szCs w:val="22"/>
          <w:u w:val="single"/>
        </w:rPr>
        <w:t xml:space="preserve"> </w:t>
      </w:r>
      <w:r>
        <w:rPr>
          <w:sz w:val="20"/>
          <w:szCs w:val="22"/>
          <w:u w:val="single"/>
        </w:rPr>
        <w:t>5</w:t>
      </w:r>
      <w:r w:rsidRPr="00E6678D">
        <w:rPr>
          <w:sz w:val="20"/>
          <w:szCs w:val="22"/>
          <w:u w:val="single"/>
        </w:rPr>
        <w:t>:</w:t>
      </w:r>
      <w:r w:rsidRPr="00E6678D">
        <w:rPr>
          <w:sz w:val="20"/>
          <w:szCs w:val="22"/>
        </w:rPr>
        <w:t xml:space="preserve"> </w:t>
      </w:r>
      <w:r>
        <w:rPr>
          <w:sz w:val="20"/>
          <w:szCs w:val="22"/>
        </w:rPr>
        <w:t>Introduce a new RNTI for MPDCCH for ETWS/CMAS indication</w:t>
      </w:r>
    </w:p>
    <w:p w14:paraId="13599CCC" w14:textId="77777777" w:rsidR="00F507D1" w:rsidRPr="00CE0424" w:rsidRDefault="00F507D1" w:rsidP="00CE0424">
      <w:pPr>
        <w:pStyle w:val="Heading1"/>
      </w:pPr>
      <w:r w:rsidRPr="00CE0424">
        <w:t>References</w:t>
      </w:r>
    </w:p>
    <w:p w14:paraId="7CDA2B4C" w14:textId="3B41253F" w:rsidR="00690901" w:rsidRDefault="00690901" w:rsidP="00690901">
      <w:pPr>
        <w:pStyle w:val="Reference"/>
        <w:numPr>
          <w:ilvl w:val="0"/>
          <w:numId w:val="0"/>
        </w:numPr>
        <w:ind w:left="567" w:hanging="567"/>
        <w:rPr>
          <w:rFonts w:ascii="Times New Roman" w:hAnsi="Times New Roman"/>
          <w:snapToGrid w:val="0"/>
          <w:szCs w:val="22"/>
        </w:rPr>
      </w:pPr>
      <w:bookmarkStart w:id="2" w:name="_Ref174151459"/>
      <w:bookmarkStart w:id="3" w:name="_Ref189809556"/>
      <w:r w:rsidRPr="00C1164D">
        <w:rPr>
          <w:rFonts w:ascii="Times New Roman" w:hAnsi="Times New Roman"/>
          <w:snapToGrid w:val="0"/>
          <w:szCs w:val="22"/>
        </w:rPr>
        <w:t>[1]</w:t>
      </w:r>
      <w:r w:rsidRPr="00C1164D">
        <w:rPr>
          <w:rFonts w:ascii="Times New Roman" w:hAnsi="Times New Roman"/>
          <w:snapToGrid w:val="0"/>
          <w:szCs w:val="22"/>
        </w:rPr>
        <w:tab/>
      </w:r>
      <w:r w:rsidR="00101257">
        <w:rPr>
          <w:rFonts w:ascii="Times New Roman" w:hAnsi="Times New Roman"/>
          <w:snapToGrid w:val="0"/>
          <w:szCs w:val="22"/>
        </w:rPr>
        <w:t>3GPP RAN1#96</w:t>
      </w:r>
      <w:r w:rsidR="001E1C8D">
        <w:rPr>
          <w:rFonts w:ascii="Times New Roman" w:hAnsi="Times New Roman"/>
          <w:snapToGrid w:val="0"/>
          <w:szCs w:val="22"/>
        </w:rPr>
        <w:t>bis</w:t>
      </w:r>
      <w:r w:rsidR="00101257">
        <w:rPr>
          <w:rFonts w:ascii="Times New Roman" w:hAnsi="Times New Roman"/>
          <w:snapToGrid w:val="0"/>
          <w:szCs w:val="22"/>
        </w:rPr>
        <w:t xml:space="preserve">, Chairman notes, </w:t>
      </w:r>
      <w:r w:rsidR="001E1C8D">
        <w:rPr>
          <w:rFonts w:ascii="Times New Roman" w:hAnsi="Times New Roman"/>
          <w:snapToGrid w:val="0"/>
          <w:szCs w:val="22"/>
        </w:rPr>
        <w:t>April</w:t>
      </w:r>
      <w:r w:rsidR="00101257">
        <w:rPr>
          <w:rFonts w:ascii="Times New Roman" w:hAnsi="Times New Roman"/>
          <w:snapToGrid w:val="0"/>
          <w:szCs w:val="22"/>
        </w:rPr>
        <w:t xml:space="preserve"> </w:t>
      </w:r>
      <w:r w:rsidRPr="00C1164D">
        <w:rPr>
          <w:rFonts w:ascii="Times New Roman" w:hAnsi="Times New Roman"/>
          <w:snapToGrid w:val="0"/>
          <w:szCs w:val="22"/>
        </w:rPr>
        <w:t>201</w:t>
      </w:r>
      <w:bookmarkEnd w:id="2"/>
      <w:bookmarkEnd w:id="3"/>
      <w:r w:rsidR="00101257">
        <w:rPr>
          <w:rFonts w:ascii="Times New Roman" w:hAnsi="Times New Roman"/>
          <w:snapToGrid w:val="0"/>
          <w:szCs w:val="22"/>
        </w:rPr>
        <w:t>9</w:t>
      </w:r>
    </w:p>
    <w:p w14:paraId="4D3EB309" w14:textId="3374CE0F" w:rsidR="001E1C8D" w:rsidRDefault="001E1C8D" w:rsidP="00690901">
      <w:pPr>
        <w:pStyle w:val="Reference"/>
        <w:numPr>
          <w:ilvl w:val="0"/>
          <w:numId w:val="0"/>
        </w:numPr>
        <w:ind w:left="567" w:hanging="567"/>
        <w:rPr>
          <w:rFonts w:ascii="Times New Roman" w:hAnsi="Times New Roman"/>
          <w:snapToGrid w:val="0"/>
          <w:szCs w:val="22"/>
        </w:rPr>
      </w:pPr>
      <w:r>
        <w:rPr>
          <w:rFonts w:ascii="Times New Roman" w:hAnsi="Times New Roman"/>
          <w:snapToGrid w:val="0"/>
          <w:szCs w:val="22"/>
        </w:rPr>
        <w:t>[2]</w:t>
      </w:r>
      <w:r>
        <w:rPr>
          <w:rFonts w:ascii="Times New Roman" w:hAnsi="Times New Roman"/>
          <w:snapToGrid w:val="0"/>
          <w:szCs w:val="22"/>
        </w:rPr>
        <w:tab/>
        <w:t>R1-1905934 (R2-1905278), “LS on ETWS/CMAS in connected mode narrowband”, May 2019</w:t>
      </w:r>
    </w:p>
    <w:p w14:paraId="2311F0CA" w14:textId="3A4D9D67" w:rsidR="00514CAA" w:rsidRDefault="00514CAA" w:rsidP="00690901">
      <w:pPr>
        <w:pStyle w:val="Reference"/>
        <w:numPr>
          <w:ilvl w:val="0"/>
          <w:numId w:val="0"/>
        </w:numPr>
        <w:ind w:left="567" w:hanging="567"/>
        <w:rPr>
          <w:rFonts w:ascii="Times New Roman" w:hAnsi="Times New Roman"/>
          <w:snapToGrid w:val="0"/>
          <w:szCs w:val="22"/>
        </w:rPr>
      </w:pPr>
      <w:r>
        <w:rPr>
          <w:rFonts w:ascii="Times New Roman" w:hAnsi="Times New Roman"/>
          <w:snapToGrid w:val="0"/>
          <w:szCs w:val="22"/>
        </w:rPr>
        <w:t>[3]</w:t>
      </w:r>
      <w:r>
        <w:rPr>
          <w:rFonts w:ascii="Times New Roman" w:hAnsi="Times New Roman"/>
          <w:snapToGrid w:val="0"/>
          <w:szCs w:val="22"/>
        </w:rPr>
        <w:tab/>
      </w:r>
      <w:r w:rsidRPr="00514CAA">
        <w:rPr>
          <w:rFonts w:ascii="Times New Roman" w:hAnsi="Times New Roman"/>
          <w:snapToGrid w:val="0"/>
          <w:szCs w:val="22"/>
        </w:rPr>
        <w:t>R2-1900455, C</w:t>
      </w:r>
      <w:r w:rsidR="004F571B">
        <w:rPr>
          <w:rFonts w:ascii="Times New Roman" w:hAnsi="Times New Roman"/>
          <w:snapToGrid w:val="0"/>
          <w:szCs w:val="22"/>
        </w:rPr>
        <w:t>E</w:t>
      </w:r>
      <w:bookmarkStart w:id="4" w:name="_GoBack"/>
      <w:bookmarkEnd w:id="4"/>
      <w:r w:rsidRPr="00514CAA">
        <w:rPr>
          <w:rFonts w:ascii="Times New Roman" w:hAnsi="Times New Roman"/>
          <w:snapToGrid w:val="0"/>
          <w:szCs w:val="22"/>
        </w:rPr>
        <w:t xml:space="preserve"> Mode A and B improvement for non-BL UEs, RAN2#105, Athens, February 2019</w:t>
      </w:r>
    </w:p>
    <w:p w14:paraId="4DA5543D" w14:textId="77777777" w:rsidR="001E1C8D" w:rsidRPr="00C1164D" w:rsidRDefault="001E1C8D" w:rsidP="00690901">
      <w:pPr>
        <w:pStyle w:val="Reference"/>
        <w:numPr>
          <w:ilvl w:val="0"/>
          <w:numId w:val="0"/>
        </w:numPr>
        <w:ind w:left="567" w:hanging="567"/>
        <w:rPr>
          <w:rFonts w:ascii="Times New Roman" w:hAnsi="Times New Roman"/>
          <w:snapToGrid w:val="0"/>
          <w:szCs w:val="22"/>
        </w:rPr>
      </w:pPr>
    </w:p>
    <w:p w14:paraId="311EAEC1" w14:textId="0122E16F" w:rsidR="00CA44E4" w:rsidRPr="00101257" w:rsidRDefault="00CA44E4" w:rsidP="002037A4">
      <w:pPr>
        <w:pStyle w:val="Reference"/>
        <w:numPr>
          <w:ilvl w:val="0"/>
          <w:numId w:val="0"/>
        </w:numPr>
        <w:ind w:left="567" w:hanging="567"/>
        <w:rPr>
          <w:rFonts w:ascii="Times New Roman" w:hAnsi="Times New Roman"/>
          <w:snapToGrid w:val="0"/>
          <w:sz w:val="22"/>
          <w:szCs w:val="22"/>
        </w:rPr>
      </w:pPr>
    </w:p>
    <w:sectPr w:rsidR="00CA44E4" w:rsidRPr="00101257"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70CE1A" w14:textId="77777777" w:rsidR="00662820" w:rsidRDefault="00662820">
      <w:r>
        <w:separator/>
      </w:r>
    </w:p>
  </w:endnote>
  <w:endnote w:type="continuationSeparator" w:id="0">
    <w:p w14:paraId="69D8248A" w14:textId="77777777" w:rsidR="00662820" w:rsidRDefault="00662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Qualcomm Office Regular">
    <w:altName w:val="Calibri"/>
    <w:charset w:val="00"/>
    <w:family w:val="swiss"/>
    <w:pitch w:val="variable"/>
    <w:sig w:usb0="00000007" w:usb1="00000000" w:usb2="00000000" w:usb3="00000000" w:csb0="00000093"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B092E" w14:textId="77777777" w:rsidR="00E45FE5" w:rsidRDefault="00E45FE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EB5A3" w14:textId="77777777" w:rsidR="00662820" w:rsidRDefault="00662820">
      <w:r>
        <w:separator/>
      </w:r>
    </w:p>
  </w:footnote>
  <w:footnote w:type="continuationSeparator" w:id="0">
    <w:p w14:paraId="6650E976" w14:textId="77777777" w:rsidR="00662820" w:rsidRDefault="006628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4E675" w14:textId="77777777" w:rsidR="00E45FE5" w:rsidRDefault="00E45FE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singleLevel"/>
    <w:tmpl w:val="F976D23C"/>
    <w:lvl w:ilvl="0">
      <w:start w:val="1"/>
      <w:numFmt w:val="decimal"/>
      <w:lvlText w:val="%1."/>
      <w:lvlJc w:val="left"/>
      <w:pPr>
        <w:tabs>
          <w:tab w:val="num" w:pos="360"/>
        </w:tabs>
        <w:ind w:left="360" w:hangingChars="200"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5F3D85"/>
    <w:multiLevelType w:val="hybridMultilevel"/>
    <w:tmpl w:val="668EF4F2"/>
    <w:lvl w:ilvl="0" w:tplc="C428B1B2">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414192"/>
    <w:multiLevelType w:val="hybridMultilevel"/>
    <w:tmpl w:val="94B67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30170E"/>
    <w:multiLevelType w:val="hybridMultilevel"/>
    <w:tmpl w:val="63784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start w:val="1"/>
      <w:numFmt w:val="bullet"/>
      <w:lvlText w:val=""/>
      <w:lvlJc w:val="left"/>
      <w:pPr>
        <w:tabs>
          <w:tab w:val="num" w:pos="5040"/>
        </w:tabs>
        <w:ind w:left="5040" w:hanging="360"/>
      </w:pPr>
      <w:rPr>
        <w:rFonts w:ascii="Wingdings" w:hAnsi="Wingdings" w:hint="default"/>
      </w:rPr>
    </w:lvl>
    <w:lvl w:ilvl="7" w:tplc="C3C8551C">
      <w:start w:val="1"/>
      <w:numFmt w:val="bullet"/>
      <w:lvlText w:val=""/>
      <w:lvlJc w:val="left"/>
      <w:pPr>
        <w:tabs>
          <w:tab w:val="num" w:pos="5760"/>
        </w:tabs>
        <w:ind w:left="5760" w:hanging="360"/>
      </w:pPr>
      <w:rPr>
        <w:rFonts w:ascii="Wingdings" w:hAnsi="Wingdings" w:hint="default"/>
      </w:rPr>
    </w:lvl>
    <w:lvl w:ilvl="8" w:tplc="7478BBDA">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9B7128"/>
    <w:multiLevelType w:val="hybridMultilevel"/>
    <w:tmpl w:val="9E522B32"/>
    <w:lvl w:ilvl="0" w:tplc="6346FEA6">
      <w:start w:val="1"/>
      <w:numFmt w:val="bullet"/>
      <w:pStyle w:val="Proposalsub"/>
      <w:lvlText w:val=""/>
      <w:lvlJc w:val="left"/>
      <w:pPr>
        <w:ind w:left="-725" w:hanging="360"/>
      </w:pPr>
      <w:rPr>
        <w:rFonts w:ascii="Symbol" w:hAnsi="Symbol" w:hint="default"/>
      </w:rPr>
    </w:lvl>
    <w:lvl w:ilvl="1" w:tplc="DE62F73E">
      <w:numFmt w:val="bullet"/>
      <w:pStyle w:val="Proposalsubsub"/>
      <w:lvlText w:val="-"/>
      <w:lvlJc w:val="left"/>
      <w:pPr>
        <w:ind w:left="-285" w:hanging="400"/>
      </w:pPr>
      <w:rPr>
        <w:rFonts w:ascii="Times New Roman" w:eastAsia="Batang" w:hAnsi="Times New Roman" w:cs="Times New Roman" w:hint="default"/>
      </w:rPr>
    </w:lvl>
    <w:lvl w:ilvl="2" w:tplc="5B3EB83C">
      <w:start w:val="677"/>
      <w:numFmt w:val="bullet"/>
      <w:lvlText w:val="–"/>
      <w:lvlJc w:val="left"/>
      <w:pPr>
        <w:ind w:left="115" w:hanging="400"/>
      </w:pPr>
      <w:rPr>
        <w:rFonts w:ascii="Arial" w:hAnsi="Arial" w:hint="default"/>
      </w:rPr>
    </w:lvl>
    <w:lvl w:ilvl="3" w:tplc="04090001" w:tentative="1">
      <w:start w:val="1"/>
      <w:numFmt w:val="bullet"/>
      <w:lvlText w:val=""/>
      <w:lvlJc w:val="left"/>
      <w:pPr>
        <w:ind w:left="515" w:hanging="400"/>
      </w:pPr>
      <w:rPr>
        <w:rFonts w:ascii="Wingdings" w:hAnsi="Wingdings" w:hint="default"/>
      </w:rPr>
    </w:lvl>
    <w:lvl w:ilvl="4" w:tplc="04090003" w:tentative="1">
      <w:start w:val="1"/>
      <w:numFmt w:val="bullet"/>
      <w:lvlText w:val=""/>
      <w:lvlJc w:val="left"/>
      <w:pPr>
        <w:ind w:left="915" w:hanging="400"/>
      </w:pPr>
      <w:rPr>
        <w:rFonts w:ascii="Wingdings" w:hAnsi="Wingdings" w:hint="default"/>
      </w:rPr>
    </w:lvl>
    <w:lvl w:ilvl="5" w:tplc="04090005" w:tentative="1">
      <w:start w:val="1"/>
      <w:numFmt w:val="bullet"/>
      <w:lvlText w:val=""/>
      <w:lvlJc w:val="left"/>
      <w:pPr>
        <w:ind w:left="1315" w:hanging="400"/>
      </w:pPr>
      <w:rPr>
        <w:rFonts w:ascii="Wingdings" w:hAnsi="Wingdings" w:hint="default"/>
      </w:rPr>
    </w:lvl>
    <w:lvl w:ilvl="6" w:tplc="04090001" w:tentative="1">
      <w:start w:val="1"/>
      <w:numFmt w:val="bullet"/>
      <w:lvlText w:val=""/>
      <w:lvlJc w:val="left"/>
      <w:pPr>
        <w:ind w:left="1715" w:hanging="400"/>
      </w:pPr>
      <w:rPr>
        <w:rFonts w:ascii="Wingdings" w:hAnsi="Wingdings" w:hint="default"/>
      </w:rPr>
    </w:lvl>
    <w:lvl w:ilvl="7" w:tplc="04090003" w:tentative="1">
      <w:start w:val="1"/>
      <w:numFmt w:val="bullet"/>
      <w:lvlText w:val=""/>
      <w:lvlJc w:val="left"/>
      <w:pPr>
        <w:ind w:left="2115" w:hanging="400"/>
      </w:pPr>
      <w:rPr>
        <w:rFonts w:ascii="Wingdings" w:hAnsi="Wingdings" w:hint="default"/>
      </w:rPr>
    </w:lvl>
    <w:lvl w:ilvl="8" w:tplc="04090005" w:tentative="1">
      <w:start w:val="1"/>
      <w:numFmt w:val="bullet"/>
      <w:lvlText w:val=""/>
      <w:lvlJc w:val="left"/>
      <w:pPr>
        <w:ind w:left="2515" w:hanging="40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0847F3"/>
    <w:multiLevelType w:val="hybridMultilevel"/>
    <w:tmpl w:val="06AAE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DDA50F3"/>
    <w:multiLevelType w:val="hybridMultilevel"/>
    <w:tmpl w:val="847E77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E26EA7"/>
    <w:multiLevelType w:val="multilevel"/>
    <w:tmpl w:val="BD1EA570"/>
    <w:lvl w:ilvl="0">
      <w:start w:val="7"/>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EA44FF"/>
    <w:multiLevelType w:val="hybridMultilevel"/>
    <w:tmpl w:val="E626CE42"/>
    <w:lvl w:ilvl="0" w:tplc="B01460A0">
      <w:start w:val="1"/>
      <w:numFmt w:val="decimal"/>
      <w:pStyle w:val="ListNumber"/>
      <w:lvlText w:val="%1."/>
      <w:lvlJc w:val="left"/>
      <w:pPr>
        <w:ind w:left="1004" w:hanging="360"/>
      </w:pPr>
    </w:lvl>
    <w:lvl w:ilvl="1" w:tplc="041D000F">
      <w:start w:val="1"/>
      <w:numFmt w:val="decimal"/>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23E0BA9"/>
    <w:multiLevelType w:val="hybridMultilevel"/>
    <w:tmpl w:val="00C845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2502B7D"/>
    <w:multiLevelType w:val="hybridMultilevel"/>
    <w:tmpl w:val="10980C98"/>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2B54A37"/>
    <w:multiLevelType w:val="hybridMultilevel"/>
    <w:tmpl w:val="CEC28ECE"/>
    <w:lvl w:ilvl="0" w:tplc="4080FD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3FA050D"/>
    <w:multiLevelType w:val="hybridMultilevel"/>
    <w:tmpl w:val="0944B1E2"/>
    <w:lvl w:ilvl="0" w:tplc="4080FDD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BF34012"/>
    <w:multiLevelType w:val="hybridMultilevel"/>
    <w:tmpl w:val="551C9EB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A3230AD"/>
    <w:multiLevelType w:val="hybridMultilevel"/>
    <w:tmpl w:val="14CAC9A0"/>
    <w:lvl w:ilvl="0" w:tplc="98B60D0C">
      <w:start w:val="1"/>
      <w:numFmt w:val="bullet"/>
      <w:lvlText w:val="◦"/>
      <w:lvlJc w:val="left"/>
      <w:pPr>
        <w:tabs>
          <w:tab w:val="num" w:pos="720"/>
        </w:tabs>
        <w:ind w:left="720" w:hanging="360"/>
      </w:pPr>
      <w:rPr>
        <w:rFonts w:ascii="Microsoft Sans Serif" w:hAnsi="Microsoft Sans Serif" w:hint="default"/>
      </w:rPr>
    </w:lvl>
    <w:lvl w:ilvl="1" w:tplc="0B446F74">
      <w:start w:val="1"/>
      <w:numFmt w:val="bullet"/>
      <w:lvlText w:val="◦"/>
      <w:lvlJc w:val="left"/>
      <w:pPr>
        <w:tabs>
          <w:tab w:val="num" w:pos="1440"/>
        </w:tabs>
        <w:ind w:left="1440" w:hanging="360"/>
      </w:pPr>
      <w:rPr>
        <w:rFonts w:ascii="Microsoft Sans Serif" w:hAnsi="Microsoft Sans Serif" w:hint="default"/>
      </w:rPr>
    </w:lvl>
    <w:lvl w:ilvl="2" w:tplc="5314BFEC">
      <w:start w:val="37"/>
      <w:numFmt w:val="bullet"/>
      <w:lvlText w:val="•"/>
      <w:lvlJc w:val="left"/>
      <w:pPr>
        <w:tabs>
          <w:tab w:val="num" w:pos="2160"/>
        </w:tabs>
        <w:ind w:left="2160" w:hanging="360"/>
      </w:pPr>
      <w:rPr>
        <w:rFonts w:ascii="Microsoft Sans Serif" w:hAnsi="Microsoft Sans Serif" w:hint="default"/>
      </w:rPr>
    </w:lvl>
    <w:lvl w:ilvl="3" w:tplc="3D6011F8" w:tentative="1">
      <w:start w:val="1"/>
      <w:numFmt w:val="bullet"/>
      <w:lvlText w:val="◦"/>
      <w:lvlJc w:val="left"/>
      <w:pPr>
        <w:tabs>
          <w:tab w:val="num" w:pos="2880"/>
        </w:tabs>
        <w:ind w:left="2880" w:hanging="360"/>
      </w:pPr>
      <w:rPr>
        <w:rFonts w:ascii="Microsoft Sans Serif" w:hAnsi="Microsoft Sans Serif" w:hint="default"/>
      </w:rPr>
    </w:lvl>
    <w:lvl w:ilvl="4" w:tplc="A456E6F8" w:tentative="1">
      <w:start w:val="1"/>
      <w:numFmt w:val="bullet"/>
      <w:lvlText w:val="◦"/>
      <w:lvlJc w:val="left"/>
      <w:pPr>
        <w:tabs>
          <w:tab w:val="num" w:pos="3600"/>
        </w:tabs>
        <w:ind w:left="3600" w:hanging="360"/>
      </w:pPr>
      <w:rPr>
        <w:rFonts w:ascii="Microsoft Sans Serif" w:hAnsi="Microsoft Sans Serif" w:hint="default"/>
      </w:rPr>
    </w:lvl>
    <w:lvl w:ilvl="5" w:tplc="47D4EEC6" w:tentative="1">
      <w:start w:val="1"/>
      <w:numFmt w:val="bullet"/>
      <w:lvlText w:val="◦"/>
      <w:lvlJc w:val="left"/>
      <w:pPr>
        <w:tabs>
          <w:tab w:val="num" w:pos="4320"/>
        </w:tabs>
        <w:ind w:left="4320" w:hanging="360"/>
      </w:pPr>
      <w:rPr>
        <w:rFonts w:ascii="Microsoft Sans Serif" w:hAnsi="Microsoft Sans Serif" w:hint="default"/>
      </w:rPr>
    </w:lvl>
    <w:lvl w:ilvl="6" w:tplc="BFEA2C3E" w:tentative="1">
      <w:start w:val="1"/>
      <w:numFmt w:val="bullet"/>
      <w:lvlText w:val="◦"/>
      <w:lvlJc w:val="left"/>
      <w:pPr>
        <w:tabs>
          <w:tab w:val="num" w:pos="5040"/>
        </w:tabs>
        <w:ind w:left="5040" w:hanging="360"/>
      </w:pPr>
      <w:rPr>
        <w:rFonts w:ascii="Microsoft Sans Serif" w:hAnsi="Microsoft Sans Serif" w:hint="default"/>
      </w:rPr>
    </w:lvl>
    <w:lvl w:ilvl="7" w:tplc="8FE6027C" w:tentative="1">
      <w:start w:val="1"/>
      <w:numFmt w:val="bullet"/>
      <w:lvlText w:val="◦"/>
      <w:lvlJc w:val="left"/>
      <w:pPr>
        <w:tabs>
          <w:tab w:val="num" w:pos="5760"/>
        </w:tabs>
        <w:ind w:left="5760" w:hanging="360"/>
      </w:pPr>
      <w:rPr>
        <w:rFonts w:ascii="Microsoft Sans Serif" w:hAnsi="Microsoft Sans Serif" w:hint="default"/>
      </w:rPr>
    </w:lvl>
    <w:lvl w:ilvl="8" w:tplc="D25E199E" w:tentative="1">
      <w:start w:val="1"/>
      <w:numFmt w:val="bullet"/>
      <w:lvlText w:val="◦"/>
      <w:lvlJc w:val="left"/>
      <w:pPr>
        <w:tabs>
          <w:tab w:val="num" w:pos="6480"/>
        </w:tabs>
        <w:ind w:left="6480" w:hanging="360"/>
      </w:pPr>
      <w:rPr>
        <w:rFonts w:ascii="Microsoft Sans Serif" w:hAnsi="Microsoft Sans Serif"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32"/>
  </w:num>
  <w:num w:numId="3">
    <w:abstractNumId w:val="23"/>
  </w:num>
  <w:num w:numId="4">
    <w:abstractNumId w:val="24"/>
  </w:num>
  <w:num w:numId="5">
    <w:abstractNumId w:val="19"/>
  </w:num>
  <w:num w:numId="6">
    <w:abstractNumId w:val="30"/>
  </w:num>
  <w:num w:numId="7">
    <w:abstractNumId w:val="36"/>
  </w:num>
  <w:num w:numId="8">
    <w:abstractNumId w:val="20"/>
  </w:num>
  <w:num w:numId="9">
    <w:abstractNumId w:val="17"/>
  </w:num>
  <w:num w:numId="10">
    <w:abstractNumId w:val="2"/>
  </w:num>
  <w:num w:numId="11">
    <w:abstractNumId w:val="1"/>
  </w:num>
  <w:num w:numId="12">
    <w:abstractNumId w:val="0"/>
  </w:num>
  <w:num w:numId="13">
    <w:abstractNumId w:val="33"/>
  </w:num>
  <w:num w:numId="14">
    <w:abstractNumId w:val="35"/>
  </w:num>
  <w:num w:numId="15">
    <w:abstractNumId w:val="25"/>
  </w:num>
  <w:num w:numId="16">
    <w:abstractNumId w:val="38"/>
  </w:num>
  <w:num w:numId="17">
    <w:abstractNumId w:val="12"/>
  </w:num>
  <w:num w:numId="18">
    <w:abstractNumId w:val="15"/>
  </w:num>
  <w:num w:numId="19">
    <w:abstractNumId w:val="7"/>
  </w:num>
  <w:num w:numId="20">
    <w:abstractNumId w:val="41"/>
  </w:num>
  <w:num w:numId="21">
    <w:abstractNumId w:val="22"/>
  </w:num>
  <w:num w:numId="22">
    <w:abstractNumId w:val="40"/>
  </w:num>
  <w:num w:numId="23">
    <w:abstractNumId w:val="13"/>
  </w:num>
  <w:num w:numId="24">
    <w:abstractNumId w:val="27"/>
  </w:num>
  <w:num w:numId="25">
    <w:abstractNumId w:val="43"/>
  </w:num>
  <w:num w:numId="26">
    <w:abstractNumId w:val="3"/>
  </w:num>
  <w:num w:numId="27">
    <w:abstractNumId w:val="11"/>
  </w:num>
  <w:num w:numId="28">
    <w:abstractNumId w:val="37"/>
  </w:num>
  <w:num w:numId="29">
    <w:abstractNumId w:val="5"/>
  </w:num>
  <w:num w:numId="30">
    <w:abstractNumId w:val="6"/>
  </w:num>
  <w:num w:numId="31">
    <w:abstractNumId w:val="34"/>
  </w:num>
  <w:num w:numId="32">
    <w:abstractNumId w:val="10"/>
  </w:num>
  <w:num w:numId="33">
    <w:abstractNumId w:val="29"/>
  </w:num>
  <w:num w:numId="34">
    <w:abstractNumId w:val="16"/>
  </w:num>
  <w:num w:numId="35">
    <w:abstractNumId w:val="8"/>
  </w:num>
  <w:num w:numId="36">
    <w:abstractNumId w:val="28"/>
  </w:num>
  <w:num w:numId="37">
    <w:abstractNumId w:val="39"/>
  </w:num>
  <w:num w:numId="38">
    <w:abstractNumId w:val="28"/>
  </w:num>
  <w:num w:numId="39">
    <w:abstractNumId w:val="31"/>
  </w:num>
  <w:num w:numId="40">
    <w:abstractNumId w:val="26"/>
  </w:num>
  <w:num w:numId="41">
    <w:abstractNumId w:val="21"/>
  </w:num>
  <w:num w:numId="42">
    <w:abstractNumId w:val="14"/>
  </w:num>
  <w:num w:numId="43">
    <w:abstractNumId w:val="14"/>
  </w:num>
  <w:num w:numId="44">
    <w:abstractNumId w:val="42"/>
  </w:num>
  <w:num w:numId="45">
    <w:abstractNumId w:val="9"/>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FAB"/>
    <w:rsid w:val="000006E1"/>
    <w:rsid w:val="00002A37"/>
    <w:rsid w:val="000054C7"/>
    <w:rsid w:val="0000564C"/>
    <w:rsid w:val="00006446"/>
    <w:rsid w:val="00006896"/>
    <w:rsid w:val="00006C42"/>
    <w:rsid w:val="00007CDC"/>
    <w:rsid w:val="00011B28"/>
    <w:rsid w:val="00015D15"/>
    <w:rsid w:val="0002564D"/>
    <w:rsid w:val="00025ECA"/>
    <w:rsid w:val="000325B8"/>
    <w:rsid w:val="00034597"/>
    <w:rsid w:val="00034C15"/>
    <w:rsid w:val="00036BA1"/>
    <w:rsid w:val="00037320"/>
    <w:rsid w:val="00037DC6"/>
    <w:rsid w:val="000422E2"/>
    <w:rsid w:val="00042F22"/>
    <w:rsid w:val="000444EF"/>
    <w:rsid w:val="00045FC2"/>
    <w:rsid w:val="00047A9F"/>
    <w:rsid w:val="00052373"/>
    <w:rsid w:val="0005254F"/>
    <w:rsid w:val="00052A07"/>
    <w:rsid w:val="000534E3"/>
    <w:rsid w:val="0005606A"/>
    <w:rsid w:val="00057117"/>
    <w:rsid w:val="00061512"/>
    <w:rsid w:val="000616E7"/>
    <w:rsid w:val="0006487E"/>
    <w:rsid w:val="00065E1A"/>
    <w:rsid w:val="00076617"/>
    <w:rsid w:val="00077E5F"/>
    <w:rsid w:val="0008036A"/>
    <w:rsid w:val="00081AE6"/>
    <w:rsid w:val="00083055"/>
    <w:rsid w:val="00084D3F"/>
    <w:rsid w:val="000855EB"/>
    <w:rsid w:val="00085B52"/>
    <w:rsid w:val="000866F2"/>
    <w:rsid w:val="0009009F"/>
    <w:rsid w:val="00091557"/>
    <w:rsid w:val="000924C1"/>
    <w:rsid w:val="000924F0"/>
    <w:rsid w:val="00093474"/>
    <w:rsid w:val="0009510F"/>
    <w:rsid w:val="000A0D37"/>
    <w:rsid w:val="000A1B7B"/>
    <w:rsid w:val="000A242E"/>
    <w:rsid w:val="000A56F2"/>
    <w:rsid w:val="000B2719"/>
    <w:rsid w:val="000B3A8F"/>
    <w:rsid w:val="000B4AB9"/>
    <w:rsid w:val="000B4C0A"/>
    <w:rsid w:val="000B58C3"/>
    <w:rsid w:val="000B61E9"/>
    <w:rsid w:val="000B7C48"/>
    <w:rsid w:val="000C165A"/>
    <w:rsid w:val="000C2E19"/>
    <w:rsid w:val="000C3CAE"/>
    <w:rsid w:val="000D0D07"/>
    <w:rsid w:val="000D4098"/>
    <w:rsid w:val="000D4797"/>
    <w:rsid w:val="000E0527"/>
    <w:rsid w:val="000E1E92"/>
    <w:rsid w:val="000E5728"/>
    <w:rsid w:val="000E7FC6"/>
    <w:rsid w:val="000F06D6"/>
    <w:rsid w:val="000F0EB1"/>
    <w:rsid w:val="000F1106"/>
    <w:rsid w:val="000F360A"/>
    <w:rsid w:val="000F3BE9"/>
    <w:rsid w:val="000F3F6C"/>
    <w:rsid w:val="000F43F8"/>
    <w:rsid w:val="000F61AC"/>
    <w:rsid w:val="000F6DF3"/>
    <w:rsid w:val="001005FF"/>
    <w:rsid w:val="00101257"/>
    <w:rsid w:val="00104AC5"/>
    <w:rsid w:val="001062FB"/>
    <w:rsid w:val="001063E6"/>
    <w:rsid w:val="00110B92"/>
    <w:rsid w:val="00113CF4"/>
    <w:rsid w:val="001153EA"/>
    <w:rsid w:val="00115643"/>
    <w:rsid w:val="00116765"/>
    <w:rsid w:val="00116887"/>
    <w:rsid w:val="00120021"/>
    <w:rsid w:val="001219F5"/>
    <w:rsid w:val="00121A20"/>
    <w:rsid w:val="0012377F"/>
    <w:rsid w:val="00124314"/>
    <w:rsid w:val="00126B4A"/>
    <w:rsid w:val="00132EA6"/>
    <w:rsid w:val="00132FD0"/>
    <w:rsid w:val="001344C0"/>
    <w:rsid w:val="001346FA"/>
    <w:rsid w:val="00135252"/>
    <w:rsid w:val="00137AB5"/>
    <w:rsid w:val="00137F0B"/>
    <w:rsid w:val="00144EF9"/>
    <w:rsid w:val="00151E23"/>
    <w:rsid w:val="001526E0"/>
    <w:rsid w:val="001551B5"/>
    <w:rsid w:val="00161605"/>
    <w:rsid w:val="00161CA1"/>
    <w:rsid w:val="00164B90"/>
    <w:rsid w:val="001659C1"/>
    <w:rsid w:val="001733C3"/>
    <w:rsid w:val="00173A8E"/>
    <w:rsid w:val="0017502C"/>
    <w:rsid w:val="0018143F"/>
    <w:rsid w:val="00181FF8"/>
    <w:rsid w:val="00183548"/>
    <w:rsid w:val="00185688"/>
    <w:rsid w:val="00190AC1"/>
    <w:rsid w:val="00192251"/>
    <w:rsid w:val="0019341A"/>
    <w:rsid w:val="00197DF9"/>
    <w:rsid w:val="001A1987"/>
    <w:rsid w:val="001A2564"/>
    <w:rsid w:val="001A6173"/>
    <w:rsid w:val="001A6CBA"/>
    <w:rsid w:val="001B0D97"/>
    <w:rsid w:val="001B5A5D"/>
    <w:rsid w:val="001B7F7F"/>
    <w:rsid w:val="001C0423"/>
    <w:rsid w:val="001C1CE5"/>
    <w:rsid w:val="001C3D2A"/>
    <w:rsid w:val="001D3E9B"/>
    <w:rsid w:val="001D51BA"/>
    <w:rsid w:val="001D5298"/>
    <w:rsid w:val="001D53E7"/>
    <w:rsid w:val="001D6342"/>
    <w:rsid w:val="001D6CFA"/>
    <w:rsid w:val="001D6D53"/>
    <w:rsid w:val="001E1C8D"/>
    <w:rsid w:val="001E3A3E"/>
    <w:rsid w:val="001E58E2"/>
    <w:rsid w:val="001E74B6"/>
    <w:rsid w:val="001E7AED"/>
    <w:rsid w:val="001F3916"/>
    <w:rsid w:val="001F54C5"/>
    <w:rsid w:val="001F662C"/>
    <w:rsid w:val="001F7074"/>
    <w:rsid w:val="00200490"/>
    <w:rsid w:val="00201F3A"/>
    <w:rsid w:val="002037A4"/>
    <w:rsid w:val="00203F96"/>
    <w:rsid w:val="002069B2"/>
    <w:rsid w:val="00207FA3"/>
    <w:rsid w:val="00214DA8"/>
    <w:rsid w:val="00215423"/>
    <w:rsid w:val="002158FA"/>
    <w:rsid w:val="00220600"/>
    <w:rsid w:val="002224DB"/>
    <w:rsid w:val="00223FCB"/>
    <w:rsid w:val="002252C3"/>
    <w:rsid w:val="00225C54"/>
    <w:rsid w:val="002263DF"/>
    <w:rsid w:val="002273DD"/>
    <w:rsid w:val="00230765"/>
    <w:rsid w:val="00230D18"/>
    <w:rsid w:val="002319E4"/>
    <w:rsid w:val="00233095"/>
    <w:rsid w:val="00235632"/>
    <w:rsid w:val="00235872"/>
    <w:rsid w:val="00241559"/>
    <w:rsid w:val="002435B3"/>
    <w:rsid w:val="00245424"/>
    <w:rsid w:val="002458EB"/>
    <w:rsid w:val="002500C8"/>
    <w:rsid w:val="00257543"/>
    <w:rsid w:val="002617E7"/>
    <w:rsid w:val="00264228"/>
    <w:rsid w:val="00264334"/>
    <w:rsid w:val="0026473E"/>
    <w:rsid w:val="00266214"/>
    <w:rsid w:val="00267C83"/>
    <w:rsid w:val="0027144F"/>
    <w:rsid w:val="00271813"/>
    <w:rsid w:val="00271F3A"/>
    <w:rsid w:val="00272F7E"/>
    <w:rsid w:val="00273278"/>
    <w:rsid w:val="002737F4"/>
    <w:rsid w:val="002801E1"/>
    <w:rsid w:val="002805F5"/>
    <w:rsid w:val="00280751"/>
    <w:rsid w:val="0028280A"/>
    <w:rsid w:val="00286ACD"/>
    <w:rsid w:val="00287838"/>
    <w:rsid w:val="00290134"/>
    <w:rsid w:val="002907B5"/>
    <w:rsid w:val="002917D8"/>
    <w:rsid w:val="00292EB7"/>
    <w:rsid w:val="00294D2F"/>
    <w:rsid w:val="00295BA6"/>
    <w:rsid w:val="00296227"/>
    <w:rsid w:val="00296F44"/>
    <w:rsid w:val="0029777D"/>
    <w:rsid w:val="002A055E"/>
    <w:rsid w:val="002A1D4E"/>
    <w:rsid w:val="002A2869"/>
    <w:rsid w:val="002B24D6"/>
    <w:rsid w:val="002C0DCB"/>
    <w:rsid w:val="002C14BD"/>
    <w:rsid w:val="002C41E6"/>
    <w:rsid w:val="002D071A"/>
    <w:rsid w:val="002D34B2"/>
    <w:rsid w:val="002D3EFD"/>
    <w:rsid w:val="002D4118"/>
    <w:rsid w:val="002D476A"/>
    <w:rsid w:val="002D48B0"/>
    <w:rsid w:val="002D5B37"/>
    <w:rsid w:val="002D7637"/>
    <w:rsid w:val="002E1349"/>
    <w:rsid w:val="002E17F2"/>
    <w:rsid w:val="002E7CAE"/>
    <w:rsid w:val="002F2771"/>
    <w:rsid w:val="002F37A9"/>
    <w:rsid w:val="002F3FD5"/>
    <w:rsid w:val="00301CE6"/>
    <w:rsid w:val="0030256B"/>
    <w:rsid w:val="00303149"/>
    <w:rsid w:val="003048AE"/>
    <w:rsid w:val="0030501F"/>
    <w:rsid w:val="00307BA1"/>
    <w:rsid w:val="00311702"/>
    <w:rsid w:val="00311E82"/>
    <w:rsid w:val="0031351F"/>
    <w:rsid w:val="00313E12"/>
    <w:rsid w:val="00313FD6"/>
    <w:rsid w:val="003143BD"/>
    <w:rsid w:val="00315363"/>
    <w:rsid w:val="003203ED"/>
    <w:rsid w:val="00322C9F"/>
    <w:rsid w:val="00324D23"/>
    <w:rsid w:val="00331751"/>
    <w:rsid w:val="00333EB6"/>
    <w:rsid w:val="00334579"/>
    <w:rsid w:val="00335858"/>
    <w:rsid w:val="00336BDA"/>
    <w:rsid w:val="00342BD7"/>
    <w:rsid w:val="003448C6"/>
    <w:rsid w:val="00346DB5"/>
    <w:rsid w:val="00347712"/>
    <w:rsid w:val="003477B1"/>
    <w:rsid w:val="00353E7C"/>
    <w:rsid w:val="00357380"/>
    <w:rsid w:val="003602D9"/>
    <w:rsid w:val="003604CE"/>
    <w:rsid w:val="003623B1"/>
    <w:rsid w:val="00362588"/>
    <w:rsid w:val="00370E47"/>
    <w:rsid w:val="0037304A"/>
    <w:rsid w:val="003742AC"/>
    <w:rsid w:val="003752FC"/>
    <w:rsid w:val="00377CE1"/>
    <w:rsid w:val="003836F2"/>
    <w:rsid w:val="00383BEE"/>
    <w:rsid w:val="00385785"/>
    <w:rsid w:val="00385BF0"/>
    <w:rsid w:val="003939FF"/>
    <w:rsid w:val="003A2223"/>
    <w:rsid w:val="003A2A0F"/>
    <w:rsid w:val="003A45A1"/>
    <w:rsid w:val="003A5B0A"/>
    <w:rsid w:val="003A6BAC"/>
    <w:rsid w:val="003A70A4"/>
    <w:rsid w:val="003A7EF3"/>
    <w:rsid w:val="003B0D7D"/>
    <w:rsid w:val="003B159C"/>
    <w:rsid w:val="003B369F"/>
    <w:rsid w:val="003B36A3"/>
    <w:rsid w:val="003B64BB"/>
    <w:rsid w:val="003B7FE5"/>
    <w:rsid w:val="003C11C8"/>
    <w:rsid w:val="003C2702"/>
    <w:rsid w:val="003C3487"/>
    <w:rsid w:val="003C6BA0"/>
    <w:rsid w:val="003C7806"/>
    <w:rsid w:val="003D0B8C"/>
    <w:rsid w:val="003D0D44"/>
    <w:rsid w:val="003D109F"/>
    <w:rsid w:val="003D2478"/>
    <w:rsid w:val="003D3C45"/>
    <w:rsid w:val="003D5B1F"/>
    <w:rsid w:val="003E15FA"/>
    <w:rsid w:val="003E4F3F"/>
    <w:rsid w:val="003E55E4"/>
    <w:rsid w:val="003E74E3"/>
    <w:rsid w:val="003F05C7"/>
    <w:rsid w:val="003F2CD4"/>
    <w:rsid w:val="003F6BBE"/>
    <w:rsid w:val="004000E8"/>
    <w:rsid w:val="0040106F"/>
    <w:rsid w:val="00402E2B"/>
    <w:rsid w:val="0040512B"/>
    <w:rsid w:val="00405CA5"/>
    <w:rsid w:val="00407CD3"/>
    <w:rsid w:val="00410134"/>
    <w:rsid w:val="00410B72"/>
    <w:rsid w:val="00410F18"/>
    <w:rsid w:val="0041263E"/>
    <w:rsid w:val="00413AAC"/>
    <w:rsid w:val="00413E92"/>
    <w:rsid w:val="00414322"/>
    <w:rsid w:val="00421105"/>
    <w:rsid w:val="00422AA4"/>
    <w:rsid w:val="004242F4"/>
    <w:rsid w:val="00427248"/>
    <w:rsid w:val="00435139"/>
    <w:rsid w:val="00436B03"/>
    <w:rsid w:val="00437447"/>
    <w:rsid w:val="00441A92"/>
    <w:rsid w:val="00442685"/>
    <w:rsid w:val="004431DC"/>
    <w:rsid w:val="00444F56"/>
    <w:rsid w:val="00446488"/>
    <w:rsid w:val="00450020"/>
    <w:rsid w:val="004517AA"/>
    <w:rsid w:val="00452CAC"/>
    <w:rsid w:val="00457565"/>
    <w:rsid w:val="00457B71"/>
    <w:rsid w:val="00460DA8"/>
    <w:rsid w:val="00461B7C"/>
    <w:rsid w:val="00461EA1"/>
    <w:rsid w:val="00463323"/>
    <w:rsid w:val="004669E2"/>
    <w:rsid w:val="00467696"/>
    <w:rsid w:val="00467CFE"/>
    <w:rsid w:val="00470C31"/>
    <w:rsid w:val="00471DE0"/>
    <w:rsid w:val="004734D0"/>
    <w:rsid w:val="0047556B"/>
    <w:rsid w:val="0047557E"/>
    <w:rsid w:val="00477768"/>
    <w:rsid w:val="00492BC5"/>
    <w:rsid w:val="00494AE1"/>
    <w:rsid w:val="004964F1"/>
    <w:rsid w:val="004A16BC"/>
    <w:rsid w:val="004A2B94"/>
    <w:rsid w:val="004A712F"/>
    <w:rsid w:val="004B1443"/>
    <w:rsid w:val="004B621A"/>
    <w:rsid w:val="004B6F6A"/>
    <w:rsid w:val="004B7C0C"/>
    <w:rsid w:val="004C3898"/>
    <w:rsid w:val="004D36B1"/>
    <w:rsid w:val="004D7EBD"/>
    <w:rsid w:val="004E045F"/>
    <w:rsid w:val="004E2680"/>
    <w:rsid w:val="004E28F9"/>
    <w:rsid w:val="004E462E"/>
    <w:rsid w:val="004E56DC"/>
    <w:rsid w:val="004E5D74"/>
    <w:rsid w:val="004E76F4"/>
    <w:rsid w:val="004F0B4E"/>
    <w:rsid w:val="004F0B6C"/>
    <w:rsid w:val="004F2078"/>
    <w:rsid w:val="004F24EC"/>
    <w:rsid w:val="004F2CF4"/>
    <w:rsid w:val="004F4DA3"/>
    <w:rsid w:val="004F571B"/>
    <w:rsid w:val="005010F5"/>
    <w:rsid w:val="00504EAE"/>
    <w:rsid w:val="00506557"/>
    <w:rsid w:val="0050677A"/>
    <w:rsid w:val="005108D8"/>
    <w:rsid w:val="005116F9"/>
    <w:rsid w:val="00514CAA"/>
    <w:rsid w:val="005153A7"/>
    <w:rsid w:val="005219CF"/>
    <w:rsid w:val="00530FD5"/>
    <w:rsid w:val="00531C19"/>
    <w:rsid w:val="00534B59"/>
    <w:rsid w:val="00536759"/>
    <w:rsid w:val="00537C62"/>
    <w:rsid w:val="005416DD"/>
    <w:rsid w:val="00546970"/>
    <w:rsid w:val="005512A7"/>
    <w:rsid w:val="00552344"/>
    <w:rsid w:val="00554E19"/>
    <w:rsid w:val="0056121F"/>
    <w:rsid w:val="00564BC3"/>
    <w:rsid w:val="00572505"/>
    <w:rsid w:val="00580677"/>
    <w:rsid w:val="00582357"/>
    <w:rsid w:val="00582809"/>
    <w:rsid w:val="0058798C"/>
    <w:rsid w:val="005900FA"/>
    <w:rsid w:val="00590847"/>
    <w:rsid w:val="00593081"/>
    <w:rsid w:val="005935A4"/>
    <w:rsid w:val="005948C2"/>
    <w:rsid w:val="00595DCA"/>
    <w:rsid w:val="0059779B"/>
    <w:rsid w:val="005A209A"/>
    <w:rsid w:val="005A662D"/>
    <w:rsid w:val="005B0589"/>
    <w:rsid w:val="005B1409"/>
    <w:rsid w:val="005B35D7"/>
    <w:rsid w:val="005B392A"/>
    <w:rsid w:val="005B3AA3"/>
    <w:rsid w:val="005B41F1"/>
    <w:rsid w:val="005B6F83"/>
    <w:rsid w:val="005C74FB"/>
    <w:rsid w:val="005C7B25"/>
    <w:rsid w:val="005D0E8F"/>
    <w:rsid w:val="005D1602"/>
    <w:rsid w:val="005E33E9"/>
    <w:rsid w:val="005E385F"/>
    <w:rsid w:val="005E3B24"/>
    <w:rsid w:val="005E5B81"/>
    <w:rsid w:val="005E7931"/>
    <w:rsid w:val="005F04D3"/>
    <w:rsid w:val="005F2CB1"/>
    <w:rsid w:val="005F3025"/>
    <w:rsid w:val="005F50DB"/>
    <w:rsid w:val="005F618C"/>
    <w:rsid w:val="005F70BD"/>
    <w:rsid w:val="0060283C"/>
    <w:rsid w:val="0060351E"/>
    <w:rsid w:val="00604F14"/>
    <w:rsid w:val="00611B83"/>
    <w:rsid w:val="00613257"/>
    <w:rsid w:val="006167ED"/>
    <w:rsid w:val="00620A71"/>
    <w:rsid w:val="00620D80"/>
    <w:rsid w:val="006234A6"/>
    <w:rsid w:val="00630001"/>
    <w:rsid w:val="006311B3"/>
    <w:rsid w:val="0063284C"/>
    <w:rsid w:val="006349EB"/>
    <w:rsid w:val="00636398"/>
    <w:rsid w:val="006368D3"/>
    <w:rsid w:val="006377EC"/>
    <w:rsid w:val="0064151F"/>
    <w:rsid w:val="00641533"/>
    <w:rsid w:val="0064208D"/>
    <w:rsid w:val="00643475"/>
    <w:rsid w:val="0064396A"/>
    <w:rsid w:val="0064624E"/>
    <w:rsid w:val="006466A5"/>
    <w:rsid w:val="00650AB9"/>
    <w:rsid w:val="00651421"/>
    <w:rsid w:val="00655733"/>
    <w:rsid w:val="00655ACD"/>
    <w:rsid w:val="00656A92"/>
    <w:rsid w:val="00656DDE"/>
    <w:rsid w:val="0066011D"/>
    <w:rsid w:val="006607C0"/>
    <w:rsid w:val="006613A6"/>
    <w:rsid w:val="006627A2"/>
    <w:rsid w:val="00662820"/>
    <w:rsid w:val="006633E1"/>
    <w:rsid w:val="006634E6"/>
    <w:rsid w:val="006655EE"/>
    <w:rsid w:val="00667EE7"/>
    <w:rsid w:val="00670922"/>
    <w:rsid w:val="00670BE1"/>
    <w:rsid w:val="00670DDA"/>
    <w:rsid w:val="0067218F"/>
    <w:rsid w:val="006741F2"/>
    <w:rsid w:val="00674CC3"/>
    <w:rsid w:val="00675C72"/>
    <w:rsid w:val="006771F9"/>
    <w:rsid w:val="006776D7"/>
    <w:rsid w:val="00681003"/>
    <w:rsid w:val="00681519"/>
    <w:rsid w:val="006817C9"/>
    <w:rsid w:val="00682FB4"/>
    <w:rsid w:val="00683ECE"/>
    <w:rsid w:val="006874BA"/>
    <w:rsid w:val="00690901"/>
    <w:rsid w:val="00691085"/>
    <w:rsid w:val="00694A9F"/>
    <w:rsid w:val="00695FC2"/>
    <w:rsid w:val="00696342"/>
    <w:rsid w:val="00696949"/>
    <w:rsid w:val="00697052"/>
    <w:rsid w:val="00697EBC"/>
    <w:rsid w:val="006A46FB"/>
    <w:rsid w:val="006A5E28"/>
    <w:rsid w:val="006A6369"/>
    <w:rsid w:val="006A697B"/>
    <w:rsid w:val="006A7AFF"/>
    <w:rsid w:val="006B1816"/>
    <w:rsid w:val="006B2099"/>
    <w:rsid w:val="006B50CF"/>
    <w:rsid w:val="006C03B8"/>
    <w:rsid w:val="006C1F43"/>
    <w:rsid w:val="006C3DCB"/>
    <w:rsid w:val="006C5152"/>
    <w:rsid w:val="006C5EC9"/>
    <w:rsid w:val="006C6059"/>
    <w:rsid w:val="006C738E"/>
    <w:rsid w:val="006C7522"/>
    <w:rsid w:val="006D0F2A"/>
    <w:rsid w:val="006D4030"/>
    <w:rsid w:val="006D6F08"/>
    <w:rsid w:val="006D79A7"/>
    <w:rsid w:val="006E062C"/>
    <w:rsid w:val="006E15EB"/>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3BDE"/>
    <w:rsid w:val="00724983"/>
    <w:rsid w:val="007257D0"/>
    <w:rsid w:val="00726EA6"/>
    <w:rsid w:val="00727208"/>
    <w:rsid w:val="00727680"/>
    <w:rsid w:val="007348B1"/>
    <w:rsid w:val="007362A6"/>
    <w:rsid w:val="00736D7D"/>
    <w:rsid w:val="00740E58"/>
    <w:rsid w:val="007445A0"/>
    <w:rsid w:val="00745140"/>
    <w:rsid w:val="0074524B"/>
    <w:rsid w:val="00747D8B"/>
    <w:rsid w:val="00751228"/>
    <w:rsid w:val="007571E1"/>
    <w:rsid w:val="007604B2"/>
    <w:rsid w:val="00765281"/>
    <w:rsid w:val="00766BAD"/>
    <w:rsid w:val="007729A2"/>
    <w:rsid w:val="00773A4B"/>
    <w:rsid w:val="007755F2"/>
    <w:rsid w:val="00775A0D"/>
    <w:rsid w:val="00776971"/>
    <w:rsid w:val="007800DC"/>
    <w:rsid w:val="00780A80"/>
    <w:rsid w:val="0078177E"/>
    <w:rsid w:val="0078304C"/>
    <w:rsid w:val="00783673"/>
    <w:rsid w:val="00785490"/>
    <w:rsid w:val="007925EA"/>
    <w:rsid w:val="00793CD8"/>
    <w:rsid w:val="00795C92"/>
    <w:rsid w:val="00796231"/>
    <w:rsid w:val="00797B27"/>
    <w:rsid w:val="007A1CB3"/>
    <w:rsid w:val="007A306F"/>
    <w:rsid w:val="007A43A6"/>
    <w:rsid w:val="007A58A6"/>
    <w:rsid w:val="007A6B63"/>
    <w:rsid w:val="007B3D2D"/>
    <w:rsid w:val="007B50AE"/>
    <w:rsid w:val="007B51DF"/>
    <w:rsid w:val="007B7A4F"/>
    <w:rsid w:val="007B7EB2"/>
    <w:rsid w:val="007C05DD"/>
    <w:rsid w:val="007C0F35"/>
    <w:rsid w:val="007C18EC"/>
    <w:rsid w:val="007C3D18"/>
    <w:rsid w:val="007C4844"/>
    <w:rsid w:val="007C60BF"/>
    <w:rsid w:val="007C619A"/>
    <w:rsid w:val="007C6A07"/>
    <w:rsid w:val="007C75A1"/>
    <w:rsid w:val="007C77A5"/>
    <w:rsid w:val="007D04E5"/>
    <w:rsid w:val="007D18F8"/>
    <w:rsid w:val="007D5901"/>
    <w:rsid w:val="007D7526"/>
    <w:rsid w:val="007E4610"/>
    <w:rsid w:val="007E4715"/>
    <w:rsid w:val="007E505B"/>
    <w:rsid w:val="007E7091"/>
    <w:rsid w:val="007F637A"/>
    <w:rsid w:val="007F7B75"/>
    <w:rsid w:val="00803FAE"/>
    <w:rsid w:val="0080605F"/>
    <w:rsid w:val="00807786"/>
    <w:rsid w:val="00811FCB"/>
    <w:rsid w:val="008158D6"/>
    <w:rsid w:val="00817196"/>
    <w:rsid w:val="008235DB"/>
    <w:rsid w:val="00824AB4"/>
    <w:rsid w:val="00825C42"/>
    <w:rsid w:val="00825D25"/>
    <w:rsid w:val="00827D6F"/>
    <w:rsid w:val="008376AC"/>
    <w:rsid w:val="00837E70"/>
    <w:rsid w:val="008444E8"/>
    <w:rsid w:val="00844E80"/>
    <w:rsid w:val="00846FE7"/>
    <w:rsid w:val="00850523"/>
    <w:rsid w:val="00856911"/>
    <w:rsid w:val="00857812"/>
    <w:rsid w:val="00863A5E"/>
    <w:rsid w:val="008677FD"/>
    <w:rsid w:val="008706D4"/>
    <w:rsid w:val="00870F8A"/>
    <w:rsid w:val="008719A4"/>
    <w:rsid w:val="00871D23"/>
    <w:rsid w:val="00874312"/>
    <w:rsid w:val="0087437C"/>
    <w:rsid w:val="008749E7"/>
    <w:rsid w:val="00875CD7"/>
    <w:rsid w:val="00876B4D"/>
    <w:rsid w:val="0087768F"/>
    <w:rsid w:val="00877B6F"/>
    <w:rsid w:val="00877F18"/>
    <w:rsid w:val="0088353B"/>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200A"/>
    <w:rsid w:val="008F33DC"/>
    <w:rsid w:val="008F477F"/>
    <w:rsid w:val="008F652C"/>
    <w:rsid w:val="00900302"/>
    <w:rsid w:val="00902350"/>
    <w:rsid w:val="0090336B"/>
    <w:rsid w:val="009053AA"/>
    <w:rsid w:val="00906939"/>
    <w:rsid w:val="00910B7D"/>
    <w:rsid w:val="00911DFB"/>
    <w:rsid w:val="009139D9"/>
    <w:rsid w:val="00914AD8"/>
    <w:rsid w:val="00916079"/>
    <w:rsid w:val="00917CE9"/>
    <w:rsid w:val="00920BF2"/>
    <w:rsid w:val="00922010"/>
    <w:rsid w:val="00922154"/>
    <w:rsid w:val="00926FB0"/>
    <w:rsid w:val="00931BD9"/>
    <w:rsid w:val="00935F86"/>
    <w:rsid w:val="009368F3"/>
    <w:rsid w:val="00941636"/>
    <w:rsid w:val="009431E4"/>
    <w:rsid w:val="009433F1"/>
    <w:rsid w:val="00943742"/>
    <w:rsid w:val="00945C05"/>
    <w:rsid w:val="00946945"/>
    <w:rsid w:val="00947043"/>
    <w:rsid w:val="00947713"/>
    <w:rsid w:val="00950DE7"/>
    <w:rsid w:val="0095351C"/>
    <w:rsid w:val="00953920"/>
    <w:rsid w:val="00953D47"/>
    <w:rsid w:val="0095681E"/>
    <w:rsid w:val="009572D4"/>
    <w:rsid w:val="00961921"/>
    <w:rsid w:val="0096430A"/>
    <w:rsid w:val="0096554B"/>
    <w:rsid w:val="0096584A"/>
    <w:rsid w:val="00971F08"/>
    <w:rsid w:val="0097603D"/>
    <w:rsid w:val="00976949"/>
    <w:rsid w:val="00980477"/>
    <w:rsid w:val="0098459E"/>
    <w:rsid w:val="00985253"/>
    <w:rsid w:val="009853B3"/>
    <w:rsid w:val="0098686D"/>
    <w:rsid w:val="00990630"/>
    <w:rsid w:val="00991761"/>
    <w:rsid w:val="00994DCA"/>
    <w:rsid w:val="009960EC"/>
    <w:rsid w:val="0099654E"/>
    <w:rsid w:val="009970DD"/>
    <w:rsid w:val="009A0FBA"/>
    <w:rsid w:val="009A1601"/>
    <w:rsid w:val="009A39A1"/>
    <w:rsid w:val="009A3BB6"/>
    <w:rsid w:val="009A462D"/>
    <w:rsid w:val="009A51BD"/>
    <w:rsid w:val="009A5CBA"/>
    <w:rsid w:val="009B1F30"/>
    <w:rsid w:val="009B3AC2"/>
    <w:rsid w:val="009B4DF4"/>
    <w:rsid w:val="009B564E"/>
    <w:rsid w:val="009B72B8"/>
    <w:rsid w:val="009B7E87"/>
    <w:rsid w:val="009C0169"/>
    <w:rsid w:val="009C403E"/>
    <w:rsid w:val="009D0251"/>
    <w:rsid w:val="009D3986"/>
    <w:rsid w:val="009D4FF0"/>
    <w:rsid w:val="009D703C"/>
    <w:rsid w:val="009D718F"/>
    <w:rsid w:val="009E068F"/>
    <w:rsid w:val="009E14E0"/>
    <w:rsid w:val="009E18AF"/>
    <w:rsid w:val="009E35DB"/>
    <w:rsid w:val="009E47A3"/>
    <w:rsid w:val="009E5102"/>
    <w:rsid w:val="009E58E4"/>
    <w:rsid w:val="009E598E"/>
    <w:rsid w:val="009F0779"/>
    <w:rsid w:val="009F08F3"/>
    <w:rsid w:val="009F344F"/>
    <w:rsid w:val="00A02D32"/>
    <w:rsid w:val="00A031D8"/>
    <w:rsid w:val="00A0324C"/>
    <w:rsid w:val="00A048A8"/>
    <w:rsid w:val="00A04E24"/>
    <w:rsid w:val="00A04F49"/>
    <w:rsid w:val="00A13E54"/>
    <w:rsid w:val="00A158D5"/>
    <w:rsid w:val="00A17F63"/>
    <w:rsid w:val="00A21323"/>
    <w:rsid w:val="00A216EB"/>
    <w:rsid w:val="00A2193B"/>
    <w:rsid w:val="00A21C3E"/>
    <w:rsid w:val="00A2351A"/>
    <w:rsid w:val="00A264A9"/>
    <w:rsid w:val="00A26DCF"/>
    <w:rsid w:val="00A27785"/>
    <w:rsid w:val="00A30187"/>
    <w:rsid w:val="00A3448A"/>
    <w:rsid w:val="00A36297"/>
    <w:rsid w:val="00A41E2B"/>
    <w:rsid w:val="00A450AD"/>
    <w:rsid w:val="00A45B74"/>
    <w:rsid w:val="00A46D9B"/>
    <w:rsid w:val="00A52E1D"/>
    <w:rsid w:val="00A56D68"/>
    <w:rsid w:val="00A61499"/>
    <w:rsid w:val="00A62A77"/>
    <w:rsid w:val="00A63483"/>
    <w:rsid w:val="00A657D7"/>
    <w:rsid w:val="00A660AC"/>
    <w:rsid w:val="00A67E6C"/>
    <w:rsid w:val="00A71B99"/>
    <w:rsid w:val="00A72EC2"/>
    <w:rsid w:val="00A739D0"/>
    <w:rsid w:val="00A753AC"/>
    <w:rsid w:val="00A761D4"/>
    <w:rsid w:val="00A77EC4"/>
    <w:rsid w:val="00A81818"/>
    <w:rsid w:val="00A92879"/>
    <w:rsid w:val="00A9442A"/>
    <w:rsid w:val="00A95E67"/>
    <w:rsid w:val="00A96290"/>
    <w:rsid w:val="00AA016F"/>
    <w:rsid w:val="00AA1ED6"/>
    <w:rsid w:val="00AA2CB0"/>
    <w:rsid w:val="00AA35BF"/>
    <w:rsid w:val="00AA51D6"/>
    <w:rsid w:val="00AA5D36"/>
    <w:rsid w:val="00AB0BC8"/>
    <w:rsid w:val="00AB11CA"/>
    <w:rsid w:val="00AB14D9"/>
    <w:rsid w:val="00AB4AB8"/>
    <w:rsid w:val="00AB655E"/>
    <w:rsid w:val="00AB731D"/>
    <w:rsid w:val="00AC007F"/>
    <w:rsid w:val="00AC14AD"/>
    <w:rsid w:val="00AC2ECD"/>
    <w:rsid w:val="00AC3119"/>
    <w:rsid w:val="00AC49FB"/>
    <w:rsid w:val="00AC5A10"/>
    <w:rsid w:val="00AC7D49"/>
    <w:rsid w:val="00AC7F3C"/>
    <w:rsid w:val="00AD0AA3"/>
    <w:rsid w:val="00AD2ED0"/>
    <w:rsid w:val="00AD3F94"/>
    <w:rsid w:val="00AD3FE3"/>
    <w:rsid w:val="00AD4A5A"/>
    <w:rsid w:val="00AD4D8E"/>
    <w:rsid w:val="00AE27AC"/>
    <w:rsid w:val="00AE40E0"/>
    <w:rsid w:val="00AE4DBA"/>
    <w:rsid w:val="00AE4F07"/>
    <w:rsid w:val="00AE60EC"/>
    <w:rsid w:val="00AF1C5D"/>
    <w:rsid w:val="00AF42D7"/>
    <w:rsid w:val="00AF671D"/>
    <w:rsid w:val="00AF7E5B"/>
    <w:rsid w:val="00B006FE"/>
    <w:rsid w:val="00B007CB"/>
    <w:rsid w:val="00B02AA9"/>
    <w:rsid w:val="00B02FA3"/>
    <w:rsid w:val="00B041DD"/>
    <w:rsid w:val="00B04628"/>
    <w:rsid w:val="00B05084"/>
    <w:rsid w:val="00B12997"/>
    <w:rsid w:val="00B1538B"/>
    <w:rsid w:val="00B157F9"/>
    <w:rsid w:val="00B15A58"/>
    <w:rsid w:val="00B20256"/>
    <w:rsid w:val="00B20D09"/>
    <w:rsid w:val="00B234A5"/>
    <w:rsid w:val="00B2763F"/>
    <w:rsid w:val="00B27AAC"/>
    <w:rsid w:val="00B30929"/>
    <w:rsid w:val="00B342D0"/>
    <w:rsid w:val="00B372AA"/>
    <w:rsid w:val="00B40081"/>
    <w:rsid w:val="00B40445"/>
    <w:rsid w:val="00B409E0"/>
    <w:rsid w:val="00B412EB"/>
    <w:rsid w:val="00B41888"/>
    <w:rsid w:val="00B41DE5"/>
    <w:rsid w:val="00B43958"/>
    <w:rsid w:val="00B45A52"/>
    <w:rsid w:val="00B46175"/>
    <w:rsid w:val="00B47B39"/>
    <w:rsid w:val="00B509B4"/>
    <w:rsid w:val="00B548B7"/>
    <w:rsid w:val="00B61DD3"/>
    <w:rsid w:val="00B664C7"/>
    <w:rsid w:val="00B739F6"/>
    <w:rsid w:val="00B74833"/>
    <w:rsid w:val="00B74EBA"/>
    <w:rsid w:val="00B81A6C"/>
    <w:rsid w:val="00B85DE5"/>
    <w:rsid w:val="00B8750A"/>
    <w:rsid w:val="00B90F73"/>
    <w:rsid w:val="00B93B59"/>
    <w:rsid w:val="00B9406A"/>
    <w:rsid w:val="00BA2280"/>
    <w:rsid w:val="00BA2A08"/>
    <w:rsid w:val="00BA445D"/>
    <w:rsid w:val="00BA56D2"/>
    <w:rsid w:val="00BA76E0"/>
    <w:rsid w:val="00BB0390"/>
    <w:rsid w:val="00BB2A25"/>
    <w:rsid w:val="00BB51E9"/>
    <w:rsid w:val="00BB5FAB"/>
    <w:rsid w:val="00BC0FDC"/>
    <w:rsid w:val="00BC3053"/>
    <w:rsid w:val="00BC3C4F"/>
    <w:rsid w:val="00BC4D2E"/>
    <w:rsid w:val="00BD48AC"/>
    <w:rsid w:val="00BD4A48"/>
    <w:rsid w:val="00BD5F1A"/>
    <w:rsid w:val="00BD7C55"/>
    <w:rsid w:val="00BE1234"/>
    <w:rsid w:val="00BE1BDA"/>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7DD"/>
    <w:rsid w:val="00C14D4B"/>
    <w:rsid w:val="00C154BB"/>
    <w:rsid w:val="00C169DA"/>
    <w:rsid w:val="00C20196"/>
    <w:rsid w:val="00C2682C"/>
    <w:rsid w:val="00C26F88"/>
    <w:rsid w:val="00C279B5"/>
    <w:rsid w:val="00C27C45"/>
    <w:rsid w:val="00C30531"/>
    <w:rsid w:val="00C3719D"/>
    <w:rsid w:val="00C37CB2"/>
    <w:rsid w:val="00C37F70"/>
    <w:rsid w:val="00C405AB"/>
    <w:rsid w:val="00C417E1"/>
    <w:rsid w:val="00C464AA"/>
    <w:rsid w:val="00C473A5"/>
    <w:rsid w:val="00C52930"/>
    <w:rsid w:val="00C546FF"/>
    <w:rsid w:val="00C54995"/>
    <w:rsid w:val="00C54D41"/>
    <w:rsid w:val="00C60783"/>
    <w:rsid w:val="00C64672"/>
    <w:rsid w:val="00C70697"/>
    <w:rsid w:val="00C72093"/>
    <w:rsid w:val="00C72EF4"/>
    <w:rsid w:val="00C744FE"/>
    <w:rsid w:val="00C75D2F"/>
    <w:rsid w:val="00C767BE"/>
    <w:rsid w:val="00C76E3C"/>
    <w:rsid w:val="00C77218"/>
    <w:rsid w:val="00C81568"/>
    <w:rsid w:val="00C86030"/>
    <w:rsid w:val="00C873A7"/>
    <w:rsid w:val="00C87BEE"/>
    <w:rsid w:val="00C9027A"/>
    <w:rsid w:val="00C9068E"/>
    <w:rsid w:val="00C93814"/>
    <w:rsid w:val="00C93C4B"/>
    <w:rsid w:val="00C93F1E"/>
    <w:rsid w:val="00C944AB"/>
    <w:rsid w:val="00C957FB"/>
    <w:rsid w:val="00C95B40"/>
    <w:rsid w:val="00CA03EB"/>
    <w:rsid w:val="00CA1A04"/>
    <w:rsid w:val="00CA1ED8"/>
    <w:rsid w:val="00CA44E4"/>
    <w:rsid w:val="00CA512D"/>
    <w:rsid w:val="00CB1F63"/>
    <w:rsid w:val="00CB61F7"/>
    <w:rsid w:val="00CB7170"/>
    <w:rsid w:val="00CC040E"/>
    <w:rsid w:val="00CC111F"/>
    <w:rsid w:val="00CC2011"/>
    <w:rsid w:val="00CC3EA0"/>
    <w:rsid w:val="00CC7B45"/>
    <w:rsid w:val="00CD1188"/>
    <w:rsid w:val="00CD2ED1"/>
    <w:rsid w:val="00CD337B"/>
    <w:rsid w:val="00CD6353"/>
    <w:rsid w:val="00CE0424"/>
    <w:rsid w:val="00CE179F"/>
    <w:rsid w:val="00CE3997"/>
    <w:rsid w:val="00CE7561"/>
    <w:rsid w:val="00CF1354"/>
    <w:rsid w:val="00CF3B1F"/>
    <w:rsid w:val="00CF3BF6"/>
    <w:rsid w:val="00CF625B"/>
    <w:rsid w:val="00CF687E"/>
    <w:rsid w:val="00D0349B"/>
    <w:rsid w:val="00D04D43"/>
    <w:rsid w:val="00D056D0"/>
    <w:rsid w:val="00D10249"/>
    <w:rsid w:val="00D115C3"/>
    <w:rsid w:val="00D11897"/>
    <w:rsid w:val="00D13135"/>
    <w:rsid w:val="00D13B5E"/>
    <w:rsid w:val="00D13E4E"/>
    <w:rsid w:val="00D14629"/>
    <w:rsid w:val="00D1491C"/>
    <w:rsid w:val="00D165E7"/>
    <w:rsid w:val="00D239A7"/>
    <w:rsid w:val="00D23F47"/>
    <w:rsid w:val="00D36E71"/>
    <w:rsid w:val="00D37D87"/>
    <w:rsid w:val="00D40B33"/>
    <w:rsid w:val="00D41AA9"/>
    <w:rsid w:val="00D4318F"/>
    <w:rsid w:val="00D438BF"/>
    <w:rsid w:val="00D43BB9"/>
    <w:rsid w:val="00D440F8"/>
    <w:rsid w:val="00D4520A"/>
    <w:rsid w:val="00D5391C"/>
    <w:rsid w:val="00D54462"/>
    <w:rsid w:val="00D546FF"/>
    <w:rsid w:val="00D55AD5"/>
    <w:rsid w:val="00D576CA"/>
    <w:rsid w:val="00D61AF5"/>
    <w:rsid w:val="00D652B5"/>
    <w:rsid w:val="00D66155"/>
    <w:rsid w:val="00D676AC"/>
    <w:rsid w:val="00D70689"/>
    <w:rsid w:val="00D708B0"/>
    <w:rsid w:val="00D77B1D"/>
    <w:rsid w:val="00D8021F"/>
    <w:rsid w:val="00D80383"/>
    <w:rsid w:val="00D823C6"/>
    <w:rsid w:val="00D8327F"/>
    <w:rsid w:val="00D86CA3"/>
    <w:rsid w:val="00D871CE"/>
    <w:rsid w:val="00D9196D"/>
    <w:rsid w:val="00D92982"/>
    <w:rsid w:val="00D940F9"/>
    <w:rsid w:val="00DA305E"/>
    <w:rsid w:val="00DA3F01"/>
    <w:rsid w:val="00DA5417"/>
    <w:rsid w:val="00DA56E8"/>
    <w:rsid w:val="00DA69F4"/>
    <w:rsid w:val="00DB0A9F"/>
    <w:rsid w:val="00DB13B9"/>
    <w:rsid w:val="00DB377D"/>
    <w:rsid w:val="00DC2D36"/>
    <w:rsid w:val="00DC53EF"/>
    <w:rsid w:val="00DC6C53"/>
    <w:rsid w:val="00DD2FF1"/>
    <w:rsid w:val="00DD7469"/>
    <w:rsid w:val="00DE1132"/>
    <w:rsid w:val="00DE5608"/>
    <w:rsid w:val="00DE58D0"/>
    <w:rsid w:val="00DE654F"/>
    <w:rsid w:val="00DE6862"/>
    <w:rsid w:val="00DF0B6E"/>
    <w:rsid w:val="00DF15E0"/>
    <w:rsid w:val="00DF37A0"/>
    <w:rsid w:val="00DF7AAF"/>
    <w:rsid w:val="00E029CE"/>
    <w:rsid w:val="00E110E7"/>
    <w:rsid w:val="00E11B20"/>
    <w:rsid w:val="00E17FA2"/>
    <w:rsid w:val="00E22330"/>
    <w:rsid w:val="00E3041E"/>
    <w:rsid w:val="00E30B5A"/>
    <w:rsid w:val="00E3123D"/>
    <w:rsid w:val="00E31461"/>
    <w:rsid w:val="00E31D43"/>
    <w:rsid w:val="00E32608"/>
    <w:rsid w:val="00E34188"/>
    <w:rsid w:val="00E34B6E"/>
    <w:rsid w:val="00E35559"/>
    <w:rsid w:val="00E3723A"/>
    <w:rsid w:val="00E37860"/>
    <w:rsid w:val="00E413DF"/>
    <w:rsid w:val="00E422AA"/>
    <w:rsid w:val="00E446F1"/>
    <w:rsid w:val="00E45568"/>
    <w:rsid w:val="00E45FE5"/>
    <w:rsid w:val="00E464AF"/>
    <w:rsid w:val="00E46886"/>
    <w:rsid w:val="00E47AEF"/>
    <w:rsid w:val="00E47D3F"/>
    <w:rsid w:val="00E53B75"/>
    <w:rsid w:val="00E54E3B"/>
    <w:rsid w:val="00E55477"/>
    <w:rsid w:val="00E57565"/>
    <w:rsid w:val="00E63838"/>
    <w:rsid w:val="00E64434"/>
    <w:rsid w:val="00E6678D"/>
    <w:rsid w:val="00E67C51"/>
    <w:rsid w:val="00E72EFC"/>
    <w:rsid w:val="00E758EC"/>
    <w:rsid w:val="00E8234C"/>
    <w:rsid w:val="00E83AA9"/>
    <w:rsid w:val="00E85600"/>
    <w:rsid w:val="00E8580E"/>
    <w:rsid w:val="00E85928"/>
    <w:rsid w:val="00E87822"/>
    <w:rsid w:val="00E90395"/>
    <w:rsid w:val="00E90E49"/>
    <w:rsid w:val="00E91742"/>
    <w:rsid w:val="00E917F9"/>
    <w:rsid w:val="00E92194"/>
    <w:rsid w:val="00E9291C"/>
    <w:rsid w:val="00E93FFE"/>
    <w:rsid w:val="00E94F8A"/>
    <w:rsid w:val="00EA0473"/>
    <w:rsid w:val="00EA6E62"/>
    <w:rsid w:val="00EA7A41"/>
    <w:rsid w:val="00EB077B"/>
    <w:rsid w:val="00EB388E"/>
    <w:rsid w:val="00EB4EA2"/>
    <w:rsid w:val="00EC1D6E"/>
    <w:rsid w:val="00EC24D5"/>
    <w:rsid w:val="00EC27C6"/>
    <w:rsid w:val="00EC4207"/>
    <w:rsid w:val="00EC5653"/>
    <w:rsid w:val="00EC71CE"/>
    <w:rsid w:val="00ED1006"/>
    <w:rsid w:val="00ED1966"/>
    <w:rsid w:val="00ED4744"/>
    <w:rsid w:val="00EF18FE"/>
    <w:rsid w:val="00EF5787"/>
    <w:rsid w:val="00EF60D0"/>
    <w:rsid w:val="00EF7660"/>
    <w:rsid w:val="00F03F18"/>
    <w:rsid w:val="00F0412C"/>
    <w:rsid w:val="00F0528D"/>
    <w:rsid w:val="00F06C67"/>
    <w:rsid w:val="00F06DFD"/>
    <w:rsid w:val="00F071D1"/>
    <w:rsid w:val="00F07533"/>
    <w:rsid w:val="00F1000F"/>
    <w:rsid w:val="00F10629"/>
    <w:rsid w:val="00F15FA5"/>
    <w:rsid w:val="00F209B7"/>
    <w:rsid w:val="00F2376F"/>
    <w:rsid w:val="00F243D8"/>
    <w:rsid w:val="00F27C4E"/>
    <w:rsid w:val="00F30828"/>
    <w:rsid w:val="00F30DD6"/>
    <w:rsid w:val="00F313D6"/>
    <w:rsid w:val="00F37BC5"/>
    <w:rsid w:val="00F40F0C"/>
    <w:rsid w:val="00F4766C"/>
    <w:rsid w:val="00F5060E"/>
    <w:rsid w:val="00F507D1"/>
    <w:rsid w:val="00F519CE"/>
    <w:rsid w:val="00F51ADA"/>
    <w:rsid w:val="00F574AC"/>
    <w:rsid w:val="00F60203"/>
    <w:rsid w:val="00F607C5"/>
    <w:rsid w:val="00F60DEA"/>
    <w:rsid w:val="00F6302A"/>
    <w:rsid w:val="00F63950"/>
    <w:rsid w:val="00F63EFF"/>
    <w:rsid w:val="00F64C2B"/>
    <w:rsid w:val="00F651BE"/>
    <w:rsid w:val="00F67F53"/>
    <w:rsid w:val="00F703BE"/>
    <w:rsid w:val="00F71F69"/>
    <w:rsid w:val="00F72B72"/>
    <w:rsid w:val="00F74BB9"/>
    <w:rsid w:val="00F74F76"/>
    <w:rsid w:val="00F75582"/>
    <w:rsid w:val="00F76EFA"/>
    <w:rsid w:val="00F77BBD"/>
    <w:rsid w:val="00F804BE"/>
    <w:rsid w:val="00F812E2"/>
    <w:rsid w:val="00F817CE"/>
    <w:rsid w:val="00F8446A"/>
    <w:rsid w:val="00F8456C"/>
    <w:rsid w:val="00F859D8"/>
    <w:rsid w:val="00F868F5"/>
    <w:rsid w:val="00F9056A"/>
    <w:rsid w:val="00F90E38"/>
    <w:rsid w:val="00F90F8D"/>
    <w:rsid w:val="00F92782"/>
    <w:rsid w:val="00F93AA9"/>
    <w:rsid w:val="00F96985"/>
    <w:rsid w:val="00F97838"/>
    <w:rsid w:val="00FA0631"/>
    <w:rsid w:val="00FA2BB3"/>
    <w:rsid w:val="00FA5B81"/>
    <w:rsid w:val="00FA761F"/>
    <w:rsid w:val="00FB4C80"/>
    <w:rsid w:val="00FB6A6A"/>
    <w:rsid w:val="00FC2CCD"/>
    <w:rsid w:val="00FC7429"/>
    <w:rsid w:val="00FD07F6"/>
    <w:rsid w:val="00FD1EC8"/>
    <w:rsid w:val="00FD2B99"/>
    <w:rsid w:val="00FD3120"/>
    <w:rsid w:val="00FD47ED"/>
    <w:rsid w:val="00FD74DB"/>
    <w:rsid w:val="00FD7660"/>
    <w:rsid w:val="00FD7BEB"/>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4C8581"/>
  <w15:chartTrackingRefBased/>
  <w15:docId w15:val="{4171312B-E005-4050-8CA1-838B52E80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uiPriority w:val="99"/>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3C3487"/>
    <w:rPr>
      <w:color w:val="808080"/>
      <w:shd w:val="clear" w:color="auto" w:fill="E6E6E6"/>
    </w:rPr>
  </w:style>
  <w:style w:type="character" w:styleId="PlaceholderText">
    <w:name w:val="Placeholder Text"/>
    <w:basedOn w:val="DefaultParagraphFont"/>
    <w:uiPriority w:val="99"/>
    <w:semiHidden/>
    <w:rsid w:val="002E1349"/>
    <w:rPr>
      <w:color w:val="808080"/>
    </w:rPr>
  </w:style>
  <w:style w:type="paragraph" w:customStyle="1" w:styleId="textintend2">
    <w:name w:val="text intend 2"/>
    <w:basedOn w:val="Normal"/>
    <w:rsid w:val="00A158D5"/>
    <w:pPr>
      <w:numPr>
        <w:numId w:val="25"/>
      </w:numPr>
      <w:spacing w:after="120"/>
      <w:jc w:val="both"/>
    </w:pPr>
    <w:rPr>
      <w:rFonts w:eastAsia="MS Mincho"/>
      <w:sz w:val="24"/>
      <w:lang w:val="en-US" w:eastAsia="en-US"/>
    </w:rPr>
  </w:style>
  <w:style w:type="character" w:customStyle="1" w:styleId="B10">
    <w:name w:val="B1 (文字)"/>
    <w:uiPriority w:val="99"/>
    <w:locked/>
    <w:rsid w:val="00593081"/>
    <w:rPr>
      <w:rFonts w:ascii="Times New Roman" w:eastAsia="Times New Roman" w:hAnsi="Times New Roman" w:cs="Times New Roman"/>
      <w:sz w:val="20"/>
      <w:szCs w:val="20"/>
      <w:lang w:val="en-GB"/>
    </w:rPr>
  </w:style>
  <w:style w:type="paragraph" w:customStyle="1" w:styleId="LGTdoc1">
    <w:name w:val="LGTdoc_제목1"/>
    <w:basedOn w:val="Normal"/>
    <w:rsid w:val="00FA0631"/>
    <w:pPr>
      <w:overflowPunct/>
      <w:autoSpaceDE/>
      <w:autoSpaceDN/>
      <w:snapToGrid w:val="0"/>
      <w:spacing w:beforeLines="50" w:after="100" w:afterAutospacing="1"/>
      <w:jc w:val="both"/>
      <w:textAlignment w:val="auto"/>
    </w:pPr>
    <w:rPr>
      <w:rFonts w:eastAsia="Batang"/>
      <w:b/>
      <w:snapToGrid w:val="0"/>
      <w:sz w:val="28"/>
      <w:lang w:eastAsia="ko-KR"/>
    </w:rPr>
  </w:style>
  <w:style w:type="character" w:customStyle="1" w:styleId="TALChar">
    <w:name w:val="TAL Char"/>
    <w:rsid w:val="00651421"/>
    <w:rPr>
      <w:rFonts w:ascii="Arial" w:hAnsi="Arial"/>
      <w:sz w:val="18"/>
      <w:lang w:val="en-GB"/>
    </w:rPr>
  </w:style>
  <w:style w:type="paragraph" w:customStyle="1" w:styleId="Proposalsub">
    <w:name w:val="Proposal_sub"/>
    <w:basedOn w:val="Normal"/>
    <w:link w:val="ProposalsubChar"/>
    <w:qFormat/>
    <w:rsid w:val="00E6678D"/>
    <w:pPr>
      <w:numPr>
        <w:numId w:val="42"/>
      </w:numPr>
      <w:overflowPunct/>
      <w:autoSpaceDE/>
      <w:autoSpaceDN/>
      <w:adjustRightInd/>
      <w:spacing w:before="120" w:after="120"/>
      <w:jc w:val="both"/>
      <w:textAlignment w:val="auto"/>
    </w:pPr>
    <w:rPr>
      <w:rFonts w:eastAsia="Malgun Gothic"/>
      <w:kern w:val="2"/>
      <w:szCs w:val="22"/>
      <w:lang w:val="en-US" w:eastAsia="ko-KR"/>
    </w:rPr>
  </w:style>
  <w:style w:type="paragraph" w:customStyle="1" w:styleId="Proposalsubsub">
    <w:name w:val="Proposal_sub_sub"/>
    <w:basedOn w:val="Normal"/>
    <w:link w:val="ProposalsubsubChar"/>
    <w:qFormat/>
    <w:rsid w:val="00E6678D"/>
    <w:pPr>
      <w:numPr>
        <w:ilvl w:val="1"/>
        <w:numId w:val="42"/>
      </w:numPr>
      <w:overflowPunct/>
      <w:autoSpaceDE/>
      <w:autoSpaceDN/>
      <w:adjustRightInd/>
      <w:spacing w:before="120" w:after="120"/>
      <w:jc w:val="both"/>
      <w:textAlignment w:val="auto"/>
    </w:pPr>
    <w:rPr>
      <w:rFonts w:eastAsia="Malgun Gothic"/>
      <w:kern w:val="2"/>
      <w:szCs w:val="22"/>
      <w:lang w:val="en-US" w:eastAsia="ko-KR"/>
    </w:rPr>
  </w:style>
  <w:style w:type="character" w:customStyle="1" w:styleId="ProposalsubChar">
    <w:name w:val="Proposal_sub Char"/>
    <w:link w:val="Proposalsub"/>
    <w:rsid w:val="00E6678D"/>
    <w:rPr>
      <w:rFonts w:ascii="Times New Roman" w:eastAsia="Malgun Gothic" w:hAnsi="Times New Roman"/>
      <w:kern w:val="2"/>
      <w:szCs w:val="22"/>
      <w:lang w:val="en-US" w:eastAsia="ko-KR"/>
    </w:rPr>
  </w:style>
  <w:style w:type="character" w:customStyle="1" w:styleId="ProposalsubsubChar">
    <w:name w:val="Proposal_sub_sub Char"/>
    <w:link w:val="Proposalsubsub"/>
    <w:rsid w:val="00E6678D"/>
    <w:rPr>
      <w:rFonts w:ascii="Times New Roman" w:eastAsia="Malgun Gothic" w:hAnsi="Times New Roman"/>
      <w:kern w:val="2"/>
      <w:szCs w:val="22"/>
      <w:lang w:val="en-US" w:eastAsia="ko-KR"/>
    </w:rPr>
  </w:style>
  <w:style w:type="paragraph" w:customStyle="1" w:styleId="rProposal">
    <w:name w:val="rProposal"/>
    <w:basedOn w:val="Normal"/>
    <w:next w:val="Normal"/>
    <w:link w:val="rProposalChar"/>
    <w:qFormat/>
    <w:rsid w:val="00E6678D"/>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rsid w:val="00E6678D"/>
    <w:rPr>
      <w:rFonts w:ascii="Times New Roman" w:eastAsia="Malgun Gothic" w:hAnsi="Times New Roman"/>
      <w:i/>
      <w:kern w:val="2"/>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45154">
      <w:bodyDiv w:val="1"/>
      <w:marLeft w:val="0"/>
      <w:marRight w:val="0"/>
      <w:marTop w:val="0"/>
      <w:marBottom w:val="0"/>
      <w:divBdr>
        <w:top w:val="none" w:sz="0" w:space="0" w:color="auto"/>
        <w:left w:val="none" w:sz="0" w:space="0" w:color="auto"/>
        <w:bottom w:val="none" w:sz="0" w:space="0" w:color="auto"/>
        <w:right w:val="none" w:sz="0" w:space="0" w:color="auto"/>
      </w:divBdr>
    </w:div>
    <w:div w:id="334966191">
      <w:bodyDiv w:val="1"/>
      <w:marLeft w:val="0"/>
      <w:marRight w:val="0"/>
      <w:marTop w:val="0"/>
      <w:marBottom w:val="0"/>
      <w:divBdr>
        <w:top w:val="none" w:sz="0" w:space="0" w:color="auto"/>
        <w:left w:val="none" w:sz="0" w:space="0" w:color="auto"/>
        <w:bottom w:val="none" w:sz="0" w:space="0" w:color="auto"/>
        <w:right w:val="none" w:sz="0" w:space="0" w:color="auto"/>
      </w:divBdr>
    </w:div>
    <w:div w:id="686568067">
      <w:bodyDiv w:val="1"/>
      <w:marLeft w:val="0"/>
      <w:marRight w:val="0"/>
      <w:marTop w:val="0"/>
      <w:marBottom w:val="0"/>
      <w:divBdr>
        <w:top w:val="none" w:sz="0" w:space="0" w:color="auto"/>
        <w:left w:val="none" w:sz="0" w:space="0" w:color="auto"/>
        <w:bottom w:val="none" w:sz="0" w:space="0" w:color="auto"/>
        <w:right w:val="none" w:sz="0" w:space="0" w:color="auto"/>
      </w:divBdr>
    </w:div>
    <w:div w:id="869994421">
      <w:bodyDiv w:val="1"/>
      <w:marLeft w:val="0"/>
      <w:marRight w:val="0"/>
      <w:marTop w:val="0"/>
      <w:marBottom w:val="0"/>
      <w:divBdr>
        <w:top w:val="none" w:sz="0" w:space="0" w:color="auto"/>
        <w:left w:val="none" w:sz="0" w:space="0" w:color="auto"/>
        <w:bottom w:val="none" w:sz="0" w:space="0" w:color="auto"/>
        <w:right w:val="none" w:sz="0" w:space="0" w:color="auto"/>
      </w:divBdr>
      <w:divsChild>
        <w:div w:id="2031760567">
          <w:marLeft w:val="533"/>
          <w:marRight w:val="0"/>
          <w:marTop w:val="0"/>
          <w:marBottom w:val="0"/>
          <w:divBdr>
            <w:top w:val="none" w:sz="0" w:space="0" w:color="auto"/>
            <w:left w:val="none" w:sz="0" w:space="0" w:color="auto"/>
            <w:bottom w:val="none" w:sz="0" w:space="0" w:color="auto"/>
            <w:right w:val="none" w:sz="0" w:space="0" w:color="auto"/>
          </w:divBdr>
        </w:div>
        <w:div w:id="1914662797">
          <w:marLeft w:val="806"/>
          <w:marRight w:val="0"/>
          <w:marTop w:val="0"/>
          <w:marBottom w:val="0"/>
          <w:divBdr>
            <w:top w:val="none" w:sz="0" w:space="0" w:color="auto"/>
            <w:left w:val="none" w:sz="0" w:space="0" w:color="auto"/>
            <w:bottom w:val="none" w:sz="0" w:space="0" w:color="auto"/>
            <w:right w:val="none" w:sz="0" w:space="0" w:color="auto"/>
          </w:divBdr>
        </w:div>
        <w:div w:id="395514869">
          <w:marLeft w:val="806"/>
          <w:marRight w:val="0"/>
          <w:marTop w:val="0"/>
          <w:marBottom w:val="0"/>
          <w:divBdr>
            <w:top w:val="none" w:sz="0" w:space="0" w:color="auto"/>
            <w:left w:val="none" w:sz="0" w:space="0" w:color="auto"/>
            <w:bottom w:val="none" w:sz="0" w:space="0" w:color="auto"/>
            <w:right w:val="none" w:sz="0" w:space="0" w:color="auto"/>
          </w:divBdr>
        </w:div>
        <w:div w:id="20784612">
          <w:marLeft w:val="806"/>
          <w:marRight w:val="0"/>
          <w:marTop w:val="0"/>
          <w:marBottom w:val="0"/>
          <w:divBdr>
            <w:top w:val="none" w:sz="0" w:space="0" w:color="auto"/>
            <w:left w:val="none" w:sz="0" w:space="0" w:color="auto"/>
            <w:bottom w:val="none" w:sz="0" w:space="0" w:color="auto"/>
            <w:right w:val="none" w:sz="0" w:space="0" w:color="auto"/>
          </w:divBdr>
        </w:div>
      </w:divsChild>
    </w:div>
    <w:div w:id="1807119614">
      <w:bodyDiv w:val="1"/>
      <w:marLeft w:val="0"/>
      <w:marRight w:val="0"/>
      <w:marTop w:val="0"/>
      <w:marBottom w:val="0"/>
      <w:divBdr>
        <w:top w:val="none" w:sz="0" w:space="0" w:color="auto"/>
        <w:left w:val="none" w:sz="0" w:space="0" w:color="auto"/>
        <w:bottom w:val="none" w:sz="0" w:space="0" w:color="auto"/>
        <w:right w:val="none" w:sz="0" w:space="0" w:color="auto"/>
      </w:divBdr>
    </w:div>
    <w:div w:id="1853032539">
      <w:bodyDiv w:val="1"/>
      <w:marLeft w:val="0"/>
      <w:marRight w:val="0"/>
      <w:marTop w:val="0"/>
      <w:marBottom w:val="0"/>
      <w:divBdr>
        <w:top w:val="none" w:sz="0" w:space="0" w:color="auto"/>
        <w:left w:val="none" w:sz="0" w:space="0" w:color="auto"/>
        <w:bottom w:val="none" w:sz="0" w:space="0" w:color="auto"/>
        <w:right w:val="none" w:sz="0" w:space="0" w:color="auto"/>
      </w:divBdr>
    </w:div>
    <w:div w:id="1998724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germed\Documents\Desktop%20-%20Old%20EliteBook%20%5bFeb2015%5d\3GPP_StandardizationDelegate\RAN1_%2394_Gothenburg_2018\R1-xxxxxx%20Text_Proposal_211_sub-PR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C7FF5B-D5DF-4B73-AAB3-FA5B92E07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Text_Proposal_211_sub-PRB</Template>
  <TotalTime>3979</TotalTime>
  <Pages>4</Pages>
  <Words>1809</Words>
  <Characters>10314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12099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EricssonG</dc:creator>
  <cp:keywords>3GPP; Ericsson; TDoc</cp:keywords>
  <dc:description/>
  <cp:lastModifiedBy>Chao Wei</cp:lastModifiedBy>
  <cp:revision>19</cp:revision>
  <cp:lastPrinted>2008-01-31T07:09:00Z</cp:lastPrinted>
  <dcterms:created xsi:type="dcterms:W3CDTF">2018-11-02T04:44:00Z</dcterms:created>
  <dcterms:modified xsi:type="dcterms:W3CDTF">2019-05-03T16:14:00Z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_AdHocReviewCycleID">
    <vt:i4>233886369</vt:i4>
  </property>
  <property fmtid="{D5CDD505-2E9C-101B-9397-08002B2CF9AE}" pid="4" name="_NewReviewCycle">
    <vt:lpwstr/>
  </property>
  <property fmtid="{D5CDD505-2E9C-101B-9397-08002B2CF9AE}" pid="5" name="_EmailSubject">
    <vt:lpwstr>Power consumption of narrowband vs wideband</vt:lpwstr>
  </property>
  <property fmtid="{D5CDD505-2E9C-101B-9397-08002B2CF9AE}" pid="6" name="_AuthorEmail">
    <vt:lpwstr>weichao@qti.qualcomm.com</vt:lpwstr>
  </property>
  <property fmtid="{D5CDD505-2E9C-101B-9397-08002B2CF9AE}" pid="7" name="_AuthorEmailDisplayName">
    <vt:lpwstr>Chao Wei</vt:lpwstr>
  </property>
  <property fmtid="{D5CDD505-2E9C-101B-9397-08002B2CF9AE}" pid="8" name="_ReviewingToolsShownOnce">
    <vt:lpwstr/>
  </property>
</Properties>
</file>