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B8FF1" w14:textId="647BDFB3" w:rsidR="00DE63A0" w:rsidRPr="00EA3011" w:rsidRDefault="004441F5" w:rsidP="00EA3011">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w:t>
      </w:r>
      <w:r w:rsidR="00F37B1B">
        <w:rPr>
          <w:rFonts w:ascii="Arial" w:hAnsi="Arial" w:cs="Arial"/>
          <w:b/>
          <w:bCs/>
          <w:snapToGrid w:val="0"/>
          <w:sz w:val="24"/>
          <w:lang w:val="en-GB"/>
        </w:rPr>
        <w:t xml:space="preserve"> </w:t>
      </w:r>
      <w:r>
        <w:rPr>
          <w:rFonts w:ascii="Arial" w:hAnsi="Arial" w:cs="Arial"/>
          <w:b/>
          <w:bCs/>
          <w:snapToGrid w:val="0"/>
          <w:sz w:val="24"/>
          <w:lang w:val="en-GB"/>
        </w:rPr>
        <w:t>RAN</w:t>
      </w:r>
      <w:r w:rsidR="00F37B1B">
        <w:rPr>
          <w:rFonts w:ascii="Arial" w:hAnsi="Arial" w:cs="Arial"/>
          <w:b/>
          <w:bCs/>
          <w:snapToGrid w:val="0"/>
          <w:sz w:val="24"/>
          <w:lang w:val="en-GB"/>
        </w:rPr>
        <w:t xml:space="preserve"> WG1</w:t>
      </w:r>
      <w:r>
        <w:rPr>
          <w:rFonts w:ascii="Arial" w:hAnsi="Arial" w:cs="Arial"/>
          <w:b/>
          <w:bCs/>
          <w:snapToGrid w:val="0"/>
          <w:sz w:val="24"/>
          <w:lang w:val="en-GB"/>
        </w:rPr>
        <w:t xml:space="preserve"> #9</w:t>
      </w:r>
      <w:r w:rsidR="00F3486C">
        <w:rPr>
          <w:rFonts w:ascii="Arial" w:hAnsi="Arial" w:cs="Arial"/>
          <w:b/>
          <w:bCs/>
          <w:snapToGrid w:val="0"/>
          <w:sz w:val="24"/>
          <w:lang w:val="en-GB"/>
        </w:rPr>
        <w:t>7</w:t>
      </w:r>
      <w:r>
        <w:rPr>
          <w:rFonts w:ascii="Arial" w:hAnsi="Arial" w:cs="Arial"/>
          <w:b/>
          <w:bCs/>
          <w:snapToGrid w:val="0"/>
          <w:sz w:val="24"/>
          <w:lang w:val="en-GB"/>
        </w:rPr>
        <w:t xml:space="preserve">                   </w:t>
      </w:r>
      <w:r w:rsidR="00DE63A0">
        <w:rPr>
          <w:rFonts w:ascii="Arial" w:hAnsi="Arial" w:cs="Arial"/>
          <w:b/>
          <w:bCs/>
          <w:snapToGrid w:val="0"/>
          <w:sz w:val="24"/>
          <w:lang w:val="en-GB"/>
        </w:rPr>
        <w:t xml:space="preserve">     </w:t>
      </w:r>
      <w:r w:rsidR="00DE63A0" w:rsidRPr="00DE63A0">
        <w:rPr>
          <w:rFonts w:ascii="Arial" w:hAnsi="Arial" w:cs="Arial"/>
          <w:b/>
          <w:bCs/>
          <w:snapToGrid w:val="0"/>
          <w:sz w:val="24"/>
          <w:lang w:val="en-GB"/>
        </w:rPr>
        <w:tab/>
      </w:r>
      <w:r w:rsidR="00DE63A0">
        <w:rPr>
          <w:rFonts w:ascii="Arial" w:hAnsi="Arial" w:cs="Arial"/>
          <w:b/>
          <w:bCs/>
          <w:snapToGrid w:val="0"/>
          <w:sz w:val="24"/>
          <w:lang w:val="en-GB"/>
        </w:rPr>
        <w:t xml:space="preserve">      </w:t>
      </w:r>
      <w:r w:rsidR="00EA3011">
        <w:rPr>
          <w:rFonts w:ascii="Arial" w:hAnsi="Arial" w:cs="Arial"/>
          <w:b/>
          <w:bCs/>
          <w:snapToGrid w:val="0"/>
          <w:sz w:val="24"/>
          <w:lang w:val="en-GB"/>
        </w:rPr>
        <w:t xml:space="preserve">  </w:t>
      </w:r>
      <w:r w:rsidR="00DE63A0">
        <w:rPr>
          <w:rFonts w:ascii="Arial" w:hAnsi="Arial" w:cs="Arial"/>
          <w:b/>
          <w:bCs/>
          <w:snapToGrid w:val="0"/>
          <w:sz w:val="24"/>
          <w:lang w:val="en-GB"/>
        </w:rPr>
        <w:t xml:space="preserve"> </w:t>
      </w:r>
      <w:r w:rsidR="00DE63A0" w:rsidRPr="00DE63A0">
        <w:rPr>
          <w:rFonts w:ascii="Arial" w:hAnsi="Arial" w:cs="Arial"/>
          <w:b/>
          <w:bCs/>
          <w:snapToGrid w:val="0"/>
          <w:sz w:val="24"/>
          <w:lang w:val="en-GB"/>
        </w:rPr>
        <w:t>R1-1</w:t>
      </w:r>
      <w:r w:rsidR="00CB3219">
        <w:rPr>
          <w:rFonts w:ascii="Arial" w:hAnsi="Arial" w:cs="Arial"/>
          <w:b/>
          <w:bCs/>
          <w:snapToGrid w:val="0"/>
          <w:sz w:val="24"/>
          <w:lang w:val="en-GB"/>
        </w:rPr>
        <w:t>9</w:t>
      </w:r>
      <w:r w:rsidR="007A2989">
        <w:rPr>
          <w:rFonts w:ascii="Arial" w:hAnsi="Arial" w:cs="Arial"/>
          <w:b/>
          <w:bCs/>
          <w:snapToGrid w:val="0"/>
          <w:sz w:val="24"/>
          <w:lang w:val="en-GB"/>
        </w:rPr>
        <w:t>0</w:t>
      </w:r>
      <w:r w:rsidR="003705CE">
        <w:rPr>
          <w:rFonts w:ascii="Arial" w:hAnsi="Arial" w:cs="Arial"/>
          <w:b/>
          <w:bCs/>
          <w:snapToGrid w:val="0"/>
          <w:sz w:val="24"/>
          <w:lang w:val="en-GB"/>
        </w:rPr>
        <w:t>6732</w:t>
      </w:r>
    </w:p>
    <w:p w14:paraId="2A2DFA80" w14:textId="441AEAED" w:rsidR="00DE63A0" w:rsidRPr="00955D5E" w:rsidRDefault="00F3486C" w:rsidP="00EA3011">
      <w:pPr>
        <w:pBdr>
          <w:bottom w:val="single" w:sz="12" w:space="1" w:color="auto"/>
        </w:pBdr>
        <w:wordWrap/>
        <w:spacing w:line="240" w:lineRule="atLeast"/>
        <w:rPr>
          <w:rFonts w:ascii="Arial" w:hAnsi="Arial" w:cs="Arial"/>
          <w:b/>
          <w:bCs/>
          <w:snapToGrid w:val="0"/>
          <w:sz w:val="24"/>
          <w:lang w:val="en-GB"/>
        </w:rPr>
      </w:pPr>
      <w:r w:rsidRPr="00F3486C">
        <w:rPr>
          <w:rFonts w:ascii="Arial" w:hAnsi="Arial" w:cs="Arial"/>
          <w:b/>
          <w:bCs/>
          <w:snapToGrid w:val="0"/>
          <w:sz w:val="24"/>
          <w:lang w:val="en-GB"/>
        </w:rPr>
        <w:t>Reno, USA, May 13th – 17th, 2019</w:t>
      </w:r>
    </w:p>
    <w:p w14:paraId="40EFD43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91388C">
        <w:rPr>
          <w:rFonts w:ascii="Arial" w:hAnsi="Arial" w:cs="Arial"/>
          <w:snapToGrid w:val="0"/>
          <w:sz w:val="24"/>
        </w:rPr>
        <w:t>4</w:t>
      </w:r>
      <w:r w:rsidRPr="00DE63A0">
        <w:rPr>
          <w:rFonts w:ascii="Arial" w:hAnsi="Arial" w:cs="Arial"/>
          <w:snapToGrid w:val="0"/>
          <w:sz w:val="24"/>
        </w:rPr>
        <w:t>.</w:t>
      </w:r>
    </w:p>
    <w:p w14:paraId="4BAC57E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2DB44B26" w14:textId="77777777" w:rsidR="00DE63A0" w:rsidRPr="00DE63A0" w:rsidRDefault="00DE63A0" w:rsidP="00DE63A0">
      <w:pPr>
        <w:wordWrap/>
        <w:spacing w:line="240" w:lineRule="auto"/>
        <w:ind w:left="695" w:hangingChars="295" w:hanging="695"/>
        <w:rPr>
          <w:rFonts w:ascii="Arial" w:hAnsi="Arial" w:cs="Arial"/>
          <w:b/>
          <w:sz w:val="24"/>
        </w:rPr>
      </w:pPr>
      <w:r w:rsidRPr="00DE63A0">
        <w:rPr>
          <w:rFonts w:ascii="Arial" w:hAnsi="Arial" w:cs="Arial"/>
          <w:b/>
          <w:snapToGrid w:val="0"/>
          <w:sz w:val="24"/>
        </w:rPr>
        <w:t xml:space="preserve">Title: </w:t>
      </w:r>
      <w:r>
        <w:rPr>
          <w:rFonts w:ascii="Arial" w:hAnsi="Arial" w:cs="Arial"/>
          <w:sz w:val="24"/>
        </w:rPr>
        <w:t>Discussions on full</w:t>
      </w:r>
      <w:r w:rsidR="003872EE">
        <w:rPr>
          <w:rFonts w:ascii="Arial" w:hAnsi="Arial" w:cs="Arial"/>
          <w:sz w:val="24"/>
        </w:rPr>
        <w:t xml:space="preserve"> </w:t>
      </w:r>
      <w:r>
        <w:rPr>
          <w:rFonts w:ascii="Arial" w:hAnsi="Arial" w:cs="Arial"/>
          <w:sz w:val="24"/>
        </w:rPr>
        <w:t>Tx power uplink transmission</w:t>
      </w:r>
    </w:p>
    <w:p w14:paraId="78B3C6AB" w14:textId="77777777" w:rsidR="00DE63A0" w:rsidRPr="00DE63A0" w:rsidRDefault="00DE63A0" w:rsidP="00DE63A0">
      <w:pPr>
        <w:pBdr>
          <w:bottom w:val="single" w:sz="12" w:space="1" w:color="auto"/>
        </w:pBdr>
        <w:wordWrap/>
        <w:spacing w:line="240" w:lineRule="auto"/>
        <w:ind w:left="695" w:hangingChars="295" w:hanging="695"/>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23D99478" w14:textId="77777777" w:rsidR="00DE63A0" w:rsidRDefault="00DE63A0" w:rsidP="005C645F">
      <w:pPr>
        <w:pStyle w:val="1"/>
        <w:numPr>
          <w:ilvl w:val="0"/>
          <w:numId w:val="22"/>
        </w:numPr>
        <w:ind w:left="426" w:hanging="426"/>
      </w:pPr>
      <w:r w:rsidRPr="005C645F">
        <w:t>Introduction</w:t>
      </w:r>
    </w:p>
    <w:p w14:paraId="7B833302" w14:textId="3876DE57" w:rsidR="0072563D" w:rsidRPr="0072563D" w:rsidRDefault="005C645F" w:rsidP="0072563D">
      <w:pPr>
        <w:ind w:firstLineChars="150" w:firstLine="330"/>
        <w:rPr>
          <w:rFonts w:eastAsiaTheme="minorEastAsia"/>
          <w:sz w:val="20"/>
        </w:rPr>
      </w:pPr>
      <w:r w:rsidRPr="00987B8F">
        <w:t>I</w:t>
      </w:r>
      <w:r w:rsidRPr="00987B8F">
        <w:rPr>
          <w:rFonts w:hint="eastAsia"/>
        </w:rPr>
        <w:t xml:space="preserve">n </w:t>
      </w:r>
      <w:r w:rsidRPr="00987B8F">
        <w:t>RAN1 #96</w:t>
      </w:r>
      <w:r w:rsidRPr="005C645F">
        <w:t>bis</w:t>
      </w:r>
      <w:r w:rsidRPr="00987B8F">
        <w:t xml:space="preserve"> meeting, following agreements are captured in the chairman’s note as</w:t>
      </w:r>
      <w:r>
        <w:rPr>
          <w:sz w:val="20"/>
        </w:rPr>
        <w:t>:</w:t>
      </w:r>
    </w:p>
    <w:p w14:paraId="33393590" w14:textId="77777777" w:rsidR="0072563D" w:rsidRDefault="009D0C26" w:rsidP="0072563D">
      <w:pPr>
        <w:pStyle w:val="LGTdoc1"/>
        <w:snapToGrid/>
        <w:spacing w:beforeLines="0" w:before="100" w:beforeAutospacing="1" w:line="360" w:lineRule="auto"/>
        <w:contextualSpacing/>
        <w:rPr>
          <w:b w:val="0"/>
          <w:sz w:val="22"/>
          <w:lang w:val="en-US"/>
        </w:rPr>
      </w:pPr>
      <w:r w:rsidRPr="009D0C26">
        <w:rPr>
          <w:b w:val="0"/>
          <w:noProof/>
          <w:sz w:val="20"/>
          <w:lang w:val="en-US"/>
        </w:rPr>
        <mc:AlternateContent>
          <mc:Choice Requires="wps">
            <w:drawing>
              <wp:inline distT="0" distB="0" distL="0" distR="0" wp14:anchorId="0A6B5305" wp14:editId="13C544BC">
                <wp:extent cx="5748020" cy="5622471"/>
                <wp:effectExtent l="0" t="0" r="24130" b="16510"/>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020" cy="5622471"/>
                        </a:xfrm>
                        <a:prstGeom prst="rect">
                          <a:avLst/>
                        </a:prstGeom>
                        <a:solidFill>
                          <a:srgbClr val="FFFFFF"/>
                        </a:solidFill>
                        <a:ln w="9525">
                          <a:solidFill>
                            <a:srgbClr val="000000"/>
                          </a:solidFill>
                          <a:miter lim="800000"/>
                          <a:headEnd/>
                          <a:tailEnd/>
                        </a:ln>
                      </wps:spPr>
                      <wps:txbx>
                        <w:txbxContent>
                          <w:p w14:paraId="6EC10DE5" w14:textId="77777777" w:rsidR="00C105EC" w:rsidRPr="00C105EC" w:rsidRDefault="00C105EC" w:rsidP="0072563D">
                            <w:pPr>
                              <w:widowControl/>
                              <w:wordWrap/>
                              <w:autoSpaceDE/>
                              <w:autoSpaceDN/>
                              <w:spacing w:after="0" w:line="240" w:lineRule="auto"/>
                              <w:ind w:left="1440" w:hanging="1440"/>
                              <w:contextualSpacing/>
                              <w:jc w:val="left"/>
                              <w:rPr>
                                <w:rFonts w:eastAsia="바탕"/>
                                <w:b/>
                                <w:kern w:val="0"/>
                                <w:sz w:val="20"/>
                                <w:szCs w:val="20"/>
                                <w:highlight w:val="green"/>
                                <w:lang w:val="en-GB" w:eastAsia="x-none"/>
                              </w:rPr>
                            </w:pPr>
                            <w:r w:rsidRPr="00C105EC">
                              <w:rPr>
                                <w:rFonts w:eastAsia="바탕"/>
                                <w:b/>
                                <w:kern w:val="0"/>
                                <w:sz w:val="20"/>
                                <w:szCs w:val="20"/>
                                <w:highlight w:val="green"/>
                                <w:lang w:val="en-GB" w:eastAsia="x-none"/>
                              </w:rPr>
                              <w:t>Agreement</w:t>
                            </w:r>
                          </w:p>
                          <w:p w14:paraId="7F3EF69C" w14:textId="77777777" w:rsidR="00C105EC" w:rsidRPr="00C105EC" w:rsidRDefault="00C105EC" w:rsidP="0072563D">
                            <w:pPr>
                              <w:widowControl/>
                              <w:wordWrap/>
                              <w:autoSpaceDE/>
                              <w:autoSpaceDN/>
                              <w:spacing w:after="0" w:line="240" w:lineRule="auto"/>
                              <w:contextualSpacing/>
                              <w:jc w:val="left"/>
                              <w:rPr>
                                <w:rFonts w:eastAsia="바탕"/>
                                <w:kern w:val="0"/>
                                <w:sz w:val="20"/>
                                <w:szCs w:val="20"/>
                                <w:lang w:val="en-GB" w:eastAsia="en-US"/>
                              </w:rPr>
                            </w:pPr>
                            <w:r w:rsidRPr="00C105EC">
                              <w:rPr>
                                <w:rFonts w:eastAsia="바탕"/>
                                <w:kern w:val="0"/>
                                <w:sz w:val="20"/>
                                <w:szCs w:val="20"/>
                                <w:lang w:val="en-GB" w:eastAsia="en-US"/>
                              </w:rPr>
                              <w:t>For the the 2TX and 4TX case, the linear value of power after power scaling, is divided equally among the non-zero PUSCH ports</w:t>
                            </w:r>
                          </w:p>
                          <w:p w14:paraId="2D87C6F8" w14:textId="77777777" w:rsidR="00C105EC" w:rsidRPr="00C105EC" w:rsidRDefault="00C105EC" w:rsidP="0072563D">
                            <w:pPr>
                              <w:widowControl/>
                              <w:numPr>
                                <w:ilvl w:val="0"/>
                                <w:numId w:val="2"/>
                              </w:numPr>
                              <w:wordWrap/>
                              <w:autoSpaceDE/>
                              <w:autoSpaceDN/>
                              <w:adjustRightInd w:val="0"/>
                              <w:spacing w:after="0" w:line="240" w:lineRule="auto"/>
                              <w:contextualSpacing/>
                              <w:jc w:val="left"/>
                              <w:rPr>
                                <w:rFonts w:eastAsia="바탕"/>
                                <w:sz w:val="20"/>
                                <w:szCs w:val="20"/>
                              </w:rPr>
                            </w:pPr>
                            <w:r w:rsidRPr="00C105EC">
                              <w:rPr>
                                <w:rFonts w:eastAsia="바탕"/>
                                <w:sz w:val="20"/>
                                <w:szCs w:val="20"/>
                              </w:rPr>
                              <w:t>The above applies for the cases including when UE transmitting at P_c_max</w:t>
                            </w:r>
                          </w:p>
                          <w:p w14:paraId="1C2C56D0" w14:textId="77777777" w:rsidR="00C105EC" w:rsidRPr="00C105EC" w:rsidRDefault="00C105EC" w:rsidP="0072563D">
                            <w:pPr>
                              <w:widowControl/>
                              <w:wordWrap/>
                              <w:autoSpaceDE/>
                              <w:autoSpaceDN/>
                              <w:spacing w:after="0" w:line="240" w:lineRule="auto"/>
                              <w:ind w:left="1440" w:hanging="1440"/>
                              <w:contextualSpacing/>
                              <w:jc w:val="left"/>
                              <w:rPr>
                                <w:rFonts w:eastAsia="바탕"/>
                                <w:b/>
                                <w:kern w:val="0"/>
                                <w:sz w:val="20"/>
                                <w:szCs w:val="20"/>
                                <w:highlight w:val="green"/>
                                <w:lang w:val="en-GB" w:eastAsia="x-none"/>
                              </w:rPr>
                            </w:pPr>
                            <w:r w:rsidRPr="00C105EC">
                              <w:rPr>
                                <w:rFonts w:eastAsia="바탕"/>
                                <w:b/>
                                <w:kern w:val="0"/>
                                <w:sz w:val="20"/>
                                <w:szCs w:val="20"/>
                                <w:highlight w:val="green"/>
                                <w:lang w:val="en-GB" w:eastAsia="x-none"/>
                              </w:rPr>
                              <w:t>Agreement</w:t>
                            </w:r>
                          </w:p>
                          <w:p w14:paraId="6C0B35C3" w14:textId="77777777" w:rsidR="00C105EC" w:rsidRPr="00C105EC" w:rsidRDefault="00C105EC" w:rsidP="0072563D">
                            <w:pPr>
                              <w:widowControl/>
                              <w:wordWrap/>
                              <w:autoSpaceDE/>
                              <w:autoSpaceDN/>
                              <w:spacing w:after="0" w:line="240" w:lineRule="auto"/>
                              <w:contextualSpacing/>
                              <w:jc w:val="left"/>
                              <w:rPr>
                                <w:rFonts w:eastAsia="바탕"/>
                                <w:kern w:val="0"/>
                                <w:sz w:val="20"/>
                                <w:szCs w:val="20"/>
                                <w:lang w:val="en-GB" w:eastAsia="en-US"/>
                              </w:rPr>
                            </w:pPr>
                            <w:r w:rsidRPr="00C105EC">
                              <w:rPr>
                                <w:rFonts w:eastAsia="바탕"/>
                                <w:kern w:val="0"/>
                                <w:sz w:val="20"/>
                                <w:szCs w:val="20"/>
                                <w:lang w:val="en-GB" w:eastAsia="en-US"/>
                              </w:rPr>
                              <w:t>Supported UE capabilities and supported scheme for UE capability 1</w:t>
                            </w:r>
                          </w:p>
                          <w:p w14:paraId="051A6FA2" w14:textId="77777777" w:rsidR="00C105EC" w:rsidRPr="00C105EC" w:rsidRDefault="00C105EC" w:rsidP="0072563D">
                            <w:pPr>
                              <w:widowControl/>
                              <w:numPr>
                                <w:ilvl w:val="0"/>
                                <w:numId w:val="2"/>
                              </w:numPr>
                              <w:wordWrap/>
                              <w:autoSpaceDE/>
                              <w:autoSpaceDN/>
                              <w:adjustRightInd w:val="0"/>
                              <w:spacing w:after="0" w:line="240" w:lineRule="auto"/>
                              <w:contextualSpacing/>
                              <w:jc w:val="left"/>
                              <w:rPr>
                                <w:rFonts w:eastAsia="바탕"/>
                                <w:sz w:val="20"/>
                                <w:szCs w:val="20"/>
                              </w:rPr>
                            </w:pPr>
                            <w:r w:rsidRPr="00C105EC">
                              <w:rPr>
                                <w:rFonts w:eastAsia="바탕"/>
                                <w:sz w:val="20"/>
                                <w:szCs w:val="20"/>
                              </w:rPr>
                              <w:t>Option 3</w:t>
                            </w:r>
                          </w:p>
                          <w:p w14:paraId="62393BA4" w14:textId="77777777" w:rsidR="00C105EC" w:rsidRPr="00C105EC" w:rsidRDefault="00C105EC" w:rsidP="0072563D">
                            <w:pPr>
                              <w:widowControl/>
                              <w:numPr>
                                <w:ilvl w:val="0"/>
                                <w:numId w:val="2"/>
                              </w:numPr>
                              <w:wordWrap/>
                              <w:autoSpaceDE/>
                              <w:autoSpaceDN/>
                              <w:adjustRightInd w:val="0"/>
                              <w:spacing w:after="0" w:line="240" w:lineRule="auto"/>
                              <w:contextualSpacing/>
                              <w:jc w:val="left"/>
                              <w:rPr>
                                <w:rFonts w:eastAsia="바탕"/>
                                <w:sz w:val="20"/>
                                <w:szCs w:val="20"/>
                              </w:rPr>
                            </w:pPr>
                            <w:r w:rsidRPr="00C105EC">
                              <w:rPr>
                                <w:rFonts w:eastAsia="바탕"/>
                                <w:sz w:val="20"/>
                                <w:szCs w:val="20"/>
                              </w:rPr>
                              <w:t>FFS: Whether to additionally support Option 1-2</w:t>
                            </w:r>
                          </w:p>
                          <w:p w14:paraId="54F51790" w14:textId="77777777" w:rsidR="00C105EC" w:rsidRPr="0072563D" w:rsidRDefault="00C105EC" w:rsidP="0072563D">
                            <w:pPr>
                              <w:wordWrap/>
                              <w:spacing w:line="240" w:lineRule="auto"/>
                              <w:contextualSpacing/>
                              <w:rPr>
                                <w:b/>
                                <w:sz w:val="20"/>
                                <w:szCs w:val="20"/>
                                <w:highlight w:val="green"/>
                              </w:rPr>
                            </w:pPr>
                            <w:r w:rsidRPr="0072563D">
                              <w:rPr>
                                <w:b/>
                                <w:sz w:val="20"/>
                                <w:szCs w:val="20"/>
                                <w:highlight w:val="green"/>
                              </w:rPr>
                              <w:t>Agreement</w:t>
                            </w:r>
                          </w:p>
                          <w:p w14:paraId="5995E4F3" w14:textId="77777777" w:rsidR="00C105EC" w:rsidRPr="0072563D" w:rsidRDefault="00C105EC" w:rsidP="0072563D">
                            <w:pPr>
                              <w:pStyle w:val="a6"/>
                              <w:ind w:leftChars="0" w:left="0"/>
                              <w:contextualSpacing/>
                              <w:rPr>
                                <w:sz w:val="20"/>
                              </w:rPr>
                            </w:pPr>
                            <w:r w:rsidRPr="0072563D">
                              <w:rPr>
                                <w:sz w:val="20"/>
                              </w:rPr>
                              <w:t>Regardless of UE capability 1, 2, or 3, signalling of “UL full power tx capability” is supported for UEs with full power uplink transmission capability</w:t>
                            </w:r>
                          </w:p>
                          <w:p w14:paraId="667D1EDC" w14:textId="77777777" w:rsidR="00C105EC" w:rsidRPr="0072563D" w:rsidRDefault="00C105EC" w:rsidP="0072563D">
                            <w:pPr>
                              <w:pStyle w:val="LGTdoc"/>
                              <w:numPr>
                                <w:ilvl w:val="0"/>
                                <w:numId w:val="2"/>
                              </w:numPr>
                              <w:snapToGrid/>
                              <w:spacing w:afterLines="0" w:line="240" w:lineRule="auto"/>
                              <w:contextualSpacing/>
                              <w:rPr>
                                <w:rFonts w:eastAsia="맑은 고딕"/>
                                <w:kern w:val="0"/>
                                <w:sz w:val="20"/>
                                <w:szCs w:val="20"/>
                                <w:lang w:eastAsia="en-US"/>
                              </w:rPr>
                            </w:pPr>
                            <w:r w:rsidRPr="0072563D">
                              <w:rPr>
                                <w:rFonts w:eastAsia="맑은 고딕"/>
                                <w:kern w:val="0"/>
                                <w:sz w:val="20"/>
                                <w:szCs w:val="20"/>
                                <w:lang w:eastAsia="en-US"/>
                              </w:rPr>
                              <w:t>FFS: For UE capability 1, if any other information is necessary</w:t>
                            </w:r>
                          </w:p>
                          <w:p w14:paraId="6915BCEE" w14:textId="77777777" w:rsidR="00C105EC" w:rsidRPr="0072563D" w:rsidRDefault="00C105EC" w:rsidP="0072563D">
                            <w:pPr>
                              <w:widowControl/>
                              <w:numPr>
                                <w:ilvl w:val="0"/>
                                <w:numId w:val="2"/>
                              </w:numPr>
                              <w:wordWrap/>
                              <w:autoSpaceDE/>
                              <w:autoSpaceDN/>
                              <w:spacing w:after="0" w:line="240" w:lineRule="auto"/>
                              <w:ind w:left="720" w:hanging="320"/>
                              <w:contextualSpacing/>
                              <w:jc w:val="left"/>
                              <w:rPr>
                                <w:rFonts w:eastAsia="맑은 고딕"/>
                                <w:kern w:val="0"/>
                                <w:sz w:val="20"/>
                                <w:szCs w:val="20"/>
                                <w:lang w:val="en-GB" w:eastAsia="en-US"/>
                              </w:rPr>
                            </w:pPr>
                            <w:r w:rsidRPr="0072563D">
                              <w:rPr>
                                <w:rFonts w:eastAsia="맑은 고딕"/>
                                <w:kern w:val="0"/>
                                <w:sz w:val="20"/>
                                <w:szCs w:val="20"/>
                                <w:lang w:val="en-GB" w:eastAsia="en-US"/>
                              </w:rPr>
                              <w:t>For UE capability 2 and UE capability 3, in addition to signalling “UL full power tx capability”, further information on UE capability are signalled if needed</w:t>
                            </w:r>
                          </w:p>
                          <w:p w14:paraId="01FDDC98" w14:textId="77777777" w:rsidR="00C105EC" w:rsidRPr="0072563D" w:rsidRDefault="00C105EC" w:rsidP="0072563D">
                            <w:pPr>
                              <w:pStyle w:val="LGTdoc"/>
                              <w:numPr>
                                <w:ilvl w:val="1"/>
                                <w:numId w:val="2"/>
                              </w:numPr>
                              <w:snapToGrid/>
                              <w:spacing w:afterLines="0" w:line="240" w:lineRule="auto"/>
                              <w:contextualSpacing/>
                              <w:rPr>
                                <w:rFonts w:eastAsia="맑은 고딕"/>
                                <w:kern w:val="0"/>
                                <w:sz w:val="20"/>
                                <w:szCs w:val="20"/>
                                <w:lang w:eastAsia="en-US"/>
                              </w:rPr>
                            </w:pPr>
                            <w:r w:rsidRPr="0072563D">
                              <w:rPr>
                                <w:rFonts w:eastAsia="맑은 고딕"/>
                                <w:kern w:val="0"/>
                                <w:sz w:val="20"/>
                                <w:szCs w:val="20"/>
                                <w:lang w:eastAsia="en-US"/>
                              </w:rPr>
                              <w:t>FFS: Details such as support of UE capability signaling of supported one or group of TPMI precoder(s) for full power transmission, support different number of SRS ports for resources for codebook, and other UE capability signaling can be introduced</w:t>
                            </w:r>
                          </w:p>
                          <w:p w14:paraId="03045670" w14:textId="77777777" w:rsidR="00C105EC" w:rsidRPr="0072563D" w:rsidRDefault="00C105EC" w:rsidP="0072563D">
                            <w:pPr>
                              <w:pStyle w:val="LGTdoc"/>
                              <w:numPr>
                                <w:ilvl w:val="1"/>
                                <w:numId w:val="2"/>
                              </w:numPr>
                              <w:snapToGrid/>
                              <w:spacing w:afterLines="0" w:line="240" w:lineRule="auto"/>
                              <w:contextualSpacing/>
                              <w:rPr>
                                <w:sz w:val="20"/>
                                <w:szCs w:val="20"/>
                                <w:lang w:val="en-US"/>
                              </w:rPr>
                            </w:pPr>
                            <w:r w:rsidRPr="0072563D">
                              <w:rPr>
                                <w:rFonts w:eastAsia="맑은 고딕"/>
                                <w:kern w:val="0"/>
                                <w:sz w:val="20"/>
                                <w:szCs w:val="20"/>
                                <w:lang w:eastAsia="en-US"/>
                              </w:rPr>
                              <w:t>FFS: Whether full uplink TX power capability can be explicitly/implicitly</w:t>
                            </w:r>
                            <w:r w:rsidRPr="0072563D">
                              <w:rPr>
                                <w:sz w:val="20"/>
                                <w:szCs w:val="20"/>
                                <w:lang w:val="en-US"/>
                              </w:rPr>
                              <w:t xml:space="preserve"> derived from the TPMI/TPMI group precoders for full power transmission</w:t>
                            </w:r>
                          </w:p>
                          <w:p w14:paraId="14F661FD" w14:textId="77777777" w:rsidR="00C105EC" w:rsidRPr="0072563D" w:rsidRDefault="00C105EC" w:rsidP="0072563D">
                            <w:pPr>
                              <w:pStyle w:val="a6"/>
                              <w:ind w:leftChars="0" w:left="0"/>
                              <w:contextualSpacing/>
                              <w:rPr>
                                <w:sz w:val="20"/>
                              </w:rPr>
                            </w:pPr>
                            <w:r w:rsidRPr="0072563D">
                              <w:rPr>
                                <w:sz w:val="20"/>
                              </w:rPr>
                              <w:t>UEs with full power uplink transmissions are those Rel-16 UEs which can transmit at full power at least for rank1</w:t>
                            </w:r>
                          </w:p>
                          <w:p w14:paraId="1338ED5C" w14:textId="4B19D212" w:rsidR="00C105EC" w:rsidRPr="0072563D" w:rsidRDefault="00C105EC" w:rsidP="0072563D">
                            <w:pPr>
                              <w:pStyle w:val="a6"/>
                              <w:ind w:leftChars="0" w:left="0"/>
                              <w:contextualSpacing/>
                              <w:rPr>
                                <w:sz w:val="20"/>
                              </w:rPr>
                            </w:pPr>
                            <w:r w:rsidRPr="0072563D">
                              <w:rPr>
                                <w:sz w:val="20"/>
                              </w:rPr>
                              <w:t>The signalling of above information does not imply any specific UE PA architecture implementation.</w:t>
                            </w:r>
                          </w:p>
                          <w:p w14:paraId="539C9C2D" w14:textId="77777777" w:rsidR="00C105EC" w:rsidRPr="00C105EC" w:rsidRDefault="00C105EC" w:rsidP="0072563D">
                            <w:pPr>
                              <w:widowControl/>
                              <w:wordWrap/>
                              <w:autoSpaceDE/>
                              <w:autoSpaceDN/>
                              <w:spacing w:after="0" w:line="240" w:lineRule="auto"/>
                              <w:ind w:left="1440" w:hanging="1440"/>
                              <w:contextualSpacing/>
                              <w:jc w:val="left"/>
                              <w:rPr>
                                <w:rFonts w:eastAsia="바탕"/>
                                <w:b/>
                                <w:kern w:val="0"/>
                                <w:sz w:val="20"/>
                                <w:szCs w:val="20"/>
                                <w:highlight w:val="green"/>
                                <w:lang w:val="en-GB" w:eastAsia="x-none"/>
                              </w:rPr>
                            </w:pPr>
                            <w:r w:rsidRPr="00C105EC">
                              <w:rPr>
                                <w:rFonts w:eastAsia="바탕"/>
                                <w:b/>
                                <w:kern w:val="0"/>
                                <w:sz w:val="20"/>
                                <w:szCs w:val="20"/>
                                <w:highlight w:val="green"/>
                                <w:lang w:val="en-GB" w:eastAsia="x-none"/>
                              </w:rPr>
                              <w:t>Agreement</w:t>
                            </w:r>
                          </w:p>
                          <w:p w14:paraId="3A205353" w14:textId="77777777" w:rsidR="00C105EC" w:rsidRPr="00C105EC" w:rsidRDefault="00C105EC" w:rsidP="0072563D">
                            <w:pPr>
                              <w:widowControl/>
                              <w:wordWrap/>
                              <w:autoSpaceDE/>
                              <w:autoSpaceDN/>
                              <w:spacing w:after="0" w:line="240" w:lineRule="auto"/>
                              <w:contextualSpacing/>
                              <w:jc w:val="left"/>
                              <w:rPr>
                                <w:rFonts w:eastAsia="바탕"/>
                                <w:kern w:val="0"/>
                                <w:sz w:val="20"/>
                                <w:szCs w:val="20"/>
                                <w:highlight w:val="cyan"/>
                                <w:lang w:val="en-GB" w:eastAsia="zh-CN"/>
                              </w:rPr>
                            </w:pPr>
                            <w:r w:rsidRPr="00C105EC">
                              <w:rPr>
                                <w:rFonts w:eastAsia="바탕"/>
                                <w:kern w:val="0"/>
                                <w:sz w:val="20"/>
                                <w:szCs w:val="20"/>
                                <w:lang w:val="fr-FR" w:eastAsia="zh-CN"/>
                              </w:rPr>
                              <w:t>RAN1 will select one of the</w:t>
                            </w:r>
                            <w:r w:rsidRPr="00C105EC">
                              <w:rPr>
                                <w:rFonts w:eastAsia="바탕"/>
                                <w:kern w:val="0"/>
                                <w:sz w:val="20"/>
                                <w:szCs w:val="20"/>
                                <w:lang w:val="en-GB" w:eastAsia="zh-CN"/>
                              </w:rPr>
                              <w:t xml:space="preserve"> alternative solutions below to support UE capability 2. Further clarification or details are needed for Alt1, Alt3-1, Alt3-2, and Alt5. </w:t>
                            </w:r>
                            <w:r w:rsidRPr="00C105EC">
                              <w:rPr>
                                <w:rFonts w:eastAsia="바탕"/>
                                <w:kern w:val="0"/>
                                <w:sz w:val="20"/>
                                <w:szCs w:val="20"/>
                                <w:highlight w:val="cyan"/>
                                <w:lang w:val="en-GB" w:eastAsia="zh-CN"/>
                              </w:rPr>
                              <w:t>Email discussion by 17</w:t>
                            </w:r>
                            <w:r w:rsidRPr="00C105EC">
                              <w:rPr>
                                <w:rFonts w:eastAsia="바탕"/>
                                <w:kern w:val="0"/>
                                <w:sz w:val="20"/>
                                <w:szCs w:val="20"/>
                                <w:highlight w:val="cyan"/>
                                <w:vertAlign w:val="superscript"/>
                                <w:lang w:val="en-GB" w:eastAsia="zh-CN"/>
                              </w:rPr>
                              <w:t>th</w:t>
                            </w:r>
                            <w:r w:rsidRPr="00C105EC">
                              <w:rPr>
                                <w:rFonts w:eastAsia="바탕"/>
                                <w:kern w:val="0"/>
                                <w:sz w:val="20"/>
                                <w:szCs w:val="20"/>
                                <w:highlight w:val="cyan"/>
                                <w:lang w:val="en-GB" w:eastAsia="zh-CN"/>
                              </w:rPr>
                              <w:t xml:space="preserve"> of April for companies to provide clarification on Alt1, Alt3-1, Alt3-2, and Alt5. To be coordinated by Rakesh (vivo).</w:t>
                            </w:r>
                          </w:p>
                          <w:p w14:paraId="05295CFD" w14:textId="77777777" w:rsidR="00C105EC" w:rsidRPr="00C105EC" w:rsidRDefault="00C105EC" w:rsidP="0072563D">
                            <w:pPr>
                              <w:widowControl/>
                              <w:numPr>
                                <w:ilvl w:val="0"/>
                                <w:numId w:val="2"/>
                              </w:numPr>
                              <w:wordWrap/>
                              <w:autoSpaceDE/>
                              <w:autoSpaceDN/>
                              <w:spacing w:after="0" w:line="240" w:lineRule="auto"/>
                              <w:ind w:left="720" w:hanging="320"/>
                              <w:contextualSpacing/>
                              <w:jc w:val="left"/>
                              <w:rPr>
                                <w:rFonts w:eastAsia="바탕"/>
                                <w:kern w:val="0"/>
                                <w:sz w:val="20"/>
                                <w:szCs w:val="20"/>
                                <w:lang w:eastAsia="x-none"/>
                              </w:rPr>
                            </w:pPr>
                            <w:r w:rsidRPr="00C105EC">
                              <w:rPr>
                                <w:rFonts w:eastAsia="바탕"/>
                                <w:kern w:val="0"/>
                                <w:sz w:val="20"/>
                                <w:szCs w:val="20"/>
                                <w:lang w:eastAsia="x-none"/>
                              </w:rPr>
                              <w:t>Alt1: Option1-1 (Support a new codebookSubset for non-coherent and partial-coherent transmission capable UEs, e.g. for 2Tx the new codeboookSubset is all non-antenna selection TPMIs or with only TPMI [1 1] for rank 1)</w:t>
                            </w:r>
                          </w:p>
                          <w:p w14:paraId="1EE1147A" w14:textId="77777777" w:rsidR="00C105EC" w:rsidRPr="00C105EC" w:rsidRDefault="00C105EC" w:rsidP="0072563D">
                            <w:pPr>
                              <w:widowControl/>
                              <w:numPr>
                                <w:ilvl w:val="0"/>
                                <w:numId w:val="2"/>
                              </w:numPr>
                              <w:wordWrap/>
                              <w:autoSpaceDE/>
                              <w:autoSpaceDN/>
                              <w:spacing w:after="0" w:line="240" w:lineRule="auto"/>
                              <w:ind w:left="720" w:hanging="320"/>
                              <w:contextualSpacing/>
                              <w:jc w:val="left"/>
                              <w:rPr>
                                <w:rFonts w:eastAsia="바탕"/>
                                <w:kern w:val="0"/>
                                <w:sz w:val="20"/>
                                <w:szCs w:val="20"/>
                                <w:lang w:eastAsia="x-none"/>
                              </w:rPr>
                            </w:pPr>
                            <w:r w:rsidRPr="00C105EC">
                              <w:rPr>
                                <w:rFonts w:eastAsia="바탕"/>
                                <w:kern w:val="0"/>
                                <w:sz w:val="20"/>
                                <w:szCs w:val="20"/>
                                <w:lang w:eastAsia="x-none"/>
                              </w:rPr>
                              <w:t>Alt3-1: Option3+Option2 (Multiple SRS resources with different number of SRS port(s) in each resource)</w:t>
                            </w:r>
                          </w:p>
                          <w:p w14:paraId="3BDB597F" w14:textId="77777777" w:rsidR="00C105EC" w:rsidRPr="00C105EC" w:rsidRDefault="00C105EC" w:rsidP="0072563D">
                            <w:pPr>
                              <w:widowControl/>
                              <w:numPr>
                                <w:ilvl w:val="1"/>
                                <w:numId w:val="19"/>
                              </w:numPr>
                              <w:wordWrap/>
                              <w:overflowPunct w:val="0"/>
                              <w:autoSpaceDE/>
                              <w:autoSpaceDN/>
                              <w:adjustRightInd w:val="0"/>
                              <w:spacing w:after="0" w:line="240" w:lineRule="auto"/>
                              <w:contextualSpacing/>
                              <w:jc w:val="left"/>
                              <w:textAlignment w:val="baseline"/>
                              <w:rPr>
                                <w:rFonts w:eastAsia="SimSun"/>
                                <w:kern w:val="0"/>
                                <w:sz w:val="20"/>
                                <w:szCs w:val="20"/>
                                <w:lang w:val="en-GB" w:eastAsia="x-none"/>
                              </w:rPr>
                            </w:pPr>
                            <w:r w:rsidRPr="00C105EC">
                              <w:rPr>
                                <w:rFonts w:eastAsia="SimSun"/>
                                <w:kern w:val="0"/>
                                <w:sz w:val="20"/>
                                <w:szCs w:val="20"/>
                                <w:lang w:val="en-GB" w:eastAsia="x-none"/>
                              </w:rPr>
                              <w:t>FFS: Whether to additionally support Option 1-2</w:t>
                            </w:r>
                          </w:p>
                          <w:p w14:paraId="69053A6C" w14:textId="77777777" w:rsidR="00C105EC" w:rsidRPr="00C105EC" w:rsidRDefault="00C105EC" w:rsidP="0072563D">
                            <w:pPr>
                              <w:widowControl/>
                              <w:numPr>
                                <w:ilvl w:val="0"/>
                                <w:numId w:val="2"/>
                              </w:numPr>
                              <w:wordWrap/>
                              <w:autoSpaceDE/>
                              <w:autoSpaceDN/>
                              <w:spacing w:after="0" w:line="240" w:lineRule="auto"/>
                              <w:ind w:left="720" w:hanging="320"/>
                              <w:contextualSpacing/>
                              <w:jc w:val="left"/>
                              <w:rPr>
                                <w:rFonts w:eastAsia="바탕"/>
                                <w:kern w:val="0"/>
                                <w:sz w:val="20"/>
                                <w:szCs w:val="20"/>
                                <w:lang w:eastAsia="x-none"/>
                              </w:rPr>
                            </w:pPr>
                            <w:r w:rsidRPr="00C105EC">
                              <w:rPr>
                                <w:rFonts w:eastAsia="바탕"/>
                                <w:kern w:val="0"/>
                                <w:sz w:val="20"/>
                                <w:szCs w:val="20"/>
                                <w:lang w:eastAsia="x-none"/>
                              </w:rPr>
                              <w:t>Alt3-2: Option3+Option2+ Option1-1 (Multiple SRS resources with different number of SRS port(s) in each resource)</w:t>
                            </w:r>
                          </w:p>
                          <w:p w14:paraId="1EF22693" w14:textId="68BA9C57" w:rsidR="009D0C26" w:rsidRPr="0072563D" w:rsidRDefault="00C105EC" w:rsidP="0072563D">
                            <w:pPr>
                              <w:widowControl/>
                              <w:numPr>
                                <w:ilvl w:val="0"/>
                                <w:numId w:val="2"/>
                              </w:numPr>
                              <w:wordWrap/>
                              <w:autoSpaceDE/>
                              <w:autoSpaceDN/>
                              <w:spacing w:after="0" w:line="240" w:lineRule="auto"/>
                              <w:ind w:left="720" w:hanging="320"/>
                              <w:contextualSpacing/>
                              <w:jc w:val="left"/>
                              <w:rPr>
                                <w:sz w:val="20"/>
                                <w:szCs w:val="20"/>
                              </w:rPr>
                            </w:pPr>
                            <w:r w:rsidRPr="00C105EC">
                              <w:rPr>
                                <w:rFonts w:eastAsia="바탕"/>
                                <w:kern w:val="0"/>
                                <w:sz w:val="20"/>
                                <w:szCs w:val="20"/>
                                <w:lang w:eastAsia="x-none"/>
                              </w:rPr>
                              <w:t>Alt5: FDM multi-port simultaneous transmission</w:t>
                            </w:r>
                          </w:p>
                        </w:txbxContent>
                      </wps:txbx>
                      <wps:bodyPr rot="0" vert="horz" wrap="square" lIns="91440" tIns="45720" rIns="91440" bIns="45720" anchor="t" anchorCtr="0">
                        <a:noAutofit/>
                      </wps:bodyPr>
                    </wps:wsp>
                  </a:graphicData>
                </a:graphic>
              </wp:inline>
            </w:drawing>
          </mc:Choice>
          <mc:Fallback>
            <w:pict>
              <v:shapetype w14:anchorId="0A6B5305" id="_x0000_t202" coordsize="21600,21600" o:spt="202" path="m,l,21600r21600,l21600,xe">
                <v:stroke joinstyle="miter"/>
                <v:path gradientshapeok="t" o:connecttype="rect"/>
              </v:shapetype>
              <v:shape id="텍스트 상자 2" o:spid="_x0000_s1026" type="#_x0000_t202" style="width:452.6pt;height:44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">
                <v:textbox>
                  <w:txbxContent>
                    <w:p w14:paraId="6EC10DE5" w14:textId="77777777" w:rsidR="00C105EC" w:rsidRPr="00C105EC" w:rsidRDefault="00C105EC" w:rsidP="0072563D">
                      <w:pPr>
                        <w:widowControl/>
                        <w:wordWrap/>
                        <w:autoSpaceDE/>
                        <w:autoSpaceDN/>
                        <w:spacing w:after="0" w:line="240" w:lineRule="auto"/>
                        <w:ind w:left="1440" w:hanging="1440"/>
                        <w:contextualSpacing/>
                        <w:jc w:val="left"/>
                        <w:rPr>
                          <w:rFonts w:eastAsia="바탕"/>
                          <w:b/>
                          <w:kern w:val="0"/>
                          <w:sz w:val="20"/>
                          <w:szCs w:val="20"/>
                          <w:highlight w:val="green"/>
                          <w:lang w:val="en-GB" w:eastAsia="x-none"/>
                        </w:rPr>
                      </w:pPr>
                      <w:r w:rsidRPr="00C105EC">
                        <w:rPr>
                          <w:rFonts w:eastAsia="바탕"/>
                          <w:b/>
                          <w:kern w:val="0"/>
                          <w:sz w:val="20"/>
                          <w:szCs w:val="20"/>
                          <w:highlight w:val="green"/>
                          <w:lang w:val="en-GB" w:eastAsia="x-none"/>
                        </w:rPr>
                        <w:t>Agreement</w:t>
                      </w:r>
                    </w:p>
                    <w:p w14:paraId="7F3EF69C" w14:textId="77777777" w:rsidR="00C105EC" w:rsidRPr="00C105EC" w:rsidRDefault="00C105EC" w:rsidP="0072563D">
                      <w:pPr>
                        <w:widowControl/>
                        <w:wordWrap/>
                        <w:autoSpaceDE/>
                        <w:autoSpaceDN/>
                        <w:spacing w:after="0" w:line="240" w:lineRule="auto"/>
                        <w:contextualSpacing/>
                        <w:jc w:val="left"/>
                        <w:rPr>
                          <w:rFonts w:eastAsia="바탕"/>
                          <w:kern w:val="0"/>
                          <w:sz w:val="20"/>
                          <w:szCs w:val="20"/>
                          <w:lang w:val="en-GB" w:eastAsia="en-US"/>
                        </w:rPr>
                      </w:pPr>
                      <w:r w:rsidRPr="00C105EC">
                        <w:rPr>
                          <w:rFonts w:eastAsia="바탕"/>
                          <w:kern w:val="0"/>
                          <w:sz w:val="20"/>
                          <w:szCs w:val="20"/>
                          <w:lang w:val="en-GB" w:eastAsia="en-US"/>
                        </w:rPr>
                        <w:t>For the the 2TX and 4TX case, the linear value of power after power scaling, is divided equally among the non-zero PUSCH ports</w:t>
                      </w:r>
                    </w:p>
                    <w:p w14:paraId="2D87C6F8" w14:textId="77777777" w:rsidR="00C105EC" w:rsidRPr="00C105EC" w:rsidRDefault="00C105EC" w:rsidP="0072563D">
                      <w:pPr>
                        <w:widowControl/>
                        <w:numPr>
                          <w:ilvl w:val="0"/>
                          <w:numId w:val="2"/>
                        </w:numPr>
                        <w:wordWrap/>
                        <w:autoSpaceDE/>
                        <w:autoSpaceDN/>
                        <w:adjustRightInd w:val="0"/>
                        <w:spacing w:after="0" w:line="240" w:lineRule="auto"/>
                        <w:contextualSpacing/>
                        <w:jc w:val="left"/>
                        <w:rPr>
                          <w:rFonts w:eastAsia="바탕"/>
                          <w:sz w:val="20"/>
                          <w:szCs w:val="20"/>
                        </w:rPr>
                      </w:pPr>
                      <w:r w:rsidRPr="00C105EC">
                        <w:rPr>
                          <w:rFonts w:eastAsia="바탕"/>
                          <w:sz w:val="20"/>
                          <w:szCs w:val="20"/>
                        </w:rPr>
                        <w:t>The above applies for the cases including when UE transmitting at P_c_max</w:t>
                      </w:r>
                    </w:p>
                    <w:p w14:paraId="1C2C56D0" w14:textId="77777777" w:rsidR="00C105EC" w:rsidRPr="00C105EC" w:rsidRDefault="00C105EC" w:rsidP="0072563D">
                      <w:pPr>
                        <w:widowControl/>
                        <w:wordWrap/>
                        <w:autoSpaceDE/>
                        <w:autoSpaceDN/>
                        <w:spacing w:after="0" w:line="240" w:lineRule="auto"/>
                        <w:ind w:left="1440" w:hanging="1440"/>
                        <w:contextualSpacing/>
                        <w:jc w:val="left"/>
                        <w:rPr>
                          <w:rFonts w:eastAsia="바탕"/>
                          <w:b/>
                          <w:kern w:val="0"/>
                          <w:sz w:val="20"/>
                          <w:szCs w:val="20"/>
                          <w:highlight w:val="green"/>
                          <w:lang w:val="en-GB" w:eastAsia="x-none"/>
                        </w:rPr>
                      </w:pPr>
                      <w:r w:rsidRPr="00C105EC">
                        <w:rPr>
                          <w:rFonts w:eastAsia="바탕"/>
                          <w:b/>
                          <w:kern w:val="0"/>
                          <w:sz w:val="20"/>
                          <w:szCs w:val="20"/>
                          <w:highlight w:val="green"/>
                          <w:lang w:val="en-GB" w:eastAsia="x-none"/>
                        </w:rPr>
                        <w:t>Agreement</w:t>
                      </w:r>
                    </w:p>
                    <w:p w14:paraId="6C0B35C3" w14:textId="77777777" w:rsidR="00C105EC" w:rsidRPr="00C105EC" w:rsidRDefault="00C105EC" w:rsidP="0072563D">
                      <w:pPr>
                        <w:widowControl/>
                        <w:wordWrap/>
                        <w:autoSpaceDE/>
                        <w:autoSpaceDN/>
                        <w:spacing w:after="0" w:line="240" w:lineRule="auto"/>
                        <w:contextualSpacing/>
                        <w:jc w:val="left"/>
                        <w:rPr>
                          <w:rFonts w:eastAsia="바탕"/>
                          <w:kern w:val="0"/>
                          <w:sz w:val="20"/>
                          <w:szCs w:val="20"/>
                          <w:lang w:val="en-GB" w:eastAsia="en-US"/>
                        </w:rPr>
                      </w:pPr>
                      <w:r w:rsidRPr="00C105EC">
                        <w:rPr>
                          <w:rFonts w:eastAsia="바탕"/>
                          <w:kern w:val="0"/>
                          <w:sz w:val="20"/>
                          <w:szCs w:val="20"/>
                          <w:lang w:val="en-GB" w:eastAsia="en-US"/>
                        </w:rPr>
                        <w:t>Supported UE capabilities and supported scheme for UE capability 1</w:t>
                      </w:r>
                    </w:p>
                    <w:p w14:paraId="051A6FA2" w14:textId="77777777" w:rsidR="00C105EC" w:rsidRPr="00C105EC" w:rsidRDefault="00C105EC" w:rsidP="0072563D">
                      <w:pPr>
                        <w:widowControl/>
                        <w:numPr>
                          <w:ilvl w:val="0"/>
                          <w:numId w:val="2"/>
                        </w:numPr>
                        <w:wordWrap/>
                        <w:autoSpaceDE/>
                        <w:autoSpaceDN/>
                        <w:adjustRightInd w:val="0"/>
                        <w:spacing w:after="0" w:line="240" w:lineRule="auto"/>
                        <w:contextualSpacing/>
                        <w:jc w:val="left"/>
                        <w:rPr>
                          <w:rFonts w:eastAsia="바탕"/>
                          <w:sz w:val="20"/>
                          <w:szCs w:val="20"/>
                        </w:rPr>
                      </w:pPr>
                      <w:r w:rsidRPr="00C105EC">
                        <w:rPr>
                          <w:rFonts w:eastAsia="바탕"/>
                          <w:sz w:val="20"/>
                          <w:szCs w:val="20"/>
                        </w:rPr>
                        <w:t>Option 3</w:t>
                      </w:r>
                    </w:p>
                    <w:p w14:paraId="62393BA4" w14:textId="77777777" w:rsidR="00C105EC" w:rsidRPr="00C105EC" w:rsidRDefault="00C105EC" w:rsidP="0072563D">
                      <w:pPr>
                        <w:widowControl/>
                        <w:numPr>
                          <w:ilvl w:val="0"/>
                          <w:numId w:val="2"/>
                        </w:numPr>
                        <w:wordWrap/>
                        <w:autoSpaceDE/>
                        <w:autoSpaceDN/>
                        <w:adjustRightInd w:val="0"/>
                        <w:spacing w:after="0" w:line="240" w:lineRule="auto"/>
                        <w:contextualSpacing/>
                        <w:jc w:val="left"/>
                        <w:rPr>
                          <w:rFonts w:eastAsia="바탕"/>
                          <w:sz w:val="20"/>
                          <w:szCs w:val="20"/>
                        </w:rPr>
                      </w:pPr>
                      <w:r w:rsidRPr="00C105EC">
                        <w:rPr>
                          <w:rFonts w:eastAsia="바탕"/>
                          <w:sz w:val="20"/>
                          <w:szCs w:val="20"/>
                        </w:rPr>
                        <w:t>FFS: Whether to additionally support Option 1-2</w:t>
                      </w:r>
                    </w:p>
                    <w:p w14:paraId="54F51790" w14:textId="77777777" w:rsidR="00C105EC" w:rsidRPr="0072563D" w:rsidRDefault="00C105EC" w:rsidP="0072563D">
                      <w:pPr>
                        <w:wordWrap/>
                        <w:spacing w:line="240" w:lineRule="auto"/>
                        <w:contextualSpacing/>
                        <w:rPr>
                          <w:b/>
                          <w:sz w:val="20"/>
                          <w:szCs w:val="20"/>
                          <w:highlight w:val="green"/>
                        </w:rPr>
                      </w:pPr>
                      <w:r w:rsidRPr="0072563D">
                        <w:rPr>
                          <w:b/>
                          <w:sz w:val="20"/>
                          <w:szCs w:val="20"/>
                          <w:highlight w:val="green"/>
                        </w:rPr>
                        <w:t>Agreement</w:t>
                      </w:r>
                    </w:p>
                    <w:p w14:paraId="5995E4F3" w14:textId="77777777" w:rsidR="00C105EC" w:rsidRPr="0072563D" w:rsidRDefault="00C105EC" w:rsidP="0072563D">
                      <w:pPr>
                        <w:pStyle w:val="a6"/>
                        <w:ind w:leftChars="0" w:left="0"/>
                        <w:contextualSpacing/>
                        <w:rPr>
                          <w:sz w:val="20"/>
                        </w:rPr>
                      </w:pPr>
                      <w:r w:rsidRPr="0072563D">
                        <w:rPr>
                          <w:sz w:val="20"/>
                        </w:rPr>
                        <w:t>Regardless of UE capability 1, 2, or 3, signalling of “UL full power tx capability” is supported for UEs with full power uplink transmission capability</w:t>
                      </w:r>
                    </w:p>
                    <w:p w14:paraId="667D1EDC" w14:textId="77777777" w:rsidR="00C105EC" w:rsidRPr="0072563D" w:rsidRDefault="00C105EC" w:rsidP="0072563D">
                      <w:pPr>
                        <w:pStyle w:val="LGTdoc"/>
                        <w:numPr>
                          <w:ilvl w:val="0"/>
                          <w:numId w:val="2"/>
                        </w:numPr>
                        <w:snapToGrid/>
                        <w:spacing w:afterLines="0" w:line="240" w:lineRule="auto"/>
                        <w:contextualSpacing/>
                        <w:rPr>
                          <w:rFonts w:eastAsia="맑은 고딕"/>
                          <w:kern w:val="0"/>
                          <w:sz w:val="20"/>
                          <w:szCs w:val="20"/>
                          <w:lang w:eastAsia="en-US"/>
                        </w:rPr>
                      </w:pPr>
                      <w:r w:rsidRPr="0072563D">
                        <w:rPr>
                          <w:rFonts w:eastAsia="맑은 고딕"/>
                          <w:kern w:val="0"/>
                          <w:sz w:val="20"/>
                          <w:szCs w:val="20"/>
                          <w:lang w:eastAsia="en-US"/>
                        </w:rPr>
                        <w:t>FFS: For UE capability 1, if any other information is necessary</w:t>
                      </w:r>
                    </w:p>
                    <w:p w14:paraId="6915BCEE" w14:textId="77777777" w:rsidR="00C105EC" w:rsidRPr="0072563D" w:rsidRDefault="00C105EC" w:rsidP="0072563D">
                      <w:pPr>
                        <w:widowControl/>
                        <w:numPr>
                          <w:ilvl w:val="0"/>
                          <w:numId w:val="2"/>
                        </w:numPr>
                        <w:wordWrap/>
                        <w:autoSpaceDE/>
                        <w:autoSpaceDN/>
                        <w:spacing w:after="0" w:line="240" w:lineRule="auto"/>
                        <w:ind w:left="720" w:hanging="320"/>
                        <w:contextualSpacing/>
                        <w:jc w:val="left"/>
                        <w:rPr>
                          <w:rFonts w:eastAsia="맑은 고딕"/>
                          <w:kern w:val="0"/>
                          <w:sz w:val="20"/>
                          <w:szCs w:val="20"/>
                          <w:lang w:val="en-GB" w:eastAsia="en-US"/>
                        </w:rPr>
                      </w:pPr>
                      <w:r w:rsidRPr="0072563D">
                        <w:rPr>
                          <w:rFonts w:eastAsia="맑은 고딕"/>
                          <w:kern w:val="0"/>
                          <w:sz w:val="20"/>
                          <w:szCs w:val="20"/>
                          <w:lang w:val="en-GB" w:eastAsia="en-US"/>
                        </w:rPr>
                        <w:t>For UE capability 2 and UE capability 3, in addition to signalling “UL full power tx capability”, further information on UE capability are signalled if needed</w:t>
                      </w:r>
                    </w:p>
                    <w:p w14:paraId="01FDDC98" w14:textId="77777777" w:rsidR="00C105EC" w:rsidRPr="0072563D" w:rsidRDefault="00C105EC" w:rsidP="0072563D">
                      <w:pPr>
                        <w:pStyle w:val="LGTdoc"/>
                        <w:numPr>
                          <w:ilvl w:val="1"/>
                          <w:numId w:val="2"/>
                        </w:numPr>
                        <w:snapToGrid/>
                        <w:spacing w:afterLines="0" w:line="240" w:lineRule="auto"/>
                        <w:contextualSpacing/>
                        <w:rPr>
                          <w:rFonts w:eastAsia="맑은 고딕"/>
                          <w:kern w:val="0"/>
                          <w:sz w:val="20"/>
                          <w:szCs w:val="20"/>
                          <w:lang w:eastAsia="en-US"/>
                        </w:rPr>
                      </w:pPr>
                      <w:r w:rsidRPr="0072563D">
                        <w:rPr>
                          <w:rFonts w:eastAsia="맑은 고딕"/>
                          <w:kern w:val="0"/>
                          <w:sz w:val="20"/>
                          <w:szCs w:val="20"/>
                          <w:lang w:eastAsia="en-US"/>
                        </w:rPr>
                        <w:t>FFS: Details such as support of UE capability signaling of supported one or group of TPMI precoder(s) for full power transmission, support different number of SRS ports for resources for codebook, and other UE capability signaling can be introduced</w:t>
                      </w:r>
                    </w:p>
                    <w:p w14:paraId="03045670" w14:textId="77777777" w:rsidR="00C105EC" w:rsidRPr="0072563D" w:rsidRDefault="00C105EC" w:rsidP="0072563D">
                      <w:pPr>
                        <w:pStyle w:val="LGTdoc"/>
                        <w:numPr>
                          <w:ilvl w:val="1"/>
                          <w:numId w:val="2"/>
                        </w:numPr>
                        <w:snapToGrid/>
                        <w:spacing w:afterLines="0" w:line="240" w:lineRule="auto"/>
                        <w:contextualSpacing/>
                        <w:rPr>
                          <w:sz w:val="20"/>
                          <w:szCs w:val="20"/>
                          <w:lang w:val="en-US"/>
                        </w:rPr>
                      </w:pPr>
                      <w:r w:rsidRPr="0072563D">
                        <w:rPr>
                          <w:rFonts w:eastAsia="맑은 고딕"/>
                          <w:kern w:val="0"/>
                          <w:sz w:val="20"/>
                          <w:szCs w:val="20"/>
                          <w:lang w:eastAsia="en-US"/>
                        </w:rPr>
                        <w:t>FFS: Whether full uplink TX power capability can be explicitly/implicitly</w:t>
                      </w:r>
                      <w:r w:rsidRPr="0072563D">
                        <w:rPr>
                          <w:sz w:val="20"/>
                          <w:szCs w:val="20"/>
                          <w:lang w:val="en-US"/>
                        </w:rPr>
                        <w:t xml:space="preserve"> derived from the TPMI/TPMI group precoders for full power transmission</w:t>
                      </w:r>
                    </w:p>
                    <w:p w14:paraId="14F661FD" w14:textId="77777777" w:rsidR="00C105EC" w:rsidRPr="0072563D" w:rsidRDefault="00C105EC" w:rsidP="0072563D">
                      <w:pPr>
                        <w:pStyle w:val="a6"/>
                        <w:ind w:leftChars="0" w:left="0"/>
                        <w:contextualSpacing/>
                        <w:rPr>
                          <w:sz w:val="20"/>
                        </w:rPr>
                      </w:pPr>
                      <w:r w:rsidRPr="0072563D">
                        <w:rPr>
                          <w:sz w:val="20"/>
                        </w:rPr>
                        <w:t>UEs with full power uplink transmissions are those Rel-16 UEs which can transmit at full power at least for rank1</w:t>
                      </w:r>
                    </w:p>
                    <w:p w14:paraId="1338ED5C" w14:textId="4B19D212" w:rsidR="00C105EC" w:rsidRPr="0072563D" w:rsidRDefault="00C105EC" w:rsidP="0072563D">
                      <w:pPr>
                        <w:pStyle w:val="a6"/>
                        <w:ind w:leftChars="0" w:left="0"/>
                        <w:contextualSpacing/>
                        <w:rPr>
                          <w:sz w:val="20"/>
                        </w:rPr>
                      </w:pPr>
                      <w:r w:rsidRPr="0072563D">
                        <w:rPr>
                          <w:sz w:val="20"/>
                        </w:rPr>
                        <w:t>The signalling of above information does not imply any specific UE PA architecture implementation.</w:t>
                      </w:r>
                    </w:p>
                    <w:p w14:paraId="539C9C2D" w14:textId="77777777" w:rsidR="00C105EC" w:rsidRPr="00C105EC" w:rsidRDefault="00C105EC" w:rsidP="0072563D">
                      <w:pPr>
                        <w:widowControl/>
                        <w:wordWrap/>
                        <w:autoSpaceDE/>
                        <w:autoSpaceDN/>
                        <w:spacing w:after="0" w:line="240" w:lineRule="auto"/>
                        <w:ind w:left="1440" w:hanging="1440"/>
                        <w:contextualSpacing/>
                        <w:jc w:val="left"/>
                        <w:rPr>
                          <w:rFonts w:eastAsia="바탕"/>
                          <w:b/>
                          <w:kern w:val="0"/>
                          <w:sz w:val="20"/>
                          <w:szCs w:val="20"/>
                          <w:highlight w:val="green"/>
                          <w:lang w:val="en-GB" w:eastAsia="x-none"/>
                        </w:rPr>
                      </w:pPr>
                      <w:r w:rsidRPr="00C105EC">
                        <w:rPr>
                          <w:rFonts w:eastAsia="바탕"/>
                          <w:b/>
                          <w:kern w:val="0"/>
                          <w:sz w:val="20"/>
                          <w:szCs w:val="20"/>
                          <w:highlight w:val="green"/>
                          <w:lang w:val="en-GB" w:eastAsia="x-none"/>
                        </w:rPr>
                        <w:t>Agreement</w:t>
                      </w:r>
                    </w:p>
                    <w:p w14:paraId="3A205353" w14:textId="77777777" w:rsidR="00C105EC" w:rsidRPr="00C105EC" w:rsidRDefault="00C105EC" w:rsidP="0072563D">
                      <w:pPr>
                        <w:widowControl/>
                        <w:wordWrap/>
                        <w:autoSpaceDE/>
                        <w:autoSpaceDN/>
                        <w:spacing w:after="0" w:line="240" w:lineRule="auto"/>
                        <w:contextualSpacing/>
                        <w:jc w:val="left"/>
                        <w:rPr>
                          <w:rFonts w:eastAsia="바탕"/>
                          <w:kern w:val="0"/>
                          <w:sz w:val="20"/>
                          <w:szCs w:val="20"/>
                          <w:highlight w:val="cyan"/>
                          <w:lang w:val="en-GB" w:eastAsia="zh-CN"/>
                        </w:rPr>
                      </w:pPr>
                      <w:r w:rsidRPr="00C105EC">
                        <w:rPr>
                          <w:rFonts w:eastAsia="바탕"/>
                          <w:kern w:val="0"/>
                          <w:sz w:val="20"/>
                          <w:szCs w:val="20"/>
                          <w:lang w:val="fr-FR" w:eastAsia="zh-CN"/>
                        </w:rPr>
                        <w:t>RAN1 will select one of the</w:t>
                      </w:r>
                      <w:r w:rsidRPr="00C105EC">
                        <w:rPr>
                          <w:rFonts w:eastAsia="바탕"/>
                          <w:kern w:val="0"/>
                          <w:sz w:val="20"/>
                          <w:szCs w:val="20"/>
                          <w:lang w:val="en-GB" w:eastAsia="zh-CN"/>
                        </w:rPr>
                        <w:t xml:space="preserve"> alternative solutions below to support UE capability 2. Further clarification or details are needed for Alt1, Alt3-1, Alt3-2, and Alt5. </w:t>
                      </w:r>
                      <w:r w:rsidRPr="00C105EC">
                        <w:rPr>
                          <w:rFonts w:eastAsia="바탕"/>
                          <w:kern w:val="0"/>
                          <w:sz w:val="20"/>
                          <w:szCs w:val="20"/>
                          <w:highlight w:val="cyan"/>
                          <w:lang w:val="en-GB" w:eastAsia="zh-CN"/>
                        </w:rPr>
                        <w:t>Email discussion by 17</w:t>
                      </w:r>
                      <w:r w:rsidRPr="00C105EC">
                        <w:rPr>
                          <w:rFonts w:eastAsia="바탕"/>
                          <w:kern w:val="0"/>
                          <w:sz w:val="20"/>
                          <w:szCs w:val="20"/>
                          <w:highlight w:val="cyan"/>
                          <w:vertAlign w:val="superscript"/>
                          <w:lang w:val="en-GB" w:eastAsia="zh-CN"/>
                        </w:rPr>
                        <w:t>th</w:t>
                      </w:r>
                      <w:r w:rsidRPr="00C105EC">
                        <w:rPr>
                          <w:rFonts w:eastAsia="바탕"/>
                          <w:kern w:val="0"/>
                          <w:sz w:val="20"/>
                          <w:szCs w:val="20"/>
                          <w:highlight w:val="cyan"/>
                          <w:lang w:val="en-GB" w:eastAsia="zh-CN"/>
                        </w:rPr>
                        <w:t xml:space="preserve"> of April for companies to provide clarification on Alt1, Alt3-1, Alt3-2, and Alt5. To be coordinated by Rakesh (vivo).</w:t>
                      </w:r>
                    </w:p>
                    <w:p w14:paraId="05295CFD" w14:textId="77777777" w:rsidR="00C105EC" w:rsidRPr="00C105EC" w:rsidRDefault="00C105EC" w:rsidP="0072563D">
                      <w:pPr>
                        <w:widowControl/>
                        <w:numPr>
                          <w:ilvl w:val="0"/>
                          <w:numId w:val="2"/>
                        </w:numPr>
                        <w:wordWrap/>
                        <w:autoSpaceDE/>
                        <w:autoSpaceDN/>
                        <w:spacing w:after="0" w:line="240" w:lineRule="auto"/>
                        <w:ind w:left="720" w:hanging="320"/>
                        <w:contextualSpacing/>
                        <w:jc w:val="left"/>
                        <w:rPr>
                          <w:rFonts w:eastAsia="바탕"/>
                          <w:kern w:val="0"/>
                          <w:sz w:val="20"/>
                          <w:szCs w:val="20"/>
                          <w:lang w:eastAsia="x-none"/>
                        </w:rPr>
                      </w:pPr>
                      <w:r w:rsidRPr="00C105EC">
                        <w:rPr>
                          <w:rFonts w:eastAsia="바탕"/>
                          <w:kern w:val="0"/>
                          <w:sz w:val="20"/>
                          <w:szCs w:val="20"/>
                          <w:lang w:eastAsia="x-none"/>
                        </w:rPr>
                        <w:t>Alt1: Option1-1 (Support a new codebookSubset for non-coherent and partial-coherent transmission capable UEs, e.g. for 2Tx the new codeboookSubset is all non-antenna selection TPMIs or with only TPMI [1 1] for rank 1)</w:t>
                      </w:r>
                    </w:p>
                    <w:p w14:paraId="1EE1147A" w14:textId="77777777" w:rsidR="00C105EC" w:rsidRPr="00C105EC" w:rsidRDefault="00C105EC" w:rsidP="0072563D">
                      <w:pPr>
                        <w:widowControl/>
                        <w:numPr>
                          <w:ilvl w:val="0"/>
                          <w:numId w:val="2"/>
                        </w:numPr>
                        <w:wordWrap/>
                        <w:autoSpaceDE/>
                        <w:autoSpaceDN/>
                        <w:spacing w:after="0" w:line="240" w:lineRule="auto"/>
                        <w:ind w:left="720" w:hanging="320"/>
                        <w:contextualSpacing/>
                        <w:jc w:val="left"/>
                        <w:rPr>
                          <w:rFonts w:eastAsia="바탕"/>
                          <w:kern w:val="0"/>
                          <w:sz w:val="20"/>
                          <w:szCs w:val="20"/>
                          <w:lang w:eastAsia="x-none"/>
                        </w:rPr>
                      </w:pPr>
                      <w:r w:rsidRPr="00C105EC">
                        <w:rPr>
                          <w:rFonts w:eastAsia="바탕"/>
                          <w:kern w:val="0"/>
                          <w:sz w:val="20"/>
                          <w:szCs w:val="20"/>
                          <w:lang w:eastAsia="x-none"/>
                        </w:rPr>
                        <w:t>Alt3-1: Option3+Option2 (Multiple SRS resources with different number of SRS port(s) in each resource)</w:t>
                      </w:r>
                    </w:p>
                    <w:p w14:paraId="3BDB597F" w14:textId="77777777" w:rsidR="00C105EC" w:rsidRPr="00C105EC" w:rsidRDefault="00C105EC" w:rsidP="0072563D">
                      <w:pPr>
                        <w:widowControl/>
                        <w:numPr>
                          <w:ilvl w:val="1"/>
                          <w:numId w:val="19"/>
                        </w:numPr>
                        <w:wordWrap/>
                        <w:overflowPunct w:val="0"/>
                        <w:autoSpaceDE/>
                        <w:autoSpaceDN/>
                        <w:adjustRightInd w:val="0"/>
                        <w:spacing w:after="0" w:line="240" w:lineRule="auto"/>
                        <w:contextualSpacing/>
                        <w:jc w:val="left"/>
                        <w:textAlignment w:val="baseline"/>
                        <w:rPr>
                          <w:rFonts w:eastAsia="SimSun"/>
                          <w:kern w:val="0"/>
                          <w:sz w:val="20"/>
                          <w:szCs w:val="20"/>
                          <w:lang w:val="en-GB" w:eastAsia="x-none"/>
                        </w:rPr>
                      </w:pPr>
                      <w:r w:rsidRPr="00C105EC">
                        <w:rPr>
                          <w:rFonts w:eastAsia="SimSun"/>
                          <w:kern w:val="0"/>
                          <w:sz w:val="20"/>
                          <w:szCs w:val="20"/>
                          <w:lang w:val="en-GB" w:eastAsia="x-none"/>
                        </w:rPr>
                        <w:t>FFS: Whether to additionally support Option 1-2</w:t>
                      </w:r>
                    </w:p>
                    <w:p w14:paraId="69053A6C" w14:textId="77777777" w:rsidR="00C105EC" w:rsidRPr="00C105EC" w:rsidRDefault="00C105EC" w:rsidP="0072563D">
                      <w:pPr>
                        <w:widowControl/>
                        <w:numPr>
                          <w:ilvl w:val="0"/>
                          <w:numId w:val="2"/>
                        </w:numPr>
                        <w:wordWrap/>
                        <w:autoSpaceDE/>
                        <w:autoSpaceDN/>
                        <w:spacing w:after="0" w:line="240" w:lineRule="auto"/>
                        <w:ind w:left="720" w:hanging="320"/>
                        <w:contextualSpacing/>
                        <w:jc w:val="left"/>
                        <w:rPr>
                          <w:rFonts w:eastAsia="바탕"/>
                          <w:kern w:val="0"/>
                          <w:sz w:val="20"/>
                          <w:szCs w:val="20"/>
                          <w:lang w:eastAsia="x-none"/>
                        </w:rPr>
                      </w:pPr>
                      <w:r w:rsidRPr="00C105EC">
                        <w:rPr>
                          <w:rFonts w:eastAsia="바탕"/>
                          <w:kern w:val="0"/>
                          <w:sz w:val="20"/>
                          <w:szCs w:val="20"/>
                          <w:lang w:eastAsia="x-none"/>
                        </w:rPr>
                        <w:t>Alt3-2: Option3+Option2+ Option1-1 (Multiple SRS resources with different number of SRS port(s) in each resource)</w:t>
                      </w:r>
                    </w:p>
                    <w:p w14:paraId="1EF22693" w14:textId="68BA9C57" w:rsidR="009D0C26" w:rsidRPr="0072563D" w:rsidRDefault="00C105EC" w:rsidP="0072563D">
                      <w:pPr>
                        <w:widowControl/>
                        <w:numPr>
                          <w:ilvl w:val="0"/>
                          <w:numId w:val="2"/>
                        </w:numPr>
                        <w:wordWrap/>
                        <w:autoSpaceDE/>
                        <w:autoSpaceDN/>
                        <w:spacing w:after="0" w:line="240" w:lineRule="auto"/>
                        <w:ind w:left="720" w:hanging="320"/>
                        <w:contextualSpacing/>
                        <w:jc w:val="left"/>
                        <w:rPr>
                          <w:sz w:val="20"/>
                          <w:szCs w:val="20"/>
                        </w:rPr>
                      </w:pPr>
                      <w:r w:rsidRPr="00C105EC">
                        <w:rPr>
                          <w:rFonts w:eastAsia="바탕"/>
                          <w:kern w:val="0"/>
                          <w:sz w:val="20"/>
                          <w:szCs w:val="20"/>
                          <w:lang w:eastAsia="x-none"/>
                        </w:rPr>
                        <w:t>Alt5: FDM multi-port simultaneous transmission</w:t>
                      </w:r>
                    </w:p>
                  </w:txbxContent>
                </v:textbox>
                <w10:anchorlock/>
              </v:shape>
            </w:pict>
          </mc:Fallback>
        </mc:AlternateContent>
      </w:r>
    </w:p>
    <w:p w14:paraId="3B365DF3" w14:textId="34C89454" w:rsidR="0041723A" w:rsidRPr="00987B8F" w:rsidRDefault="00275446" w:rsidP="0072563D">
      <w:pPr>
        <w:pStyle w:val="LGTdoc1"/>
        <w:snapToGrid/>
        <w:spacing w:beforeLines="0" w:before="100" w:beforeAutospacing="1" w:line="360" w:lineRule="auto"/>
        <w:contextualSpacing/>
        <w:rPr>
          <w:b w:val="0"/>
          <w:sz w:val="22"/>
          <w:lang w:val="en-US"/>
        </w:rPr>
      </w:pPr>
      <w:r w:rsidRPr="00987B8F">
        <w:rPr>
          <w:rFonts w:hint="eastAsia"/>
          <w:b w:val="0"/>
          <w:sz w:val="22"/>
          <w:lang w:val="en-US"/>
        </w:rPr>
        <w:t xml:space="preserve">In this contribution, we </w:t>
      </w:r>
      <w:r w:rsidRPr="00987B8F">
        <w:rPr>
          <w:b w:val="0"/>
          <w:sz w:val="22"/>
          <w:lang w:val="en-US"/>
        </w:rPr>
        <w:t xml:space="preserve">further </w:t>
      </w:r>
      <w:r w:rsidRPr="00987B8F">
        <w:rPr>
          <w:rFonts w:hint="eastAsia"/>
          <w:b w:val="0"/>
          <w:sz w:val="22"/>
          <w:lang w:val="en-US"/>
        </w:rPr>
        <w:t>discuss on full power transmission in</w:t>
      </w:r>
      <w:r w:rsidRPr="00987B8F">
        <w:rPr>
          <w:b w:val="0"/>
          <w:sz w:val="22"/>
          <w:lang w:val="en-US"/>
        </w:rPr>
        <w:t xml:space="preserve"> case of codebook based uplink transmission with multiple power amplifiers.  </w:t>
      </w:r>
    </w:p>
    <w:p w14:paraId="5915F18A" w14:textId="30473F44" w:rsidR="00DE63A0" w:rsidRDefault="00F14912" w:rsidP="004C6957">
      <w:pPr>
        <w:pStyle w:val="1"/>
        <w:numPr>
          <w:ilvl w:val="0"/>
          <w:numId w:val="22"/>
        </w:numPr>
        <w:ind w:left="426" w:hanging="426"/>
      </w:pPr>
      <w:r>
        <w:lastRenderedPageBreak/>
        <w:t>Discussions on f</w:t>
      </w:r>
      <w:r w:rsidR="00FE2826">
        <w:t>ull power</w:t>
      </w:r>
      <w:r w:rsidR="005D03E5">
        <w:t xml:space="preserve"> </w:t>
      </w:r>
      <w:r w:rsidR="00FE2826">
        <w:t>UL transmission</w:t>
      </w:r>
      <w:r w:rsidR="000E2B6F">
        <w:t xml:space="preserve"> </w:t>
      </w:r>
    </w:p>
    <w:p w14:paraId="4A36378F" w14:textId="18A23808" w:rsidR="009050BF" w:rsidRPr="00FB422C" w:rsidRDefault="009050BF" w:rsidP="009050BF">
      <w:pPr>
        <w:pStyle w:val="2"/>
      </w:pPr>
      <w:r w:rsidRPr="00FB422C">
        <w:t>2.</w:t>
      </w:r>
      <w:r>
        <w:t>1</w:t>
      </w:r>
      <w:r w:rsidRPr="00FB422C">
        <w:t xml:space="preserve"> </w:t>
      </w:r>
      <w:r>
        <w:t>UE capability signaling</w:t>
      </w:r>
    </w:p>
    <w:p w14:paraId="1B0C94B5" w14:textId="1394469C" w:rsidR="006F2CD9" w:rsidRDefault="00A7130A" w:rsidP="009050BF">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In RAN1#96bis meeting, </w:t>
      </w:r>
      <w:r w:rsidR="003B0CA9">
        <w:rPr>
          <w:b w:val="0"/>
          <w:sz w:val="22"/>
          <w:lang w:val="en-US"/>
        </w:rPr>
        <w:t xml:space="preserve">it was agreed that </w:t>
      </w:r>
      <w:r w:rsidR="00397F72" w:rsidRPr="00397F72">
        <w:rPr>
          <w:b w:val="0"/>
          <w:sz w:val="22"/>
          <w:lang w:val="en-US"/>
        </w:rPr>
        <w:t xml:space="preserve">signalling of “UL full power tx capability” </w:t>
      </w:r>
      <w:r w:rsidR="003B0CA9">
        <w:rPr>
          <w:b w:val="0"/>
          <w:sz w:val="22"/>
          <w:lang w:val="en-US"/>
        </w:rPr>
        <w:t>is supported regardless of UE capability 1, 2 and 3.</w:t>
      </w:r>
      <w:r w:rsidR="00397F72">
        <w:rPr>
          <w:b w:val="0"/>
          <w:sz w:val="22"/>
          <w:lang w:val="en-US"/>
        </w:rPr>
        <w:t xml:space="preserve"> </w:t>
      </w:r>
      <w:r w:rsidR="006F2CD9">
        <w:rPr>
          <w:b w:val="0"/>
          <w:sz w:val="22"/>
          <w:lang w:val="en-US"/>
        </w:rPr>
        <w:t xml:space="preserve">Regarding </w:t>
      </w:r>
      <w:r w:rsidR="00A45CBC">
        <w:rPr>
          <w:b w:val="0"/>
          <w:sz w:val="22"/>
          <w:lang w:val="en-US"/>
        </w:rPr>
        <w:t xml:space="preserve">this </w:t>
      </w:r>
      <w:r w:rsidR="00FE6173">
        <w:rPr>
          <w:b w:val="0"/>
          <w:sz w:val="22"/>
          <w:lang w:val="en-US"/>
        </w:rPr>
        <w:t>UE capability signaling</w:t>
      </w:r>
      <w:r w:rsidR="006F2CD9">
        <w:rPr>
          <w:b w:val="0"/>
          <w:sz w:val="22"/>
          <w:lang w:val="en-US"/>
        </w:rPr>
        <w:t>, t</w:t>
      </w:r>
      <w:r w:rsidR="00397F72">
        <w:rPr>
          <w:b w:val="0"/>
          <w:sz w:val="22"/>
          <w:lang w:val="en-US"/>
        </w:rPr>
        <w:t>he</w:t>
      </w:r>
      <w:r w:rsidR="006F2CD9">
        <w:rPr>
          <w:b w:val="0"/>
          <w:sz w:val="22"/>
          <w:lang w:val="en-US"/>
        </w:rPr>
        <w:t xml:space="preserve">re are two </w:t>
      </w:r>
      <w:r w:rsidR="00397F72">
        <w:rPr>
          <w:b w:val="0"/>
          <w:sz w:val="22"/>
          <w:lang w:val="en-US"/>
        </w:rPr>
        <w:t>remaining issues</w:t>
      </w:r>
      <w:r w:rsidR="006F2CD9">
        <w:rPr>
          <w:b w:val="0"/>
          <w:sz w:val="22"/>
          <w:lang w:val="en-US"/>
        </w:rPr>
        <w:t xml:space="preserve"> as follows:</w:t>
      </w:r>
      <w:r w:rsidR="00397F72">
        <w:rPr>
          <w:b w:val="0"/>
          <w:sz w:val="22"/>
          <w:lang w:val="en-US"/>
        </w:rPr>
        <w:t xml:space="preserve"> </w:t>
      </w:r>
    </w:p>
    <w:p w14:paraId="4481B31F" w14:textId="31B0C3E4" w:rsidR="006F2CD9" w:rsidRDefault="006F2CD9" w:rsidP="006F2CD9">
      <w:pPr>
        <w:pStyle w:val="LGTdoc1"/>
        <w:numPr>
          <w:ilvl w:val="0"/>
          <w:numId w:val="23"/>
        </w:numPr>
        <w:snapToGrid/>
        <w:spacing w:beforeLines="0" w:before="100" w:beforeAutospacing="1" w:line="360" w:lineRule="auto"/>
        <w:contextualSpacing/>
        <w:rPr>
          <w:b w:val="0"/>
          <w:sz w:val="22"/>
          <w:lang w:val="en-US"/>
        </w:rPr>
      </w:pPr>
      <w:r>
        <w:rPr>
          <w:b w:val="0"/>
          <w:sz w:val="22"/>
          <w:lang w:val="en-US"/>
        </w:rPr>
        <w:t>For UE capability 1, w</w:t>
      </w:r>
      <w:r w:rsidR="00397F72">
        <w:rPr>
          <w:b w:val="0"/>
          <w:sz w:val="22"/>
          <w:lang w:val="en-US"/>
        </w:rPr>
        <w:t xml:space="preserve">hether additional signaling </w:t>
      </w:r>
      <w:r>
        <w:rPr>
          <w:b w:val="0"/>
          <w:sz w:val="22"/>
          <w:lang w:val="en-US"/>
        </w:rPr>
        <w:t xml:space="preserve">is needed or </w:t>
      </w:r>
      <w:r w:rsidR="00397F72">
        <w:rPr>
          <w:b w:val="0"/>
          <w:sz w:val="22"/>
          <w:lang w:val="en-US"/>
        </w:rPr>
        <w:t>not</w:t>
      </w:r>
    </w:p>
    <w:p w14:paraId="0FB248C7" w14:textId="4FE60652" w:rsidR="00A7130A" w:rsidRDefault="006F2CD9" w:rsidP="006F2CD9">
      <w:pPr>
        <w:pStyle w:val="LGTdoc1"/>
        <w:numPr>
          <w:ilvl w:val="0"/>
          <w:numId w:val="23"/>
        </w:numPr>
        <w:snapToGrid/>
        <w:spacing w:beforeLines="0" w:before="100" w:beforeAutospacing="1" w:line="360" w:lineRule="auto"/>
        <w:contextualSpacing/>
        <w:rPr>
          <w:b w:val="0"/>
          <w:sz w:val="22"/>
          <w:lang w:val="en-US"/>
        </w:rPr>
      </w:pPr>
      <w:r>
        <w:rPr>
          <w:b w:val="0"/>
          <w:sz w:val="22"/>
          <w:lang w:val="en-US"/>
        </w:rPr>
        <w:t xml:space="preserve">For UE capability 2 and 3, </w:t>
      </w:r>
      <w:r w:rsidR="007070B3">
        <w:rPr>
          <w:b w:val="0"/>
          <w:sz w:val="22"/>
          <w:lang w:val="en-US"/>
        </w:rPr>
        <w:t xml:space="preserve">details for </w:t>
      </w:r>
      <w:r>
        <w:rPr>
          <w:b w:val="0"/>
          <w:sz w:val="22"/>
          <w:lang w:val="en-US"/>
        </w:rPr>
        <w:t>further information on</w:t>
      </w:r>
      <w:r w:rsidR="007070B3">
        <w:rPr>
          <w:b w:val="0"/>
          <w:sz w:val="22"/>
          <w:lang w:val="en-US"/>
        </w:rPr>
        <w:t xml:space="preserve"> UE capability signaling. </w:t>
      </w:r>
      <w:r>
        <w:rPr>
          <w:b w:val="0"/>
          <w:sz w:val="22"/>
          <w:lang w:val="en-US"/>
        </w:rPr>
        <w:t xml:space="preserve"> </w:t>
      </w:r>
    </w:p>
    <w:p w14:paraId="6D6007C6" w14:textId="77777777" w:rsidR="00A45CBC" w:rsidRDefault="00D46C4A" w:rsidP="00A45CBC">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For </w:t>
      </w:r>
      <w:r w:rsidR="00960BA6">
        <w:rPr>
          <w:b w:val="0"/>
          <w:sz w:val="22"/>
          <w:lang w:val="en-US"/>
        </w:rPr>
        <w:t>UE capability</w:t>
      </w:r>
      <w:r>
        <w:rPr>
          <w:rFonts w:hint="eastAsia"/>
          <w:b w:val="0"/>
          <w:sz w:val="22"/>
          <w:lang w:val="en-US"/>
        </w:rPr>
        <w:t xml:space="preserve"> 1, </w:t>
      </w:r>
      <w:r w:rsidR="00960BA6">
        <w:rPr>
          <w:b w:val="0"/>
          <w:sz w:val="22"/>
          <w:lang w:val="en-US"/>
        </w:rPr>
        <w:t>power control based solution (option3) was agreed in order to achi</w:t>
      </w:r>
      <w:r w:rsidR="00CF5E44">
        <w:rPr>
          <w:b w:val="0"/>
          <w:sz w:val="22"/>
          <w:lang w:val="en-US"/>
        </w:rPr>
        <w:t>eve full power UL transmission.</w:t>
      </w:r>
      <w:r w:rsidR="00F9215D">
        <w:rPr>
          <w:b w:val="0"/>
          <w:sz w:val="22"/>
          <w:lang w:val="en-US"/>
        </w:rPr>
        <w:t xml:space="preserve"> In our understanding, the option 3 means </w:t>
      </w:r>
      <w:r w:rsidR="004A0E9B">
        <w:rPr>
          <w:b w:val="0"/>
          <w:sz w:val="22"/>
          <w:lang w:val="en-US"/>
        </w:rPr>
        <w:t xml:space="preserve">that PUSCH power scaling parameter </w:t>
      </w:r>
      <w:r w:rsidR="00A45CBC">
        <w:rPr>
          <w:b w:val="0"/>
          <w:sz w:val="22"/>
          <w:lang w:val="en-US"/>
        </w:rPr>
        <w:t xml:space="preserve">can be </w:t>
      </w:r>
      <w:r w:rsidR="004A0E9B">
        <w:rPr>
          <w:b w:val="0"/>
          <w:sz w:val="22"/>
          <w:lang w:val="en-US"/>
        </w:rPr>
        <w:t xml:space="preserve">set to 1 regardless of indicated TPMI by gNB, thus additional signaling is not needed. </w:t>
      </w:r>
    </w:p>
    <w:p w14:paraId="0D4DF113" w14:textId="3015384B" w:rsidR="00D229A9" w:rsidRDefault="009B1ADF" w:rsidP="00561DC2">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On the other hand, for UE capability 2 and 3, solutions in order to support full power </w:t>
      </w:r>
      <w:r w:rsidR="00F420A6">
        <w:rPr>
          <w:b w:val="0"/>
          <w:sz w:val="22"/>
          <w:lang w:val="en-US"/>
        </w:rPr>
        <w:t xml:space="preserve">UL transmission </w:t>
      </w:r>
      <w:r w:rsidR="00A45CBC">
        <w:rPr>
          <w:b w:val="0"/>
          <w:sz w:val="22"/>
          <w:lang w:val="en-US"/>
        </w:rPr>
        <w:t>are</w:t>
      </w:r>
      <w:r w:rsidR="00F420A6">
        <w:rPr>
          <w:b w:val="0"/>
          <w:sz w:val="22"/>
          <w:lang w:val="en-US"/>
        </w:rPr>
        <w:t xml:space="preserve"> under discussion. </w:t>
      </w:r>
      <w:r w:rsidR="00A45CBC">
        <w:rPr>
          <w:b w:val="0"/>
          <w:sz w:val="22"/>
          <w:lang w:val="en-US"/>
        </w:rPr>
        <w:t xml:space="preserve">Especially, </w:t>
      </w:r>
      <w:r w:rsidR="009050BF">
        <w:rPr>
          <w:b w:val="0"/>
          <w:sz w:val="22"/>
          <w:lang w:val="en-US"/>
        </w:rPr>
        <w:t>in case of UE capability 3, it is not clear how to support full power UL transmission with</w:t>
      </w:r>
      <w:r w:rsidR="00104D33">
        <w:rPr>
          <w:b w:val="0"/>
          <w:sz w:val="22"/>
          <w:lang w:val="en-US"/>
        </w:rPr>
        <w:t>out</w:t>
      </w:r>
      <w:r w:rsidR="00BE1CD6">
        <w:rPr>
          <w:b w:val="0"/>
          <w:sz w:val="22"/>
          <w:lang w:val="en-US"/>
        </w:rPr>
        <w:t xml:space="preserve"> additional </w:t>
      </w:r>
      <w:r w:rsidR="00104D33">
        <w:rPr>
          <w:b w:val="0"/>
          <w:sz w:val="22"/>
          <w:lang w:val="en-US"/>
        </w:rPr>
        <w:t>information of TPMI</w:t>
      </w:r>
      <w:r w:rsidR="00BE1CD6">
        <w:rPr>
          <w:b w:val="0"/>
          <w:sz w:val="22"/>
          <w:lang w:val="en-US"/>
        </w:rPr>
        <w:t>s</w:t>
      </w:r>
      <w:r w:rsidR="00104D33">
        <w:rPr>
          <w:b w:val="0"/>
          <w:sz w:val="22"/>
          <w:lang w:val="en-US"/>
        </w:rPr>
        <w:t xml:space="preserve"> to be used for full power UL transmission</w:t>
      </w:r>
      <w:r w:rsidR="009050BF">
        <w:rPr>
          <w:b w:val="0"/>
          <w:sz w:val="22"/>
          <w:lang w:val="en-US"/>
        </w:rPr>
        <w:t xml:space="preserve">. </w:t>
      </w:r>
      <w:r w:rsidR="00BE1CD6">
        <w:rPr>
          <w:b w:val="0"/>
          <w:sz w:val="22"/>
          <w:lang w:val="en-US"/>
        </w:rPr>
        <w:t>Thus, it is desirable</w:t>
      </w:r>
      <w:r w:rsidR="00C27E12">
        <w:rPr>
          <w:b w:val="0"/>
          <w:sz w:val="22"/>
          <w:lang w:val="en-US"/>
        </w:rPr>
        <w:t xml:space="preserve"> that </w:t>
      </w:r>
      <w:r w:rsidR="009050BF">
        <w:rPr>
          <w:b w:val="0"/>
          <w:sz w:val="22"/>
          <w:lang w:val="en-US"/>
        </w:rPr>
        <w:t xml:space="preserve">gNB have information on </w:t>
      </w:r>
      <w:r w:rsidR="009050BF" w:rsidRPr="00FB422C">
        <w:rPr>
          <w:b w:val="0"/>
          <w:sz w:val="22"/>
          <w:lang w:val="en-US"/>
        </w:rPr>
        <w:t>which and how many ports are</w:t>
      </w:r>
      <w:r w:rsidR="00C27E12">
        <w:rPr>
          <w:b w:val="0"/>
          <w:sz w:val="22"/>
          <w:lang w:val="en-US"/>
        </w:rPr>
        <w:t xml:space="preserve"> equipped with full-rated PA by reporting TPMIs or group of TPMIs. </w:t>
      </w:r>
      <w:r w:rsidR="00EA5F45">
        <w:rPr>
          <w:b w:val="0"/>
          <w:sz w:val="22"/>
          <w:lang w:val="en-US"/>
        </w:rPr>
        <w:t xml:space="preserve">One might argue that such UE capability signaling may increase </w:t>
      </w:r>
      <w:r w:rsidR="00B93085">
        <w:rPr>
          <w:b w:val="0"/>
          <w:sz w:val="22"/>
          <w:lang w:val="en-US"/>
        </w:rPr>
        <w:t xml:space="preserve">capability </w:t>
      </w:r>
      <w:r w:rsidR="00EA5F45">
        <w:rPr>
          <w:b w:val="0"/>
          <w:sz w:val="22"/>
          <w:lang w:val="en-US"/>
        </w:rPr>
        <w:t xml:space="preserve">signaling overhead. </w:t>
      </w:r>
      <w:r w:rsidR="00D229A9">
        <w:rPr>
          <w:b w:val="0"/>
          <w:sz w:val="22"/>
          <w:lang w:val="en-US"/>
        </w:rPr>
        <w:t>To alleviate this issue, o</w:t>
      </w:r>
      <w:r w:rsidR="00EA5F45">
        <w:rPr>
          <w:b w:val="0"/>
          <w:sz w:val="22"/>
          <w:lang w:val="en-US"/>
        </w:rPr>
        <w:t>ne</w:t>
      </w:r>
      <w:r w:rsidR="00B93085">
        <w:rPr>
          <w:b w:val="0"/>
          <w:sz w:val="22"/>
          <w:lang w:val="en-US"/>
        </w:rPr>
        <w:t xml:space="preserve"> simple solution </w:t>
      </w:r>
      <w:r w:rsidR="00D229A9">
        <w:rPr>
          <w:b w:val="0"/>
          <w:sz w:val="22"/>
          <w:lang w:val="en-US"/>
        </w:rPr>
        <w:t>can be</w:t>
      </w:r>
      <w:r w:rsidR="00B93085">
        <w:rPr>
          <w:b w:val="0"/>
          <w:sz w:val="22"/>
          <w:lang w:val="en-US"/>
        </w:rPr>
        <w:t xml:space="preserve"> reporting restricted TPMI set such as rank1 non-coherent TPMIs. With this solution, </w:t>
      </w:r>
      <w:r w:rsidR="00643C8B">
        <w:rPr>
          <w:b w:val="0"/>
          <w:sz w:val="22"/>
          <w:lang w:val="en-US"/>
        </w:rPr>
        <w:t xml:space="preserve">only additional </w:t>
      </w:r>
      <w:r w:rsidR="00B93085">
        <w:rPr>
          <w:b w:val="0"/>
          <w:sz w:val="22"/>
          <w:lang w:val="en-US"/>
        </w:rPr>
        <w:t xml:space="preserve">2bit </w:t>
      </w:r>
      <w:r w:rsidR="00561DC2">
        <w:rPr>
          <w:b w:val="0"/>
          <w:sz w:val="22"/>
          <w:lang w:val="en-US"/>
        </w:rPr>
        <w:t>or</w:t>
      </w:r>
      <w:r w:rsidR="00B93085">
        <w:rPr>
          <w:b w:val="0"/>
          <w:sz w:val="22"/>
          <w:lang w:val="en-US"/>
        </w:rPr>
        <w:t xml:space="preserve"> 4bit bitmap for 2 port </w:t>
      </w:r>
      <w:r w:rsidR="00561DC2">
        <w:rPr>
          <w:b w:val="0"/>
          <w:sz w:val="22"/>
          <w:lang w:val="en-US"/>
        </w:rPr>
        <w:t>or</w:t>
      </w:r>
      <w:r w:rsidR="00B93085">
        <w:rPr>
          <w:b w:val="0"/>
          <w:sz w:val="22"/>
          <w:lang w:val="en-US"/>
        </w:rPr>
        <w:t xml:space="preserve"> 4 port cases, respectively, </w:t>
      </w:r>
      <w:r w:rsidR="00643C8B">
        <w:rPr>
          <w:b w:val="0"/>
          <w:sz w:val="22"/>
          <w:lang w:val="en-US"/>
        </w:rPr>
        <w:t>is needed in order to provide the information of full-rated PA</w:t>
      </w:r>
      <w:r w:rsidR="00D229A9">
        <w:rPr>
          <w:b w:val="0"/>
          <w:sz w:val="22"/>
          <w:lang w:val="en-US"/>
        </w:rPr>
        <w:t>s</w:t>
      </w:r>
      <w:r w:rsidR="00643C8B">
        <w:rPr>
          <w:b w:val="0"/>
          <w:sz w:val="22"/>
          <w:lang w:val="en-US"/>
        </w:rPr>
        <w:t xml:space="preserve"> to gNB</w:t>
      </w:r>
      <w:r w:rsidR="00D229A9">
        <w:rPr>
          <w:b w:val="0"/>
          <w:sz w:val="22"/>
          <w:lang w:val="en-US"/>
        </w:rPr>
        <w:t>.</w:t>
      </w:r>
      <w:r w:rsidR="00D229A9">
        <w:rPr>
          <w:rFonts w:hint="eastAsia"/>
          <w:b w:val="0"/>
          <w:sz w:val="22"/>
          <w:lang w:val="en-US"/>
        </w:rPr>
        <w:t xml:space="preserve"> </w:t>
      </w:r>
      <w:r w:rsidR="00561DC2">
        <w:rPr>
          <w:b w:val="0"/>
          <w:sz w:val="22"/>
          <w:lang w:val="en-US"/>
        </w:rPr>
        <w:t xml:space="preserve">Since non-coherent TPMIs is port selection codeword, </w:t>
      </w:r>
      <w:r w:rsidR="00D229A9">
        <w:rPr>
          <w:b w:val="0"/>
          <w:sz w:val="22"/>
          <w:lang w:val="en-US"/>
        </w:rPr>
        <w:t xml:space="preserve">gNB </w:t>
      </w:r>
      <w:r w:rsidR="00561DC2">
        <w:rPr>
          <w:b w:val="0"/>
          <w:sz w:val="22"/>
          <w:lang w:val="en-US"/>
        </w:rPr>
        <w:t>may</w:t>
      </w:r>
      <w:r w:rsidR="00D229A9">
        <w:rPr>
          <w:b w:val="0"/>
          <w:sz w:val="22"/>
          <w:lang w:val="en-US"/>
        </w:rPr>
        <w:t xml:space="preserve"> have full information of which TPMIs </w:t>
      </w:r>
      <w:r w:rsidR="00561DC2">
        <w:rPr>
          <w:b w:val="0"/>
          <w:sz w:val="22"/>
          <w:lang w:val="en-US"/>
        </w:rPr>
        <w:t xml:space="preserve">across all TRIs </w:t>
      </w:r>
      <w:r w:rsidR="00D229A9">
        <w:rPr>
          <w:b w:val="0"/>
          <w:sz w:val="22"/>
          <w:lang w:val="en-US"/>
        </w:rPr>
        <w:t xml:space="preserve">can be used for full power UL transmission. </w:t>
      </w:r>
    </w:p>
    <w:p w14:paraId="6140F1F5" w14:textId="1D2E3208" w:rsidR="009050BF" w:rsidRDefault="009050BF" w:rsidP="009050BF">
      <w:pPr>
        <w:pStyle w:val="LGTdoc1"/>
        <w:snapToGrid/>
        <w:spacing w:beforeLines="0" w:before="100" w:beforeAutospacing="1" w:line="360" w:lineRule="auto"/>
        <w:ind w:firstLineChars="50" w:firstLine="108"/>
        <w:contextualSpacing/>
        <w:rPr>
          <w:sz w:val="22"/>
          <w:lang w:val="en-US"/>
        </w:rPr>
      </w:pPr>
      <w:r w:rsidRPr="00FB422C">
        <w:rPr>
          <w:rFonts w:hint="eastAsia"/>
          <w:sz w:val="22"/>
          <w:lang w:val="en-US"/>
        </w:rPr>
        <w:t>P</w:t>
      </w:r>
      <w:r w:rsidRPr="00FB422C">
        <w:rPr>
          <w:sz w:val="22"/>
          <w:lang w:val="en-US"/>
        </w:rPr>
        <w:t>roposal</w:t>
      </w:r>
      <w:r w:rsidR="007D6DF0">
        <w:rPr>
          <w:sz w:val="22"/>
          <w:lang w:val="en-US"/>
        </w:rPr>
        <w:t>1</w:t>
      </w:r>
      <w:r w:rsidRPr="00FB422C">
        <w:rPr>
          <w:sz w:val="22"/>
          <w:lang w:val="en-US"/>
        </w:rPr>
        <w:t xml:space="preserve">: </w:t>
      </w:r>
      <w:r>
        <w:rPr>
          <w:sz w:val="22"/>
          <w:lang w:val="en-US"/>
        </w:rPr>
        <w:t xml:space="preserve">Support </w:t>
      </w:r>
      <w:r w:rsidRPr="00ED3EDD">
        <w:rPr>
          <w:sz w:val="22"/>
          <w:lang w:val="en-US"/>
        </w:rPr>
        <w:t xml:space="preserve">UE capability signaling of supported </w:t>
      </w:r>
      <w:r w:rsidR="007D6DF0">
        <w:rPr>
          <w:sz w:val="22"/>
          <w:lang w:val="en-US"/>
        </w:rPr>
        <w:t>TPMIs</w:t>
      </w:r>
      <w:r w:rsidRPr="00ED3EDD">
        <w:rPr>
          <w:sz w:val="22"/>
          <w:lang w:val="en-US"/>
        </w:rPr>
        <w:t xml:space="preserve"> or group of TPMI</w:t>
      </w:r>
      <w:r w:rsidR="007D6DF0">
        <w:rPr>
          <w:sz w:val="22"/>
          <w:lang w:val="en-US"/>
        </w:rPr>
        <w:t>s</w:t>
      </w:r>
      <w:r w:rsidRPr="00ED3EDD">
        <w:rPr>
          <w:sz w:val="22"/>
          <w:lang w:val="en-US"/>
        </w:rPr>
        <w:t xml:space="preserve"> </w:t>
      </w:r>
      <w:r w:rsidR="007D6DF0">
        <w:rPr>
          <w:sz w:val="22"/>
          <w:lang w:val="en-US"/>
        </w:rPr>
        <w:t xml:space="preserve">in addition to </w:t>
      </w:r>
      <w:r w:rsidR="007D6DF0" w:rsidRPr="007D6DF0">
        <w:rPr>
          <w:sz w:val="22"/>
          <w:lang w:val="en-US"/>
        </w:rPr>
        <w:t>signaling of “UL full power tx capability”</w:t>
      </w:r>
      <w:r w:rsidR="007D6DF0">
        <w:rPr>
          <w:sz w:val="22"/>
          <w:lang w:val="en-US"/>
        </w:rPr>
        <w:t xml:space="preserve"> </w:t>
      </w:r>
      <w:r w:rsidR="006318FA">
        <w:rPr>
          <w:sz w:val="22"/>
          <w:lang w:val="en-US"/>
        </w:rPr>
        <w:t xml:space="preserve">at least </w:t>
      </w:r>
      <w:r w:rsidR="007D6DF0">
        <w:rPr>
          <w:sz w:val="22"/>
          <w:lang w:val="en-US"/>
        </w:rPr>
        <w:t xml:space="preserve">for UE capability 3. </w:t>
      </w:r>
    </w:p>
    <w:p w14:paraId="25BF643B" w14:textId="77777777" w:rsidR="00EA5F45" w:rsidRDefault="00EA5F45" w:rsidP="009050BF">
      <w:pPr>
        <w:pStyle w:val="LGTdoc1"/>
        <w:snapToGrid/>
        <w:spacing w:beforeLines="0" w:before="100" w:beforeAutospacing="1" w:line="360" w:lineRule="auto"/>
        <w:ind w:firstLineChars="50" w:firstLine="108"/>
        <w:contextualSpacing/>
        <w:rPr>
          <w:sz w:val="22"/>
          <w:lang w:val="en-US"/>
        </w:rPr>
      </w:pPr>
    </w:p>
    <w:p w14:paraId="39981643" w14:textId="6304A245" w:rsidR="002E6FC5" w:rsidRPr="00987B8F" w:rsidRDefault="002E5D8A" w:rsidP="004C6957">
      <w:pPr>
        <w:pStyle w:val="2"/>
      </w:pPr>
      <w:r w:rsidRPr="00987B8F">
        <w:t>2.</w:t>
      </w:r>
      <w:r w:rsidR="009050BF">
        <w:t>2</w:t>
      </w:r>
      <w:r w:rsidRPr="00987B8F">
        <w:t xml:space="preserve"> </w:t>
      </w:r>
      <w:r w:rsidR="00D667CD" w:rsidRPr="004C6957">
        <w:t>Feasibility</w:t>
      </w:r>
      <w:r w:rsidR="00D667CD">
        <w:t xml:space="preserve"> of s</w:t>
      </w:r>
      <w:r w:rsidR="00D667CD" w:rsidRPr="00D563AC">
        <w:rPr>
          <w:rFonts w:hint="eastAsia"/>
        </w:rPr>
        <w:t xml:space="preserve">olutions for </w:t>
      </w:r>
      <w:r w:rsidR="005144B1">
        <w:t xml:space="preserve">UE capability 2 </w:t>
      </w:r>
    </w:p>
    <w:p w14:paraId="7FE41FC7" w14:textId="10D0BC87" w:rsidR="006C226F" w:rsidRDefault="006C226F" w:rsidP="004A6D8B">
      <w:pPr>
        <w:pStyle w:val="LGTdoc1"/>
        <w:snapToGrid/>
        <w:spacing w:beforeLines="0" w:before="100" w:beforeAutospacing="1" w:line="360" w:lineRule="auto"/>
        <w:ind w:firstLineChars="150" w:firstLine="330"/>
        <w:contextualSpacing/>
        <w:rPr>
          <w:b w:val="0"/>
          <w:sz w:val="22"/>
          <w:lang w:val="en-US"/>
        </w:rPr>
      </w:pPr>
      <w:r>
        <w:rPr>
          <w:b w:val="0"/>
          <w:sz w:val="22"/>
          <w:lang w:val="en-US"/>
        </w:rPr>
        <w:t>During</w:t>
      </w:r>
      <w:r w:rsidR="00A65820">
        <w:rPr>
          <w:rFonts w:hint="eastAsia"/>
          <w:b w:val="0"/>
          <w:sz w:val="22"/>
          <w:lang w:val="en-US"/>
        </w:rPr>
        <w:t xml:space="preserve"> the </w:t>
      </w:r>
      <w:r w:rsidR="00A65820">
        <w:rPr>
          <w:b w:val="0"/>
          <w:sz w:val="22"/>
          <w:lang w:val="en-US"/>
        </w:rPr>
        <w:t xml:space="preserve">email discussion </w:t>
      </w:r>
      <w:r w:rsidR="00A65820" w:rsidRPr="00A65820">
        <w:rPr>
          <w:b w:val="0"/>
          <w:sz w:val="22"/>
          <w:lang w:val="en-US"/>
        </w:rPr>
        <w:t>[96b-NR-07]</w:t>
      </w:r>
      <w:r w:rsidR="00A65820">
        <w:rPr>
          <w:b w:val="0"/>
          <w:sz w:val="22"/>
          <w:lang w:val="en-US"/>
        </w:rPr>
        <w:t xml:space="preserve">, </w:t>
      </w:r>
      <w:r>
        <w:rPr>
          <w:b w:val="0"/>
          <w:sz w:val="22"/>
          <w:lang w:val="en-US"/>
        </w:rPr>
        <w:t>there were intensive discussions on the clarification of schemes for UE capability 2, and the summary of outcome is as below:</w:t>
      </w:r>
    </w:p>
    <w:p w14:paraId="2F9E5900" w14:textId="5211220C" w:rsidR="00B56D08" w:rsidRPr="00B56D08" w:rsidRDefault="00B56D08" w:rsidP="00CF6651">
      <w:pPr>
        <w:pStyle w:val="LGTdoc1"/>
        <w:numPr>
          <w:ilvl w:val="0"/>
          <w:numId w:val="26"/>
        </w:numPr>
        <w:snapToGrid/>
        <w:spacing w:beforeLines="0" w:before="100" w:beforeAutospacing="1"/>
        <w:ind w:hanging="403"/>
        <w:contextualSpacing/>
        <w:rPr>
          <w:rFonts w:eastAsiaTheme="minorEastAsia"/>
          <w:b w:val="0"/>
          <w:snapToGrid/>
          <w:sz w:val="20"/>
          <w:lang w:eastAsia="en-US"/>
        </w:rPr>
      </w:pPr>
      <w:r w:rsidRPr="00B56D08">
        <w:rPr>
          <w:rFonts w:eastAsiaTheme="minorEastAsia"/>
          <w:b w:val="0"/>
          <w:snapToGrid/>
          <w:sz w:val="20"/>
          <w:lang w:eastAsia="en-US"/>
        </w:rPr>
        <w:t>Alt1: Option1-1 (Support a new codebookSubset for non-coherent and partial-coherent transmission capable UEs, e.g. for 2Tx the new codeboookSubset is all non-antenna selection TPMIs or with only TPMI [1 1] for rank 1)</w:t>
      </w:r>
    </w:p>
    <w:p w14:paraId="23C5407A" w14:textId="77777777" w:rsidR="00B56D08" w:rsidRPr="00B56D08" w:rsidRDefault="00B56D08" w:rsidP="00CF6651">
      <w:pPr>
        <w:pStyle w:val="a6"/>
        <w:numPr>
          <w:ilvl w:val="1"/>
          <w:numId w:val="27"/>
        </w:numPr>
        <w:spacing w:after="0"/>
        <w:ind w:leftChars="0" w:hanging="403"/>
        <w:contextualSpacing/>
        <w:rPr>
          <w:sz w:val="20"/>
        </w:rPr>
      </w:pPr>
      <w:r w:rsidRPr="00B56D08">
        <w:rPr>
          <w:rFonts w:eastAsiaTheme="minorEastAsia"/>
          <w:sz w:val="20"/>
        </w:rPr>
        <w:t>Small delay CDD, if applied, is transparent to RAN1 specification</w:t>
      </w:r>
    </w:p>
    <w:p w14:paraId="614751D3" w14:textId="77777777" w:rsidR="00B56D08" w:rsidRPr="00B56D08" w:rsidRDefault="00B56D08" w:rsidP="00CF6651">
      <w:pPr>
        <w:pStyle w:val="a6"/>
        <w:numPr>
          <w:ilvl w:val="1"/>
          <w:numId w:val="27"/>
        </w:numPr>
        <w:spacing w:after="0"/>
        <w:ind w:leftChars="0" w:hanging="403"/>
        <w:contextualSpacing/>
        <w:rPr>
          <w:sz w:val="20"/>
        </w:rPr>
      </w:pPr>
      <w:r w:rsidRPr="00B56D08">
        <w:rPr>
          <w:rFonts w:eastAsiaTheme="minorEastAsia"/>
          <w:sz w:val="20"/>
        </w:rPr>
        <w:t xml:space="preserve">A new codebookSubset is introduced only for the rank value(s) where full power transmission in UL is not achievable, includes the TPMI precoders in </w:t>
      </w:r>
      <w:r w:rsidRPr="00B56D08">
        <w:rPr>
          <w:i/>
          <w:sz w:val="20"/>
        </w:rPr>
        <w:t>codebookSubset</w:t>
      </w:r>
      <w:r w:rsidRPr="00B56D08">
        <w:rPr>
          <w:sz w:val="20"/>
        </w:rPr>
        <w:t xml:space="preserve"> = </w:t>
      </w:r>
      <w:r w:rsidRPr="00B56D08">
        <w:rPr>
          <w:i/>
          <w:sz w:val="20"/>
        </w:rPr>
        <w:t>partialAndNonCoherent</w:t>
      </w:r>
      <w:r w:rsidRPr="00B56D08">
        <w:rPr>
          <w:rFonts w:eastAsiaTheme="minorEastAsia"/>
          <w:sz w:val="20"/>
        </w:rPr>
        <w:t xml:space="preserve"> and </w:t>
      </w:r>
      <w:r w:rsidRPr="00B56D08">
        <w:rPr>
          <w:i/>
          <w:sz w:val="20"/>
        </w:rPr>
        <w:t xml:space="preserve">fullyAndPartialAndNonCoherent </w:t>
      </w:r>
      <w:r w:rsidRPr="00B56D08">
        <w:rPr>
          <w:rFonts w:eastAsiaTheme="minorEastAsia"/>
          <w:sz w:val="20"/>
        </w:rPr>
        <w:t>defined in Rel-15</w:t>
      </w:r>
    </w:p>
    <w:p w14:paraId="081AECC3" w14:textId="77777777" w:rsidR="00B56D08" w:rsidRPr="00B56D08" w:rsidRDefault="00B56D08" w:rsidP="00CF6651">
      <w:pPr>
        <w:pStyle w:val="a6"/>
        <w:numPr>
          <w:ilvl w:val="2"/>
          <w:numId w:val="25"/>
        </w:numPr>
        <w:spacing w:after="0"/>
        <w:ind w:leftChars="0" w:hanging="403"/>
        <w:contextualSpacing/>
        <w:rPr>
          <w:sz w:val="20"/>
        </w:rPr>
      </w:pPr>
      <w:r w:rsidRPr="00B56D08">
        <w:rPr>
          <w:rFonts w:eastAsiaTheme="minorEastAsia"/>
          <w:sz w:val="20"/>
        </w:rPr>
        <w:t>Alt1: Only a subset of the non-antenna selection TPMI precoder(s) is(are) supported</w:t>
      </w:r>
    </w:p>
    <w:p w14:paraId="13392A80" w14:textId="274A217B" w:rsidR="00B56D08" w:rsidRPr="00B56D08" w:rsidRDefault="00B56D08" w:rsidP="00CF6651">
      <w:pPr>
        <w:pStyle w:val="a6"/>
        <w:numPr>
          <w:ilvl w:val="2"/>
          <w:numId w:val="25"/>
        </w:numPr>
        <w:spacing w:after="0"/>
        <w:ind w:leftChars="0" w:hanging="403"/>
        <w:contextualSpacing/>
        <w:rPr>
          <w:sz w:val="20"/>
        </w:rPr>
      </w:pPr>
      <w:r w:rsidRPr="00B56D08">
        <w:rPr>
          <w:rFonts w:eastAsiaTheme="minorEastAsia"/>
          <w:sz w:val="20"/>
        </w:rPr>
        <w:t>Alt2: All of the non-antenna selection TPMI precoders are supported</w:t>
      </w:r>
    </w:p>
    <w:p w14:paraId="290E0FD1" w14:textId="5EE178DF" w:rsidR="00B56D08" w:rsidRPr="00B56D08" w:rsidRDefault="00B56D08" w:rsidP="00CF6651">
      <w:pPr>
        <w:pStyle w:val="LGTdoc1"/>
        <w:numPr>
          <w:ilvl w:val="0"/>
          <w:numId w:val="26"/>
        </w:numPr>
        <w:snapToGrid/>
        <w:spacing w:beforeLines="0" w:before="100" w:beforeAutospacing="1"/>
        <w:contextualSpacing/>
        <w:rPr>
          <w:rFonts w:eastAsiaTheme="minorEastAsia"/>
          <w:b w:val="0"/>
          <w:snapToGrid/>
          <w:sz w:val="20"/>
          <w:lang w:eastAsia="en-US"/>
        </w:rPr>
      </w:pPr>
      <w:r w:rsidRPr="00B56D08">
        <w:rPr>
          <w:rFonts w:eastAsiaTheme="minorEastAsia"/>
          <w:b w:val="0"/>
          <w:snapToGrid/>
          <w:sz w:val="20"/>
          <w:lang w:eastAsia="en-US"/>
        </w:rPr>
        <w:t>Alt3-1: Option3+Option2 (Multiple SRS resources with different number of SRS port(s) in each resource)</w:t>
      </w:r>
    </w:p>
    <w:p w14:paraId="65B85F19" w14:textId="77777777" w:rsidR="00B56D08" w:rsidRDefault="00B56D08" w:rsidP="00CF6651">
      <w:pPr>
        <w:pStyle w:val="a6"/>
        <w:numPr>
          <w:ilvl w:val="1"/>
          <w:numId w:val="28"/>
        </w:numPr>
        <w:spacing w:after="0"/>
        <w:ind w:leftChars="0"/>
        <w:contextualSpacing/>
        <w:rPr>
          <w:rFonts w:eastAsiaTheme="minorEastAsia"/>
          <w:sz w:val="20"/>
        </w:rPr>
      </w:pPr>
      <w:r>
        <w:rPr>
          <w:rFonts w:eastAsiaTheme="minorEastAsia"/>
          <w:sz w:val="20"/>
        </w:rPr>
        <w:lastRenderedPageBreak/>
        <w:t>UE is configured with m</w:t>
      </w:r>
      <w:r w:rsidRPr="00AB2F0D">
        <w:rPr>
          <w:rFonts w:eastAsiaTheme="minorEastAsia" w:hint="eastAsia"/>
          <w:sz w:val="20"/>
        </w:rPr>
        <w:t>ultiple SRS</w:t>
      </w:r>
      <w:r w:rsidRPr="00AB2F0D">
        <w:rPr>
          <w:rFonts w:eastAsiaTheme="minorEastAsia"/>
          <w:sz w:val="20"/>
        </w:rPr>
        <w:t xml:space="preserve"> resources in a set </w:t>
      </w:r>
      <w:r>
        <w:rPr>
          <w:rFonts w:eastAsiaTheme="minorEastAsia"/>
          <w:sz w:val="20"/>
        </w:rPr>
        <w:t>each with different number of SRS ports, e.g. 1 SRS source is configured with 1 port and another SRS resource is configured with 2 ports for the UE with 2 Tx chains.</w:t>
      </w:r>
    </w:p>
    <w:p w14:paraId="6D2530D3" w14:textId="77777777" w:rsidR="00B56D08" w:rsidRPr="00B56D08" w:rsidRDefault="00B56D08" w:rsidP="00CF6651">
      <w:pPr>
        <w:pStyle w:val="a6"/>
        <w:numPr>
          <w:ilvl w:val="0"/>
          <w:numId w:val="29"/>
        </w:numPr>
        <w:spacing w:after="0"/>
        <w:ind w:leftChars="0"/>
        <w:contextualSpacing/>
        <w:rPr>
          <w:sz w:val="20"/>
          <w:lang w:eastAsia="x-none"/>
        </w:rPr>
      </w:pPr>
      <w:r w:rsidRPr="00B56D08">
        <w:rPr>
          <w:rFonts w:eastAsiaTheme="minorEastAsia"/>
          <w:sz w:val="20"/>
        </w:rPr>
        <w:t>UE virtualizes Tx chains when configured with an SRS resource that has fewer ports than the number of Tx chains, e.g. 2 Tx chains are virtualized to transmit 1 port SRS resource</w:t>
      </w:r>
    </w:p>
    <w:p w14:paraId="46CEFA53" w14:textId="77777777" w:rsidR="00B56D08" w:rsidRPr="00FD4160" w:rsidRDefault="00B56D08" w:rsidP="00CF6651">
      <w:pPr>
        <w:pStyle w:val="a6"/>
        <w:numPr>
          <w:ilvl w:val="3"/>
          <w:numId w:val="31"/>
        </w:numPr>
        <w:spacing w:after="0"/>
        <w:ind w:leftChars="0"/>
        <w:contextualSpacing/>
        <w:rPr>
          <w:sz w:val="20"/>
          <w:lang w:eastAsia="x-none"/>
        </w:rPr>
      </w:pPr>
      <w:r>
        <w:rPr>
          <w:sz w:val="20"/>
          <w:lang w:eastAsia="x-none"/>
        </w:rPr>
        <w:t>Small delay CDD or other virtualization mechanism is applied in spec transparent manner</w:t>
      </w:r>
    </w:p>
    <w:p w14:paraId="0D661CBE" w14:textId="77777777" w:rsidR="00B56D08" w:rsidRPr="00B56D08" w:rsidRDefault="00B56D08" w:rsidP="00CF6651">
      <w:pPr>
        <w:pStyle w:val="a6"/>
        <w:numPr>
          <w:ilvl w:val="0"/>
          <w:numId w:val="30"/>
        </w:numPr>
        <w:spacing w:after="0"/>
        <w:ind w:leftChars="0"/>
        <w:contextualSpacing/>
        <w:rPr>
          <w:sz w:val="20"/>
          <w:lang w:eastAsia="x-none"/>
        </w:rPr>
      </w:pPr>
      <w:r w:rsidRPr="00B56D08">
        <w:rPr>
          <w:sz w:val="20"/>
          <w:lang w:eastAsia="x-none"/>
        </w:rPr>
        <w:t>UE does not virtualize Tx chains when configured with an SRS resource with number of ports equal to the number of Tx chains, e.g. 2 Tx chains transmit 2 ports SRS resource.</w:t>
      </w:r>
    </w:p>
    <w:p w14:paraId="71972ACF" w14:textId="58C3AC5D" w:rsidR="00B56D08" w:rsidRPr="00B56D08" w:rsidRDefault="00B56D08" w:rsidP="00CF6651">
      <w:pPr>
        <w:pStyle w:val="a6"/>
        <w:spacing w:after="0"/>
        <w:ind w:leftChars="0" w:left="1530"/>
        <w:contextualSpacing/>
        <w:rPr>
          <w:sz w:val="20"/>
        </w:rPr>
      </w:pPr>
    </w:p>
    <w:p w14:paraId="4F5230EC" w14:textId="52C8A021" w:rsidR="00B56D08" w:rsidRPr="00B56D08" w:rsidRDefault="00B56D08" w:rsidP="00CF6651">
      <w:pPr>
        <w:pStyle w:val="a6"/>
        <w:numPr>
          <w:ilvl w:val="0"/>
          <w:numId w:val="26"/>
        </w:numPr>
        <w:spacing w:before="100" w:beforeAutospacing="1"/>
        <w:ind w:leftChars="0" w:hanging="403"/>
        <w:contextualSpacing/>
        <w:rPr>
          <w:rFonts w:eastAsiaTheme="minorEastAsia"/>
          <w:sz w:val="20"/>
        </w:rPr>
      </w:pPr>
      <w:r w:rsidRPr="00B56D08">
        <w:rPr>
          <w:rFonts w:eastAsiaTheme="minorEastAsia"/>
          <w:sz w:val="20"/>
        </w:rPr>
        <w:t>Alt3-2: Option3+Option2+ Option1-1 (Multiple SRS resources with different number of SRS port(s) in each resource)</w:t>
      </w:r>
    </w:p>
    <w:p w14:paraId="1FE1E1D3" w14:textId="77777777" w:rsidR="00B56D08" w:rsidRPr="00880709" w:rsidRDefault="00B56D08" w:rsidP="00CF6651">
      <w:pPr>
        <w:pStyle w:val="a6"/>
        <w:numPr>
          <w:ilvl w:val="1"/>
          <w:numId w:val="2"/>
        </w:numPr>
        <w:spacing w:after="0"/>
        <w:ind w:leftChars="0"/>
        <w:contextualSpacing/>
        <w:rPr>
          <w:rFonts w:eastAsiaTheme="minorEastAsia"/>
          <w:sz w:val="20"/>
        </w:rPr>
      </w:pPr>
      <w:r>
        <w:rPr>
          <w:rFonts w:eastAsiaTheme="minorEastAsia"/>
          <w:sz w:val="20"/>
        </w:rPr>
        <w:t>UE is configured with</w:t>
      </w:r>
      <w:r w:rsidRPr="00880709">
        <w:rPr>
          <w:rFonts w:eastAsiaTheme="minorEastAsia"/>
          <w:sz w:val="20"/>
        </w:rPr>
        <w:t xml:space="preserve"> one SRS resource (</w:t>
      </w:r>
      <w:r>
        <w:rPr>
          <w:rFonts w:eastAsiaTheme="minorEastAsia"/>
          <w:sz w:val="20"/>
        </w:rPr>
        <w:t xml:space="preserve">without </w:t>
      </w:r>
      <w:r w:rsidRPr="00880709">
        <w:rPr>
          <w:rFonts w:eastAsiaTheme="minorEastAsia"/>
          <w:sz w:val="20"/>
        </w:rPr>
        <w:t>virtualiz</w:t>
      </w:r>
      <w:r>
        <w:rPr>
          <w:rFonts w:eastAsiaTheme="minorEastAsia"/>
          <w:sz w:val="20"/>
        </w:rPr>
        <w:t>ation</w:t>
      </w:r>
      <w:r w:rsidRPr="00880709">
        <w:rPr>
          <w:rFonts w:eastAsiaTheme="minorEastAsia"/>
          <w:sz w:val="20"/>
        </w:rPr>
        <w:t>)</w:t>
      </w:r>
    </w:p>
    <w:p w14:paraId="37A12622" w14:textId="77777777" w:rsidR="00B56D08" w:rsidRPr="00880709" w:rsidRDefault="00B56D08" w:rsidP="00CF6651">
      <w:pPr>
        <w:pStyle w:val="a6"/>
        <w:numPr>
          <w:ilvl w:val="1"/>
          <w:numId w:val="2"/>
        </w:numPr>
        <w:spacing w:after="0"/>
        <w:ind w:leftChars="0"/>
        <w:contextualSpacing/>
        <w:rPr>
          <w:rFonts w:eastAsiaTheme="minorEastAsia"/>
          <w:sz w:val="20"/>
        </w:rPr>
      </w:pPr>
      <w:r w:rsidRPr="00880709">
        <w:rPr>
          <w:rFonts w:eastAsiaTheme="minorEastAsia"/>
          <w:sz w:val="20"/>
        </w:rPr>
        <w:t>gNB can configure the UE to use a subset of TPMIs that combine ports in a layer to produce full power transmission.</w:t>
      </w:r>
    </w:p>
    <w:p w14:paraId="3C40AEF5" w14:textId="77777777" w:rsidR="00B56D08" w:rsidRPr="003E39F0" w:rsidRDefault="00B56D08" w:rsidP="00CF6651">
      <w:pPr>
        <w:pStyle w:val="a6"/>
        <w:numPr>
          <w:ilvl w:val="1"/>
          <w:numId w:val="32"/>
        </w:numPr>
        <w:spacing w:after="0"/>
        <w:ind w:leftChars="0"/>
        <w:contextualSpacing/>
        <w:rPr>
          <w:sz w:val="20"/>
          <w:lang w:eastAsia="x-none"/>
        </w:rPr>
      </w:pPr>
      <w:r>
        <w:rPr>
          <w:rFonts w:eastAsiaTheme="minorEastAsia"/>
          <w:sz w:val="20"/>
        </w:rPr>
        <w:t>A</w:t>
      </w:r>
      <w:r>
        <w:rPr>
          <w:rFonts w:eastAsiaTheme="minorEastAsia" w:hint="eastAsia"/>
          <w:sz w:val="20"/>
        </w:rPr>
        <w:t xml:space="preserve"> </w:t>
      </w:r>
      <w:r>
        <w:rPr>
          <w:rFonts w:eastAsiaTheme="minorEastAsia"/>
          <w:sz w:val="20"/>
        </w:rPr>
        <w:t xml:space="preserve">new codebookSubset is introduced only for the rank value(s) where full power transmission in UL is not achievable, includes the TPMI precoders in </w:t>
      </w:r>
      <w:r w:rsidRPr="00CE15E4">
        <w:rPr>
          <w:i/>
          <w:sz w:val="20"/>
        </w:rPr>
        <w:t>codebookSubset</w:t>
      </w:r>
      <w:r w:rsidRPr="00CE15E4">
        <w:rPr>
          <w:rFonts w:hint="eastAsia"/>
          <w:sz w:val="20"/>
        </w:rPr>
        <w:t xml:space="preserve"> = </w:t>
      </w:r>
      <w:r w:rsidRPr="00CE15E4">
        <w:rPr>
          <w:i/>
          <w:sz w:val="20"/>
        </w:rPr>
        <w:t>partialAndNonCoherent</w:t>
      </w:r>
      <w:r w:rsidRPr="00CE15E4">
        <w:rPr>
          <w:rFonts w:eastAsiaTheme="minorEastAsia"/>
          <w:sz w:val="20"/>
        </w:rPr>
        <w:t xml:space="preserve"> and </w:t>
      </w:r>
      <w:r w:rsidRPr="00CE15E4">
        <w:rPr>
          <w:i/>
          <w:sz w:val="20"/>
        </w:rPr>
        <w:t>fullyAndPartialAndNonCoherent</w:t>
      </w:r>
      <w:r>
        <w:rPr>
          <w:i/>
          <w:sz w:val="20"/>
        </w:rPr>
        <w:t xml:space="preserve"> </w:t>
      </w:r>
      <w:r w:rsidRPr="00986C37">
        <w:rPr>
          <w:rFonts w:eastAsiaTheme="minorEastAsia"/>
          <w:sz w:val="20"/>
        </w:rPr>
        <w:t>defined in Rel-15</w:t>
      </w:r>
    </w:p>
    <w:p w14:paraId="1884C738" w14:textId="77777777" w:rsidR="00B56D08" w:rsidRPr="00CE15E4" w:rsidRDefault="00B56D08" w:rsidP="00CF6651">
      <w:pPr>
        <w:pStyle w:val="a6"/>
        <w:numPr>
          <w:ilvl w:val="2"/>
          <w:numId w:val="32"/>
        </w:numPr>
        <w:spacing w:after="0"/>
        <w:ind w:leftChars="0"/>
        <w:contextualSpacing/>
        <w:rPr>
          <w:sz w:val="20"/>
        </w:rPr>
      </w:pPr>
      <w:r>
        <w:rPr>
          <w:rFonts w:eastAsiaTheme="minorEastAsia"/>
          <w:sz w:val="20"/>
        </w:rPr>
        <w:t xml:space="preserve">Alt1: Only a subset of the </w:t>
      </w:r>
      <w:r>
        <w:rPr>
          <w:rFonts w:eastAsiaTheme="minorEastAsia" w:hint="eastAsia"/>
          <w:sz w:val="20"/>
        </w:rPr>
        <w:t xml:space="preserve">non-antenna selection </w:t>
      </w:r>
      <w:r>
        <w:rPr>
          <w:rFonts w:eastAsiaTheme="minorEastAsia"/>
          <w:sz w:val="20"/>
        </w:rPr>
        <w:t>TPMI precoder(s) is(are) supported</w:t>
      </w:r>
    </w:p>
    <w:p w14:paraId="38DB7D7F" w14:textId="77777777" w:rsidR="00B56D08" w:rsidRPr="00A177BA" w:rsidRDefault="00B56D08" w:rsidP="00CF6651">
      <w:pPr>
        <w:pStyle w:val="a6"/>
        <w:numPr>
          <w:ilvl w:val="2"/>
          <w:numId w:val="32"/>
        </w:numPr>
        <w:spacing w:after="0"/>
        <w:ind w:leftChars="0"/>
        <w:contextualSpacing/>
        <w:rPr>
          <w:sz w:val="20"/>
        </w:rPr>
      </w:pPr>
      <w:r>
        <w:rPr>
          <w:rFonts w:eastAsiaTheme="minorEastAsia"/>
          <w:sz w:val="20"/>
        </w:rPr>
        <w:t xml:space="preserve">Alt2: All of the </w:t>
      </w:r>
      <w:r>
        <w:rPr>
          <w:rFonts w:eastAsiaTheme="minorEastAsia" w:hint="eastAsia"/>
          <w:sz w:val="20"/>
        </w:rPr>
        <w:t xml:space="preserve">non-antenna selection </w:t>
      </w:r>
      <w:r>
        <w:rPr>
          <w:rFonts w:eastAsiaTheme="minorEastAsia"/>
          <w:sz w:val="20"/>
        </w:rPr>
        <w:t>TPMI precoders are supported</w:t>
      </w:r>
    </w:p>
    <w:p w14:paraId="576A35EB" w14:textId="77777777" w:rsidR="00B56D08" w:rsidRPr="0018715C" w:rsidRDefault="00B56D08" w:rsidP="00CF6651">
      <w:pPr>
        <w:pStyle w:val="a6"/>
        <w:numPr>
          <w:ilvl w:val="1"/>
          <w:numId w:val="32"/>
        </w:numPr>
        <w:spacing w:after="0"/>
        <w:ind w:leftChars="0"/>
        <w:contextualSpacing/>
        <w:rPr>
          <w:sz w:val="20"/>
          <w:lang w:eastAsia="x-none"/>
        </w:rPr>
      </w:pPr>
      <w:r w:rsidRPr="0018715C">
        <w:rPr>
          <w:sz w:val="20"/>
          <w:lang w:eastAsia="x-none"/>
        </w:rPr>
        <w:t>A different SRS port is transmitted on each Tx chain</w:t>
      </w:r>
      <w:r>
        <w:rPr>
          <w:sz w:val="20"/>
          <w:lang w:eastAsia="x-none"/>
        </w:rPr>
        <w:t xml:space="preserve"> (small delay CDD maybe transparently applied)</w:t>
      </w:r>
    </w:p>
    <w:p w14:paraId="20A36ED6" w14:textId="77777777" w:rsidR="00B56D08" w:rsidRDefault="00B56D08" w:rsidP="00CF6651">
      <w:pPr>
        <w:pStyle w:val="a6"/>
        <w:numPr>
          <w:ilvl w:val="1"/>
          <w:numId w:val="32"/>
        </w:numPr>
        <w:spacing w:after="0"/>
        <w:ind w:leftChars="0"/>
        <w:contextualSpacing/>
        <w:rPr>
          <w:sz w:val="20"/>
          <w:lang w:eastAsia="x-none"/>
        </w:rPr>
      </w:pPr>
      <w:r w:rsidRPr="00880709">
        <w:rPr>
          <w:sz w:val="20"/>
          <w:lang w:eastAsia="x-none"/>
        </w:rPr>
        <w:t>gNB can coherently combine channel estimates from SRS according to TPMI when determining CQI/TPMI/RI</w:t>
      </w:r>
    </w:p>
    <w:p w14:paraId="046AF84C" w14:textId="1086D68F" w:rsidR="00B56D08" w:rsidRPr="00B56D08" w:rsidRDefault="00B56D08" w:rsidP="00CF6651">
      <w:pPr>
        <w:pStyle w:val="a6"/>
        <w:spacing w:after="0"/>
        <w:ind w:leftChars="0" w:left="1530"/>
        <w:contextualSpacing/>
        <w:rPr>
          <w:sz w:val="20"/>
        </w:rPr>
      </w:pPr>
    </w:p>
    <w:p w14:paraId="390FD967" w14:textId="77777777" w:rsidR="00DF1125" w:rsidRDefault="00DF1125" w:rsidP="00CF6651">
      <w:pPr>
        <w:widowControl/>
        <w:numPr>
          <w:ilvl w:val="0"/>
          <w:numId w:val="2"/>
        </w:numPr>
        <w:wordWrap/>
        <w:autoSpaceDE/>
        <w:autoSpaceDN/>
        <w:spacing w:after="0" w:line="240" w:lineRule="auto"/>
        <w:ind w:left="720" w:hanging="320"/>
        <w:contextualSpacing/>
        <w:jc w:val="left"/>
        <w:rPr>
          <w:sz w:val="20"/>
          <w:szCs w:val="20"/>
          <w:lang w:eastAsia="x-none"/>
        </w:rPr>
      </w:pPr>
      <w:r w:rsidRPr="00F72415">
        <w:rPr>
          <w:sz w:val="20"/>
          <w:szCs w:val="20"/>
          <w:lang w:eastAsia="x-none"/>
        </w:rPr>
        <w:t>Alt5: FDM multi-port simultaneous transmission</w:t>
      </w:r>
    </w:p>
    <w:p w14:paraId="106C098C" w14:textId="77777777" w:rsidR="00DF1125" w:rsidRDefault="00DF1125" w:rsidP="00CF6651">
      <w:pPr>
        <w:pStyle w:val="a6"/>
        <w:numPr>
          <w:ilvl w:val="1"/>
          <w:numId w:val="2"/>
        </w:numPr>
        <w:spacing w:after="0"/>
        <w:ind w:leftChars="0"/>
        <w:contextualSpacing/>
        <w:rPr>
          <w:rFonts w:eastAsiaTheme="minorEastAsia"/>
          <w:sz w:val="20"/>
        </w:rPr>
      </w:pPr>
      <w:r>
        <w:rPr>
          <w:sz w:val="20"/>
          <w:lang w:eastAsia="x-none"/>
        </w:rPr>
        <w:t>The scheduled RBs are divided into several RB sets, each of which is associated with a respective antenna port or antenna port set (ports of which should be coherent)</w:t>
      </w:r>
    </w:p>
    <w:p w14:paraId="1BB6F164" w14:textId="77777777" w:rsidR="00DF1125" w:rsidRPr="00D30320" w:rsidRDefault="00DF1125" w:rsidP="00CF6651">
      <w:pPr>
        <w:pStyle w:val="a6"/>
        <w:numPr>
          <w:ilvl w:val="2"/>
          <w:numId w:val="2"/>
        </w:numPr>
        <w:spacing w:after="0"/>
        <w:ind w:leftChars="0"/>
        <w:contextualSpacing/>
        <w:rPr>
          <w:rFonts w:eastAsiaTheme="minorEastAsia"/>
          <w:sz w:val="20"/>
        </w:rPr>
      </w:pPr>
      <w:r>
        <w:rPr>
          <w:sz w:val="20"/>
          <w:lang w:eastAsia="x-none"/>
        </w:rPr>
        <w:t>E.g., four PRBs are allocated to the UE for one layer PUSCH transmission. UE only use antenna port 0 for PUSCH transmission in PRB#0 and PRB#1, while only use antenna port 1 for PUSCH transmission in PRB#2 and PRB#3. It also could be considered as that precoding matrix [1, 0] is applied for PRB#0 and PRB#1 while precoding matrix [0, 1] is applied for PRB#2 and PRB#3.</w:t>
      </w:r>
    </w:p>
    <w:p w14:paraId="54573F47" w14:textId="77777777" w:rsidR="00DF1125" w:rsidRPr="00D30320" w:rsidRDefault="00DF1125" w:rsidP="00CF6651">
      <w:pPr>
        <w:pStyle w:val="a6"/>
        <w:numPr>
          <w:ilvl w:val="1"/>
          <w:numId w:val="2"/>
        </w:numPr>
        <w:spacing w:after="0"/>
        <w:ind w:leftChars="0"/>
        <w:contextualSpacing/>
        <w:rPr>
          <w:sz w:val="20"/>
          <w:lang w:eastAsia="x-none"/>
        </w:rPr>
      </w:pPr>
      <w:r w:rsidRPr="00D30320">
        <w:rPr>
          <w:sz w:val="20"/>
          <w:lang w:eastAsia="x-none"/>
        </w:rPr>
        <w:t>This is applicable to both CP-OFDM and DFT-s-OFDM</w:t>
      </w:r>
    </w:p>
    <w:p w14:paraId="3223583E" w14:textId="77777777" w:rsidR="00DF1125" w:rsidRPr="00D30320" w:rsidRDefault="00DF1125" w:rsidP="00CF6651">
      <w:pPr>
        <w:pStyle w:val="a6"/>
        <w:numPr>
          <w:ilvl w:val="2"/>
          <w:numId w:val="2"/>
        </w:numPr>
        <w:spacing w:after="0"/>
        <w:ind w:leftChars="0"/>
        <w:contextualSpacing/>
        <w:rPr>
          <w:sz w:val="20"/>
          <w:lang w:eastAsia="x-none"/>
        </w:rPr>
      </w:pPr>
      <w:r w:rsidRPr="00D30320">
        <w:rPr>
          <w:sz w:val="20"/>
          <w:lang w:eastAsia="x-none"/>
        </w:rPr>
        <w:t>For DFT-s-OFDM, one DFT is applied to one RB set</w:t>
      </w:r>
    </w:p>
    <w:p w14:paraId="10FD0703" w14:textId="77777777" w:rsidR="00DF1125" w:rsidRPr="00D30320" w:rsidRDefault="00DF1125" w:rsidP="00CF6651">
      <w:pPr>
        <w:pStyle w:val="a6"/>
        <w:numPr>
          <w:ilvl w:val="1"/>
          <w:numId w:val="2"/>
        </w:numPr>
        <w:spacing w:after="0"/>
        <w:ind w:leftChars="0"/>
        <w:contextualSpacing/>
        <w:rPr>
          <w:sz w:val="20"/>
          <w:lang w:eastAsia="x-none"/>
        </w:rPr>
      </w:pPr>
      <w:r w:rsidRPr="00D30320">
        <w:rPr>
          <w:sz w:val="20"/>
          <w:lang w:eastAsia="x-none"/>
        </w:rPr>
        <w:t>This does not have spec impact on PRB bundling</w:t>
      </w:r>
    </w:p>
    <w:p w14:paraId="5602B250" w14:textId="77777777" w:rsidR="00DF1125" w:rsidRPr="00D30320" w:rsidRDefault="00DF1125" w:rsidP="00CF6651">
      <w:pPr>
        <w:pStyle w:val="a6"/>
        <w:numPr>
          <w:ilvl w:val="1"/>
          <w:numId w:val="2"/>
        </w:numPr>
        <w:spacing w:after="0"/>
        <w:ind w:leftChars="0"/>
        <w:contextualSpacing/>
        <w:rPr>
          <w:sz w:val="20"/>
          <w:lang w:eastAsia="x-none"/>
        </w:rPr>
      </w:pPr>
      <w:r w:rsidRPr="00D30320">
        <w:rPr>
          <w:sz w:val="20"/>
          <w:lang w:eastAsia="x-none"/>
        </w:rPr>
        <w:t>The minimal size of a RB set is 1 RB</w:t>
      </w:r>
    </w:p>
    <w:p w14:paraId="7B67E1AB" w14:textId="10884F72" w:rsidR="00F81399" w:rsidRDefault="00E378EE" w:rsidP="007D0144">
      <w:pPr>
        <w:pStyle w:val="LGTdoc1"/>
        <w:snapToGrid/>
        <w:spacing w:beforeLines="0" w:before="100" w:beforeAutospacing="1" w:line="360" w:lineRule="auto"/>
        <w:ind w:firstLineChars="100" w:firstLine="220"/>
        <w:contextualSpacing/>
        <w:rPr>
          <w:b w:val="0"/>
          <w:sz w:val="22"/>
          <w:lang w:val="en-US"/>
        </w:rPr>
      </w:pPr>
      <w:r>
        <w:rPr>
          <w:b w:val="0"/>
          <w:sz w:val="22"/>
          <w:lang w:val="en-US"/>
        </w:rPr>
        <w:t>Alt 1</w:t>
      </w:r>
      <w:r w:rsidR="00044E04" w:rsidRPr="00987B8F">
        <w:rPr>
          <w:b w:val="0"/>
          <w:sz w:val="22"/>
          <w:lang w:val="en-US"/>
        </w:rPr>
        <w:t xml:space="preserve"> is supporting new codebook subset restriction</w:t>
      </w:r>
      <w:r w:rsidR="00946FE9" w:rsidRPr="00987B8F">
        <w:rPr>
          <w:b w:val="0"/>
          <w:sz w:val="22"/>
          <w:lang w:val="en-US"/>
        </w:rPr>
        <w:t xml:space="preserve"> that allows UEs with </w:t>
      </w:r>
      <w:r w:rsidR="00044E04" w:rsidRPr="00987B8F">
        <w:rPr>
          <w:b w:val="0"/>
          <w:sz w:val="22"/>
          <w:lang w:val="en-US"/>
        </w:rPr>
        <w:t xml:space="preserve">the non-coherent </w:t>
      </w:r>
      <w:r w:rsidR="00946FE9" w:rsidRPr="00987B8F">
        <w:rPr>
          <w:b w:val="0"/>
          <w:sz w:val="22"/>
          <w:lang w:val="en-US"/>
        </w:rPr>
        <w:t xml:space="preserve">or </w:t>
      </w:r>
      <w:r w:rsidR="00044E04" w:rsidRPr="00987B8F">
        <w:rPr>
          <w:b w:val="0"/>
          <w:sz w:val="22"/>
          <w:lang w:val="en-US"/>
        </w:rPr>
        <w:t xml:space="preserve">partial coherent </w:t>
      </w:r>
      <w:r w:rsidR="00946FE9" w:rsidRPr="00987B8F">
        <w:rPr>
          <w:b w:val="0"/>
          <w:sz w:val="22"/>
          <w:lang w:val="en-US"/>
        </w:rPr>
        <w:t>tra</w:t>
      </w:r>
      <w:r w:rsidR="009D41A6">
        <w:rPr>
          <w:b w:val="0"/>
          <w:sz w:val="22"/>
          <w:lang w:val="en-US"/>
        </w:rPr>
        <w:t xml:space="preserve">nsmission capability to use all or part of </w:t>
      </w:r>
      <w:r w:rsidR="00946FE9" w:rsidRPr="00987B8F">
        <w:rPr>
          <w:b w:val="0"/>
          <w:sz w:val="22"/>
          <w:lang w:val="en-US"/>
        </w:rPr>
        <w:t>full</w:t>
      </w:r>
      <w:r w:rsidR="00F81399" w:rsidRPr="00987B8F">
        <w:rPr>
          <w:b w:val="0"/>
          <w:sz w:val="22"/>
          <w:lang w:val="en-US"/>
        </w:rPr>
        <w:t>y</w:t>
      </w:r>
      <w:r w:rsidR="00946FE9" w:rsidRPr="00987B8F">
        <w:rPr>
          <w:b w:val="0"/>
          <w:sz w:val="22"/>
          <w:lang w:val="en-US"/>
        </w:rPr>
        <w:t xml:space="preserve"> coherent TPMIs.</w:t>
      </w:r>
      <w:r>
        <w:rPr>
          <w:b w:val="0"/>
          <w:sz w:val="22"/>
          <w:lang w:val="en-US"/>
        </w:rPr>
        <w:t xml:space="preserve"> </w:t>
      </w:r>
      <w:r w:rsidR="00946FE9" w:rsidRPr="00987B8F">
        <w:rPr>
          <w:b w:val="0"/>
          <w:sz w:val="22"/>
          <w:lang w:val="en-US"/>
        </w:rPr>
        <w:t xml:space="preserve">In this way, </w:t>
      </w:r>
      <w:r w:rsidR="003E4034" w:rsidRPr="00987B8F">
        <w:rPr>
          <w:b w:val="0"/>
          <w:sz w:val="22"/>
          <w:lang w:val="en-US"/>
        </w:rPr>
        <w:t xml:space="preserve">full transmit power </w:t>
      </w:r>
      <w:r w:rsidR="00C668F3" w:rsidRPr="00987B8F">
        <w:rPr>
          <w:b w:val="0"/>
          <w:sz w:val="22"/>
          <w:lang w:val="en-US"/>
        </w:rPr>
        <w:t>can be achieved</w:t>
      </w:r>
      <w:r w:rsidR="006622D7">
        <w:rPr>
          <w:b w:val="0"/>
          <w:sz w:val="22"/>
          <w:lang w:val="en-US"/>
        </w:rPr>
        <w:t>. In order to further enhance the uplink performance, SD-CDD can be considered in a specification transparent manner. The only specification effort for this alternative is modifying/refining codebook subset defined in Rel-15.</w:t>
      </w:r>
      <w:r w:rsidR="00BE73C5">
        <w:rPr>
          <w:b w:val="0"/>
          <w:sz w:val="22"/>
          <w:lang w:val="en-US"/>
        </w:rPr>
        <w:t xml:space="preserve"> </w:t>
      </w:r>
      <w:r w:rsidR="007D0144">
        <w:rPr>
          <w:b w:val="0"/>
          <w:sz w:val="22"/>
          <w:lang w:val="en-US"/>
        </w:rPr>
        <w:t>Also, r</w:t>
      </w:r>
      <w:r w:rsidR="00BE73C5">
        <w:rPr>
          <w:b w:val="0"/>
          <w:sz w:val="22"/>
          <w:lang w:val="en-US"/>
        </w:rPr>
        <w:t xml:space="preserve">egarding how many TPMIs to be allowed for non/partial coherent UE, </w:t>
      </w:r>
      <w:r w:rsidR="007D0144">
        <w:rPr>
          <w:b w:val="0"/>
          <w:sz w:val="22"/>
          <w:lang w:val="en-US"/>
        </w:rPr>
        <w:t xml:space="preserve">using a subset of TPMIs is reasonable choice for non/partial coherent UE, since phase coherency is not guaranteed. </w:t>
      </w:r>
      <w:r w:rsidR="00DE0F7D">
        <w:rPr>
          <w:b w:val="0"/>
          <w:sz w:val="22"/>
          <w:lang w:val="en-US"/>
        </w:rPr>
        <w:t>According to UE implementation, there might be some difference between preferred TPMIs, so preferred TPMIs or TPMI group for UE capability 2 can also be reported by UE capability signaling.</w:t>
      </w:r>
    </w:p>
    <w:p w14:paraId="3FC02CC9" w14:textId="30D7B4DC" w:rsidR="00E440CA" w:rsidRDefault="00255A97" w:rsidP="001B0EDE">
      <w:pPr>
        <w:pStyle w:val="LGTdoc1"/>
        <w:snapToGrid/>
        <w:spacing w:beforeLines="0" w:before="100" w:beforeAutospacing="1" w:line="360" w:lineRule="auto"/>
        <w:ind w:firstLineChars="100" w:firstLine="220"/>
        <w:contextualSpacing/>
        <w:rPr>
          <w:b w:val="0"/>
          <w:sz w:val="22"/>
          <w:lang w:val="en-US"/>
        </w:rPr>
      </w:pPr>
      <w:r>
        <w:rPr>
          <w:rFonts w:hint="eastAsia"/>
          <w:b w:val="0"/>
          <w:sz w:val="22"/>
          <w:lang w:val="en-US"/>
        </w:rPr>
        <w:t xml:space="preserve">Alt 3-1 and Alt 3-2 are based on the multiple SRS resources. </w:t>
      </w:r>
      <w:r w:rsidR="001E00D4">
        <w:rPr>
          <w:b w:val="0"/>
          <w:sz w:val="22"/>
          <w:lang w:val="en-US"/>
        </w:rPr>
        <w:t xml:space="preserve">The difference is whether </w:t>
      </w:r>
      <w:r w:rsidR="001C5D48">
        <w:rPr>
          <w:b w:val="0"/>
          <w:sz w:val="22"/>
          <w:lang w:val="en-US"/>
        </w:rPr>
        <w:t xml:space="preserve">or not </w:t>
      </w:r>
      <w:r w:rsidR="001E00D4">
        <w:rPr>
          <w:b w:val="0"/>
          <w:sz w:val="22"/>
          <w:lang w:val="en-US"/>
        </w:rPr>
        <w:t>to allow new codebook subset.</w:t>
      </w:r>
      <w:r w:rsidR="00E440CA">
        <w:rPr>
          <w:b w:val="0"/>
          <w:sz w:val="22"/>
          <w:lang w:val="en-US"/>
        </w:rPr>
        <w:t xml:space="preserve"> According to current specification, for codebook based UL transmission, max number of SRS resource is 2 where each resource has the same number of SRS ports. Thus, in order to </w:t>
      </w:r>
      <w:r w:rsidR="00E440CA">
        <w:rPr>
          <w:b w:val="0"/>
          <w:sz w:val="22"/>
          <w:lang w:val="en-US"/>
        </w:rPr>
        <w:lastRenderedPageBreak/>
        <w:t>support these alternatives</w:t>
      </w:r>
      <w:r w:rsidR="009C0BAB">
        <w:rPr>
          <w:b w:val="0"/>
          <w:sz w:val="22"/>
          <w:lang w:val="en-US"/>
        </w:rPr>
        <w:t>,</w:t>
      </w:r>
      <w:r w:rsidR="00E440CA">
        <w:rPr>
          <w:b w:val="0"/>
          <w:sz w:val="22"/>
          <w:lang w:val="en-US"/>
        </w:rPr>
        <w:t xml:space="preserve"> more flexible SRS resource </w:t>
      </w:r>
      <w:r w:rsidR="009C0BAB">
        <w:rPr>
          <w:b w:val="0"/>
          <w:sz w:val="22"/>
          <w:lang w:val="en-US"/>
        </w:rPr>
        <w:t xml:space="preserve">configuration (e.g., different SRS ports per resource) is needed. </w:t>
      </w:r>
      <w:r w:rsidR="001605B4">
        <w:rPr>
          <w:b w:val="0"/>
          <w:sz w:val="22"/>
          <w:lang w:val="en-US"/>
        </w:rPr>
        <w:t xml:space="preserve">Also, </w:t>
      </w:r>
      <w:r w:rsidR="00C92590">
        <w:rPr>
          <w:b w:val="0"/>
          <w:sz w:val="22"/>
          <w:lang w:val="en-US"/>
        </w:rPr>
        <w:t>in order to ensure</w:t>
      </w:r>
      <w:r w:rsidR="001605B4">
        <w:rPr>
          <w:b w:val="0"/>
          <w:sz w:val="22"/>
          <w:lang w:val="en-US"/>
        </w:rPr>
        <w:t xml:space="preserve"> high</w:t>
      </w:r>
      <w:r w:rsidR="00C92590">
        <w:rPr>
          <w:b w:val="0"/>
          <w:sz w:val="22"/>
          <w:lang w:val="en-US"/>
        </w:rPr>
        <w:t>er-</w:t>
      </w:r>
      <w:r w:rsidR="001605B4">
        <w:rPr>
          <w:b w:val="0"/>
          <w:sz w:val="22"/>
          <w:lang w:val="en-US"/>
        </w:rPr>
        <w:t xml:space="preserve">rank </w:t>
      </w:r>
      <w:r w:rsidR="00C92590">
        <w:rPr>
          <w:b w:val="0"/>
          <w:sz w:val="22"/>
          <w:lang w:val="en-US"/>
        </w:rPr>
        <w:t xml:space="preserve">uplink </w:t>
      </w:r>
      <w:r w:rsidR="001605B4">
        <w:rPr>
          <w:b w:val="0"/>
          <w:sz w:val="22"/>
          <w:lang w:val="en-US"/>
        </w:rPr>
        <w:t>performance, it is not clear ho</w:t>
      </w:r>
      <w:r w:rsidR="00C92590">
        <w:rPr>
          <w:b w:val="0"/>
          <w:sz w:val="22"/>
          <w:lang w:val="en-US"/>
        </w:rPr>
        <w:t>w many SRS resources are needed and any further specification impacts are required or not</w:t>
      </w:r>
      <w:r w:rsidR="00037F0D">
        <w:rPr>
          <w:b w:val="0"/>
          <w:sz w:val="22"/>
          <w:lang w:val="en-US"/>
        </w:rPr>
        <w:t>.</w:t>
      </w:r>
      <w:r w:rsidR="00C92590">
        <w:rPr>
          <w:b w:val="0"/>
          <w:sz w:val="22"/>
          <w:lang w:val="en-US"/>
        </w:rPr>
        <w:t xml:space="preserve"> </w:t>
      </w:r>
    </w:p>
    <w:p w14:paraId="33E56208" w14:textId="5846F977" w:rsidR="00291B1A" w:rsidRDefault="00547287" w:rsidP="00291B1A">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w:t>
      </w:r>
      <w:r w:rsidR="001605B4" w:rsidRPr="00DB0203">
        <w:rPr>
          <w:rFonts w:hint="eastAsia"/>
          <w:b w:val="0"/>
          <w:sz w:val="22"/>
          <w:lang w:val="en-US"/>
        </w:rPr>
        <w:t>Alt 5</w:t>
      </w:r>
      <w:r>
        <w:rPr>
          <w:b w:val="0"/>
          <w:sz w:val="22"/>
          <w:lang w:val="en-US"/>
        </w:rPr>
        <w:t>,</w:t>
      </w:r>
      <w:r w:rsidR="00BF30BC">
        <w:rPr>
          <w:b w:val="0"/>
          <w:sz w:val="22"/>
          <w:lang w:val="en-US"/>
        </w:rPr>
        <w:t xml:space="preserve"> </w:t>
      </w:r>
      <w:r>
        <w:rPr>
          <w:b w:val="0"/>
          <w:sz w:val="22"/>
          <w:lang w:val="en-US"/>
        </w:rPr>
        <w:t xml:space="preserve">allocated </w:t>
      </w:r>
      <w:r w:rsidR="00BF30BC">
        <w:rPr>
          <w:b w:val="0"/>
          <w:sz w:val="22"/>
          <w:lang w:val="en-US"/>
        </w:rPr>
        <w:t xml:space="preserve">PUSCH resources </w:t>
      </w:r>
      <w:r>
        <w:rPr>
          <w:b w:val="0"/>
          <w:sz w:val="22"/>
          <w:lang w:val="en-US"/>
        </w:rPr>
        <w:t xml:space="preserve">are divided </w:t>
      </w:r>
      <w:r w:rsidR="00BF30BC">
        <w:rPr>
          <w:b w:val="0"/>
          <w:sz w:val="22"/>
          <w:lang w:val="en-US"/>
        </w:rPr>
        <w:t>into two parts in the frequency domain and</w:t>
      </w:r>
      <w:r>
        <w:rPr>
          <w:b w:val="0"/>
          <w:sz w:val="22"/>
          <w:lang w:val="en-US"/>
        </w:rPr>
        <w:t>,</w:t>
      </w:r>
      <w:r w:rsidR="00BF30BC">
        <w:rPr>
          <w:b w:val="0"/>
          <w:sz w:val="22"/>
          <w:lang w:val="en-US"/>
        </w:rPr>
        <w:t xml:space="preserve"> </w:t>
      </w:r>
      <w:r>
        <w:rPr>
          <w:b w:val="0"/>
          <w:sz w:val="22"/>
          <w:lang w:val="en-US"/>
        </w:rPr>
        <w:t xml:space="preserve">in each part </w:t>
      </w:r>
      <w:r w:rsidR="00BF30BC">
        <w:rPr>
          <w:b w:val="0"/>
          <w:sz w:val="22"/>
          <w:lang w:val="en-US"/>
        </w:rPr>
        <w:t xml:space="preserve">different </w:t>
      </w:r>
      <w:r w:rsidR="0023756B">
        <w:rPr>
          <w:b w:val="0"/>
          <w:sz w:val="22"/>
          <w:lang w:val="en-US"/>
        </w:rPr>
        <w:t xml:space="preserve">subset of </w:t>
      </w:r>
      <w:r w:rsidR="00BF30BC">
        <w:rPr>
          <w:b w:val="0"/>
          <w:sz w:val="22"/>
          <w:lang w:val="en-US"/>
        </w:rPr>
        <w:t xml:space="preserve">antenna ports </w:t>
      </w:r>
      <w:r>
        <w:rPr>
          <w:b w:val="0"/>
          <w:sz w:val="22"/>
          <w:lang w:val="en-US"/>
        </w:rPr>
        <w:t>is</w:t>
      </w:r>
      <w:r w:rsidR="0023756B">
        <w:rPr>
          <w:b w:val="0"/>
          <w:sz w:val="22"/>
          <w:lang w:val="en-US"/>
        </w:rPr>
        <w:t xml:space="preserve"> </w:t>
      </w:r>
      <w:r>
        <w:rPr>
          <w:b w:val="0"/>
          <w:sz w:val="22"/>
          <w:lang w:val="en-US"/>
        </w:rPr>
        <w:t>used to transmit PUSCH.</w:t>
      </w:r>
      <w:r w:rsidR="0023756B">
        <w:rPr>
          <w:b w:val="0"/>
          <w:sz w:val="22"/>
          <w:lang w:val="en-US"/>
        </w:rPr>
        <w:t xml:space="preserve"> </w:t>
      </w:r>
      <w:r w:rsidR="00C265CF">
        <w:rPr>
          <w:b w:val="0"/>
          <w:sz w:val="22"/>
          <w:lang w:val="en-US"/>
        </w:rPr>
        <w:t>So, full power UL transmission can be achieve</w:t>
      </w:r>
      <w:r w:rsidR="00706834">
        <w:rPr>
          <w:b w:val="0"/>
          <w:sz w:val="22"/>
          <w:lang w:val="en-US"/>
        </w:rPr>
        <w:t>d</w:t>
      </w:r>
      <w:r w:rsidR="0037122D">
        <w:rPr>
          <w:b w:val="0"/>
          <w:sz w:val="22"/>
          <w:lang w:val="en-US"/>
        </w:rPr>
        <w:t xml:space="preserve"> when </w:t>
      </w:r>
      <w:r w:rsidR="006A35DA">
        <w:rPr>
          <w:b w:val="0"/>
          <w:sz w:val="22"/>
          <w:lang w:val="en-US"/>
        </w:rPr>
        <w:t xml:space="preserve">both antenna subsets </w:t>
      </w:r>
      <w:r w:rsidR="0037122D">
        <w:rPr>
          <w:b w:val="0"/>
          <w:sz w:val="22"/>
          <w:lang w:val="en-US"/>
        </w:rPr>
        <w:t xml:space="preserve">are simultaneously transmitted. </w:t>
      </w:r>
      <w:r w:rsidR="00706834">
        <w:rPr>
          <w:b w:val="0"/>
          <w:sz w:val="22"/>
          <w:lang w:val="en-US"/>
        </w:rPr>
        <w:t>However, it seems that this alternative cannot work when the number of scheduled RB is 1. Also, large amount of specification efforts in order to support this</w:t>
      </w:r>
      <w:r w:rsidR="00291B1A">
        <w:rPr>
          <w:b w:val="0"/>
          <w:sz w:val="22"/>
          <w:lang w:val="en-US"/>
        </w:rPr>
        <w:t xml:space="preserve"> UL </w:t>
      </w:r>
      <w:r w:rsidR="00706834">
        <w:rPr>
          <w:b w:val="0"/>
          <w:sz w:val="22"/>
          <w:lang w:val="en-US"/>
        </w:rPr>
        <w:t>transmission scheme is expected.</w:t>
      </w:r>
      <w:r w:rsidR="00291B1A">
        <w:rPr>
          <w:rFonts w:hint="eastAsia"/>
          <w:b w:val="0"/>
          <w:sz w:val="22"/>
          <w:lang w:val="en-US"/>
        </w:rPr>
        <w:t xml:space="preserve"> </w:t>
      </w:r>
    </w:p>
    <w:p w14:paraId="4B67CECB" w14:textId="77777777" w:rsidR="00EF3F2B" w:rsidRDefault="00EF3F2B" w:rsidP="00EF3F2B">
      <w:pPr>
        <w:pStyle w:val="LGTdoc1"/>
        <w:snapToGrid/>
        <w:spacing w:line="360" w:lineRule="auto"/>
        <w:ind w:firstLine="330"/>
        <w:contextualSpacing/>
        <w:rPr>
          <w:b w:val="0"/>
          <w:sz w:val="22"/>
          <w:szCs w:val="22"/>
        </w:rPr>
      </w:pPr>
      <w:r>
        <w:rPr>
          <w:b w:val="0"/>
          <w:bCs/>
          <w:sz w:val="22"/>
          <w:szCs w:val="22"/>
        </w:rPr>
        <w:t xml:space="preserve">Taken as a whole, it seems Alt 1 has less specification impact among the alternatives, but we suggest to have a unified solution based on Proposal 1 introducing UE capability signaling of supported TPMIs for commonly supporting UE capability 2 and 3. </w:t>
      </w:r>
    </w:p>
    <w:p w14:paraId="687530CA" w14:textId="77777777" w:rsidR="00EF3F2B" w:rsidRDefault="00EF3F2B" w:rsidP="00EF3F2B">
      <w:pPr>
        <w:pStyle w:val="LGTdoc1"/>
        <w:snapToGrid/>
        <w:spacing w:line="360" w:lineRule="auto"/>
        <w:ind w:firstLine="108"/>
        <w:contextualSpacing/>
        <w:rPr>
          <w:bCs/>
          <w:sz w:val="22"/>
          <w:szCs w:val="22"/>
        </w:rPr>
      </w:pPr>
      <w:r>
        <w:rPr>
          <w:sz w:val="22"/>
          <w:szCs w:val="22"/>
        </w:rPr>
        <w:t>Proposal2: Alt 1 is slightly preferred, but a unified solution based on Proposal 1 introducing UE capability signaling of supported TPMIs should be supported for UE capability 2 and 3 commonly.</w:t>
      </w:r>
    </w:p>
    <w:p w14:paraId="6F41A8C6" w14:textId="77777777" w:rsidR="00C265CF" w:rsidRPr="00EF3F2B" w:rsidRDefault="00C265CF" w:rsidP="00882A8E">
      <w:pPr>
        <w:pStyle w:val="LGTdoc1"/>
        <w:snapToGrid/>
        <w:spacing w:beforeLines="0" w:before="100" w:beforeAutospacing="1" w:line="360" w:lineRule="auto"/>
        <w:ind w:firstLineChars="150" w:firstLine="300"/>
        <w:contextualSpacing/>
        <w:rPr>
          <w:b w:val="0"/>
          <w:sz w:val="20"/>
        </w:rPr>
      </w:pPr>
    </w:p>
    <w:p w14:paraId="0D2F67E6" w14:textId="005542F7" w:rsidR="00FE157D" w:rsidRPr="00987B8F" w:rsidRDefault="00FE157D" w:rsidP="00FE157D">
      <w:pPr>
        <w:pStyle w:val="2"/>
      </w:pPr>
      <w:r w:rsidRPr="00987B8F">
        <w:t>2.</w:t>
      </w:r>
      <w:r>
        <w:t>3</w:t>
      </w:r>
      <w:r w:rsidRPr="00987B8F">
        <w:t xml:space="preserve"> </w:t>
      </w:r>
      <w:r w:rsidR="00707105">
        <w:t>RRC configurable power scaling factor</w:t>
      </w:r>
      <w:r>
        <w:t xml:space="preserve"> </w:t>
      </w:r>
    </w:p>
    <w:p w14:paraId="0DCD998E" w14:textId="777BADE4" w:rsidR="00203824" w:rsidRDefault="00566F6A" w:rsidP="00F863C6">
      <w:pPr>
        <w:pStyle w:val="LGTdoc1"/>
        <w:snapToGrid/>
        <w:spacing w:beforeLines="0" w:before="100" w:beforeAutospacing="1" w:line="360" w:lineRule="auto"/>
        <w:ind w:firstLineChars="100" w:firstLine="220"/>
        <w:contextualSpacing/>
        <w:rPr>
          <w:b w:val="0"/>
          <w:sz w:val="22"/>
          <w:lang w:val="en-US"/>
        </w:rPr>
      </w:pPr>
      <w:r>
        <w:rPr>
          <w:b w:val="0"/>
          <w:sz w:val="22"/>
          <w:lang w:val="en-US"/>
        </w:rPr>
        <w:t>Solution</w:t>
      </w:r>
      <w:r w:rsidR="00CA03C3">
        <w:rPr>
          <w:b w:val="0"/>
          <w:sz w:val="22"/>
          <w:lang w:val="en-US"/>
        </w:rPr>
        <w:t xml:space="preserve"> </w:t>
      </w:r>
      <w:r w:rsidR="00CA03C3" w:rsidRPr="00987B8F">
        <w:rPr>
          <w:b w:val="0"/>
          <w:sz w:val="22"/>
          <w:lang w:val="en-US"/>
        </w:rPr>
        <w:t>applied for UE capability 1</w:t>
      </w:r>
      <w:r w:rsidR="00CA03C3">
        <w:rPr>
          <w:b w:val="0"/>
          <w:sz w:val="22"/>
          <w:lang w:val="en-US"/>
        </w:rPr>
        <w:t xml:space="preserve"> is </w:t>
      </w:r>
      <w:r>
        <w:rPr>
          <w:b w:val="0"/>
          <w:sz w:val="22"/>
          <w:lang w:val="en-US"/>
        </w:rPr>
        <w:t xml:space="preserve">based on the </w:t>
      </w:r>
      <w:r w:rsidR="00046ECE" w:rsidRPr="00987B8F">
        <w:rPr>
          <w:b w:val="0"/>
          <w:sz w:val="22"/>
          <w:lang w:val="en-US"/>
        </w:rPr>
        <w:t>modification of current power control mechanism</w:t>
      </w:r>
      <w:r w:rsidR="00CA03C3">
        <w:rPr>
          <w:b w:val="0"/>
          <w:sz w:val="22"/>
          <w:lang w:val="en-US"/>
        </w:rPr>
        <w:t>.</w:t>
      </w:r>
      <w:r w:rsidR="00882A8E" w:rsidRPr="00987B8F">
        <w:rPr>
          <w:b w:val="0"/>
          <w:sz w:val="22"/>
          <w:lang w:val="en-US"/>
        </w:rPr>
        <w:t xml:space="preserve"> For UE capability 1, all ports are able to transmit max powe</w:t>
      </w:r>
      <w:r w:rsidR="005B0AE5" w:rsidRPr="00987B8F">
        <w:rPr>
          <w:b w:val="0"/>
          <w:sz w:val="22"/>
          <w:lang w:val="en-US"/>
        </w:rPr>
        <w:t xml:space="preserve">r (e.g. 23 dBm for PC 3). Thus, </w:t>
      </w:r>
      <w:r w:rsidR="00340C8B" w:rsidRPr="00987B8F">
        <w:rPr>
          <w:b w:val="0"/>
          <w:sz w:val="22"/>
          <w:lang w:val="en-US"/>
        </w:rPr>
        <w:t xml:space="preserve">in order to achieve full power uplink transmission regardless of indicated TRI and TPMI, </w:t>
      </w:r>
      <w:r w:rsidR="005B0AE5" w:rsidRPr="00987B8F">
        <w:rPr>
          <w:b w:val="0"/>
          <w:sz w:val="22"/>
          <w:lang w:val="en-US"/>
        </w:rPr>
        <w:t>power scaling value</w:t>
      </w:r>
      <w:r w:rsidR="000A407B" w:rsidRPr="00987B8F">
        <w:rPr>
          <w:b w:val="0"/>
          <w:sz w:val="22"/>
          <w:lang w:val="en-US"/>
        </w:rPr>
        <w:t xml:space="preserve"> of </w:t>
      </w:r>
      <w:r w:rsidR="00ED3EDD">
        <w:rPr>
          <w:b w:val="0"/>
          <w:sz w:val="22"/>
          <w:lang w:val="en-US"/>
        </w:rPr>
        <w:t>“</w:t>
      </w:r>
      <w:r w:rsidR="000A407B" w:rsidRPr="00987B8F">
        <w:rPr>
          <w:b w:val="0"/>
          <w:sz w:val="22"/>
          <w:lang w:val="en-US"/>
        </w:rPr>
        <w:t>1/2</w:t>
      </w:r>
      <w:r w:rsidR="00ED3EDD">
        <w:rPr>
          <w:b w:val="0"/>
          <w:sz w:val="22"/>
          <w:lang w:val="en-US"/>
        </w:rPr>
        <w:t>”</w:t>
      </w:r>
      <w:r w:rsidR="005B0AE5" w:rsidRPr="00987B8F">
        <w:rPr>
          <w:b w:val="0"/>
          <w:sz w:val="22"/>
          <w:lang w:val="en-US"/>
        </w:rPr>
        <w:t xml:space="preserve"> listed in Table </w:t>
      </w:r>
      <w:r w:rsidR="00203824">
        <w:rPr>
          <w:b w:val="0"/>
          <w:sz w:val="22"/>
          <w:lang w:val="en-US"/>
        </w:rPr>
        <w:t>II</w:t>
      </w:r>
      <w:r w:rsidR="005B0AE5" w:rsidRPr="00987B8F">
        <w:rPr>
          <w:b w:val="0"/>
          <w:sz w:val="22"/>
          <w:lang w:val="en-US"/>
        </w:rPr>
        <w:t xml:space="preserve"> for 2 </w:t>
      </w:r>
      <w:r w:rsidR="000A407B" w:rsidRPr="00987B8F">
        <w:rPr>
          <w:b w:val="0"/>
          <w:sz w:val="22"/>
          <w:lang w:val="en-US"/>
        </w:rPr>
        <w:t xml:space="preserve">antenna </w:t>
      </w:r>
      <w:r w:rsidR="005B0AE5" w:rsidRPr="00987B8F">
        <w:rPr>
          <w:b w:val="0"/>
          <w:sz w:val="22"/>
          <w:lang w:val="en-US"/>
        </w:rPr>
        <w:t>port</w:t>
      </w:r>
      <w:r w:rsidR="000A407B" w:rsidRPr="00987B8F">
        <w:rPr>
          <w:b w:val="0"/>
          <w:sz w:val="22"/>
          <w:lang w:val="en-US"/>
        </w:rPr>
        <w:t>s</w:t>
      </w:r>
      <w:r w:rsidR="005B0AE5" w:rsidRPr="00987B8F">
        <w:rPr>
          <w:b w:val="0"/>
          <w:sz w:val="22"/>
          <w:lang w:val="en-US"/>
        </w:rPr>
        <w:t xml:space="preserve"> </w:t>
      </w:r>
      <w:r w:rsidR="00580629" w:rsidRPr="00987B8F">
        <w:rPr>
          <w:b w:val="0"/>
          <w:sz w:val="22"/>
          <w:lang w:val="en-US"/>
        </w:rPr>
        <w:t>can be replaced to 1.</w:t>
      </w:r>
      <w:r w:rsidR="00203824">
        <w:rPr>
          <w:b w:val="0"/>
          <w:sz w:val="22"/>
          <w:lang w:val="en-US"/>
        </w:rPr>
        <w:t xml:space="preserve"> Although</w:t>
      </w:r>
      <w:r w:rsidR="00203824" w:rsidRPr="00203824">
        <w:rPr>
          <w:b w:val="0"/>
          <w:sz w:val="22"/>
          <w:lang w:val="en-US"/>
        </w:rPr>
        <w:t xml:space="preserve"> above power control may have </w:t>
      </w:r>
      <w:r w:rsidR="00203824">
        <w:rPr>
          <w:b w:val="0"/>
          <w:sz w:val="22"/>
          <w:lang w:val="en-US"/>
        </w:rPr>
        <w:t xml:space="preserve">the benefit of </w:t>
      </w:r>
      <w:r w:rsidR="00203824" w:rsidRPr="00203824">
        <w:rPr>
          <w:b w:val="0"/>
          <w:sz w:val="22"/>
          <w:lang w:val="en-US"/>
        </w:rPr>
        <w:t xml:space="preserve">coverage </w:t>
      </w:r>
      <w:r w:rsidR="00203824">
        <w:rPr>
          <w:b w:val="0"/>
          <w:sz w:val="22"/>
          <w:lang w:val="en-US"/>
        </w:rPr>
        <w:t xml:space="preserve">enhancement, </w:t>
      </w:r>
      <w:r w:rsidR="0050353F">
        <w:rPr>
          <w:b w:val="0"/>
          <w:sz w:val="22"/>
          <w:lang w:val="en-US"/>
        </w:rPr>
        <w:t xml:space="preserve">transmitting full power may increase uplink interference and UE battery consumption. </w:t>
      </w:r>
      <w:r w:rsidR="00896AEB">
        <w:rPr>
          <w:b w:val="0"/>
          <w:sz w:val="22"/>
          <w:lang w:val="en-US"/>
        </w:rPr>
        <w:t xml:space="preserve">So it is preferred to gNB indicates whether or not to </w:t>
      </w:r>
      <w:r w:rsidR="00F76CF7">
        <w:rPr>
          <w:b w:val="0"/>
          <w:sz w:val="22"/>
          <w:lang w:val="en-US"/>
        </w:rPr>
        <w:t>apply</w:t>
      </w:r>
      <w:r w:rsidR="00896AEB">
        <w:rPr>
          <w:b w:val="0"/>
          <w:sz w:val="22"/>
          <w:lang w:val="en-US"/>
        </w:rPr>
        <w:t xml:space="preserve"> full power UL transmission. </w:t>
      </w:r>
    </w:p>
    <w:p w14:paraId="36CA61CD" w14:textId="77777777" w:rsidR="00F76CF7" w:rsidRPr="00175AA6" w:rsidRDefault="00F76CF7" w:rsidP="00F76CF7">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I. </w:t>
      </w:r>
      <w:r w:rsidRPr="00175AA6">
        <w:rPr>
          <w:b w:val="0"/>
          <w:sz w:val="20"/>
          <w:lang w:val="en-US"/>
        </w:rPr>
        <w:t xml:space="preserve">Precoding matrix </w:t>
      </w:r>
      <w:r w:rsidRPr="00175AA6">
        <w:rPr>
          <w:sz w:val="20"/>
          <w:lang w:val="en-US"/>
        </w:rPr>
        <w:t>W</w:t>
      </w:r>
      <w:r w:rsidRPr="00175AA6">
        <w:rPr>
          <w:b w:val="0"/>
          <w:sz w:val="20"/>
          <w:lang w:val="en-US"/>
        </w:rP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975"/>
        <w:gridCol w:w="976"/>
        <w:gridCol w:w="976"/>
        <w:gridCol w:w="975"/>
        <w:gridCol w:w="976"/>
        <w:gridCol w:w="976"/>
      </w:tblGrid>
      <w:tr w:rsidR="00F76CF7" w:rsidRPr="005B61B2" w14:paraId="7393F2FE" w14:textId="77777777" w:rsidTr="004D216C">
        <w:trPr>
          <w:jc w:val="center"/>
        </w:trPr>
        <w:tc>
          <w:tcPr>
            <w:tcW w:w="1229" w:type="dxa"/>
            <w:shd w:val="clear" w:color="auto" w:fill="auto"/>
          </w:tcPr>
          <w:p w14:paraId="0D16C99F" w14:textId="77777777" w:rsidR="00F76CF7" w:rsidRPr="005B61B2" w:rsidRDefault="00F76CF7" w:rsidP="004D216C">
            <w:pPr>
              <w:pStyle w:val="TAH"/>
              <w:spacing w:line="240" w:lineRule="atLeast"/>
              <w:contextualSpacing/>
              <w:rPr>
                <w:rFonts w:eastAsia="바탕"/>
              </w:rPr>
            </w:pPr>
            <w:r w:rsidRPr="005B61B2">
              <w:rPr>
                <w:rFonts w:eastAsia="바탕"/>
              </w:rPr>
              <w:t>TPMI index</w:t>
            </w:r>
          </w:p>
        </w:tc>
        <w:tc>
          <w:tcPr>
            <w:tcW w:w="5854" w:type="dxa"/>
            <w:gridSpan w:val="6"/>
            <w:shd w:val="clear" w:color="auto" w:fill="auto"/>
            <w:vAlign w:val="center"/>
          </w:tcPr>
          <w:p w14:paraId="3E418B90" w14:textId="77777777" w:rsidR="00F76CF7" w:rsidRPr="005B61B2" w:rsidRDefault="00F76CF7" w:rsidP="004D216C">
            <w:pPr>
              <w:pStyle w:val="TAH"/>
              <w:spacing w:line="240" w:lineRule="atLeast"/>
              <w:contextualSpacing/>
              <w:rPr>
                <w:rFonts w:eastAsia="바탕"/>
              </w:rPr>
            </w:pPr>
            <w:r w:rsidRPr="005B61B2">
              <w:rPr>
                <w:rFonts w:eastAsia="바탕"/>
              </w:rPr>
              <w:object w:dxaOrig="260" w:dyaOrig="240" w14:anchorId="4E3805E3">
                <v:shape id="_x0000_i1025" type="#_x0000_t75" style="width:14.55pt;height:12pt" o:ole="">
                  <v:imagedata r:id="rId8" o:title=""/>
                </v:shape>
                <o:OLEObject Type="Embed" ProgID="Equation.3" ShapeID="_x0000_i1025" DrawAspect="Content" ObjectID="_1618409363" r:id="rId9"/>
              </w:object>
            </w:r>
            <w:r w:rsidRPr="005B61B2">
              <w:rPr>
                <w:rFonts w:eastAsia="바탕"/>
              </w:rPr>
              <w:br/>
              <w:t>(ordered from left to right in increasing order of TPMI index)</w:t>
            </w:r>
          </w:p>
        </w:tc>
      </w:tr>
      <w:tr w:rsidR="00F76CF7" w:rsidRPr="005B61B2" w14:paraId="09552677" w14:textId="77777777" w:rsidTr="004D216C">
        <w:trPr>
          <w:jc w:val="center"/>
        </w:trPr>
        <w:tc>
          <w:tcPr>
            <w:tcW w:w="1229" w:type="dxa"/>
            <w:shd w:val="clear" w:color="auto" w:fill="auto"/>
          </w:tcPr>
          <w:p w14:paraId="0DDDF8C1" w14:textId="77777777" w:rsidR="00F76CF7" w:rsidRPr="005B61B2" w:rsidRDefault="00F76CF7" w:rsidP="004D216C">
            <w:pPr>
              <w:pStyle w:val="TAC"/>
              <w:spacing w:line="240" w:lineRule="atLeast"/>
              <w:contextualSpacing/>
              <w:rPr>
                <w:rFonts w:eastAsia="바탕"/>
              </w:rPr>
            </w:pPr>
            <w:r w:rsidRPr="005B61B2">
              <w:rPr>
                <w:rFonts w:eastAsia="바탕"/>
              </w:rPr>
              <w:t>0 – 5</w:t>
            </w:r>
          </w:p>
        </w:tc>
        <w:tc>
          <w:tcPr>
            <w:tcW w:w="975" w:type="dxa"/>
            <w:shd w:val="clear" w:color="auto" w:fill="auto"/>
          </w:tcPr>
          <w:p w14:paraId="179CCEF8" w14:textId="77777777" w:rsidR="00F76CF7" w:rsidRPr="005B61B2" w:rsidRDefault="00F76CF7" w:rsidP="004D216C">
            <w:pPr>
              <w:pStyle w:val="TAC"/>
              <w:spacing w:line="240" w:lineRule="atLeast"/>
              <w:contextualSpacing/>
              <w:rPr>
                <w:rFonts w:eastAsia="바탕"/>
              </w:rPr>
            </w:pPr>
            <w:r w:rsidRPr="0088707C">
              <w:rPr>
                <w:rFonts w:eastAsia="바탕"/>
                <w:position w:val="-30"/>
              </w:rPr>
              <w:object w:dxaOrig="760" w:dyaOrig="720" w14:anchorId="5646C781">
                <v:shape id="_x0000_i1026" type="#_x0000_t75" style="width:31.7pt;height:29.15pt" o:ole="">
                  <v:imagedata r:id="rId10" o:title=""/>
                </v:shape>
                <o:OLEObject Type="Embed" ProgID="Equation.3" ShapeID="_x0000_i1026" DrawAspect="Content" ObjectID="_1618409364" r:id="rId11"/>
              </w:object>
            </w:r>
          </w:p>
        </w:tc>
        <w:tc>
          <w:tcPr>
            <w:tcW w:w="976" w:type="dxa"/>
            <w:shd w:val="clear" w:color="auto" w:fill="auto"/>
          </w:tcPr>
          <w:p w14:paraId="75BCC52D" w14:textId="77777777" w:rsidR="00F76CF7" w:rsidRPr="005B61B2" w:rsidRDefault="00F76CF7" w:rsidP="004D216C">
            <w:pPr>
              <w:pStyle w:val="TAC"/>
              <w:spacing w:line="240" w:lineRule="atLeast"/>
              <w:contextualSpacing/>
              <w:rPr>
                <w:rFonts w:eastAsia="바탕"/>
              </w:rPr>
            </w:pPr>
            <w:r w:rsidRPr="0088707C">
              <w:rPr>
                <w:rFonts w:eastAsia="바탕"/>
                <w:position w:val="-30"/>
              </w:rPr>
              <w:object w:dxaOrig="760" w:dyaOrig="720" w14:anchorId="74608B3C">
                <v:shape id="_x0000_i1027" type="#_x0000_t75" style="width:31.7pt;height:30.85pt" o:ole="">
                  <v:imagedata r:id="rId12" o:title=""/>
                </v:shape>
                <o:OLEObject Type="Embed" ProgID="Equation.3" ShapeID="_x0000_i1027" DrawAspect="Content" ObjectID="_1618409365" r:id="rId13"/>
              </w:object>
            </w:r>
          </w:p>
        </w:tc>
        <w:tc>
          <w:tcPr>
            <w:tcW w:w="976" w:type="dxa"/>
            <w:shd w:val="clear" w:color="auto" w:fill="auto"/>
          </w:tcPr>
          <w:p w14:paraId="65E53B51" w14:textId="77777777" w:rsidR="00F76CF7" w:rsidRPr="005B61B2" w:rsidRDefault="00F76CF7" w:rsidP="004D216C">
            <w:pPr>
              <w:pStyle w:val="TAC"/>
              <w:spacing w:line="240" w:lineRule="atLeast"/>
              <w:contextualSpacing/>
              <w:rPr>
                <w:rFonts w:eastAsia="바탕"/>
              </w:rPr>
            </w:pPr>
            <w:r w:rsidRPr="00030B8C">
              <w:rPr>
                <w:rFonts w:eastAsia="바탕"/>
                <w:noProof/>
                <w:lang w:val="en-US" w:eastAsia="ko-KR"/>
              </w:rPr>
              <w:drawing>
                <wp:inline distT="0" distB="0" distL="0" distR="0" wp14:anchorId="0AF9FE03" wp14:editId="33925FC1">
                  <wp:extent cx="409575" cy="390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975" w:type="dxa"/>
            <w:shd w:val="clear" w:color="auto" w:fill="auto"/>
          </w:tcPr>
          <w:p w14:paraId="262188E4" w14:textId="77777777" w:rsidR="00F76CF7" w:rsidRPr="005B61B2" w:rsidRDefault="00F76CF7" w:rsidP="004D216C">
            <w:pPr>
              <w:pStyle w:val="TAC"/>
              <w:spacing w:line="240" w:lineRule="atLeast"/>
              <w:contextualSpacing/>
              <w:rPr>
                <w:rFonts w:eastAsia="바탕"/>
              </w:rPr>
            </w:pPr>
            <w:r w:rsidRPr="00030B8C">
              <w:rPr>
                <w:rFonts w:eastAsia="바탕"/>
                <w:noProof/>
                <w:lang w:val="en-US" w:eastAsia="ko-KR"/>
              </w:rPr>
              <w:drawing>
                <wp:inline distT="0" distB="0" distL="0" distR="0" wp14:anchorId="11703E77" wp14:editId="1A191C6C">
                  <wp:extent cx="495300" cy="3905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76" w:type="dxa"/>
            <w:shd w:val="clear" w:color="auto" w:fill="auto"/>
          </w:tcPr>
          <w:p w14:paraId="6F8D4CF8" w14:textId="77777777" w:rsidR="00F76CF7" w:rsidRPr="005B61B2" w:rsidRDefault="00F76CF7" w:rsidP="004D216C">
            <w:pPr>
              <w:pStyle w:val="TAC"/>
              <w:spacing w:line="240" w:lineRule="atLeast"/>
              <w:contextualSpacing/>
              <w:rPr>
                <w:rFonts w:eastAsia="바탕"/>
              </w:rPr>
            </w:pPr>
            <w:r w:rsidRPr="00030B8C">
              <w:rPr>
                <w:rFonts w:eastAsia="바탕"/>
                <w:noProof/>
                <w:lang w:val="en-US" w:eastAsia="ko-KR"/>
              </w:rPr>
              <w:drawing>
                <wp:inline distT="0" distB="0" distL="0" distR="0" wp14:anchorId="50640FC2" wp14:editId="29BD6BFB">
                  <wp:extent cx="428625" cy="3905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976" w:type="dxa"/>
            <w:shd w:val="clear" w:color="auto" w:fill="auto"/>
          </w:tcPr>
          <w:p w14:paraId="1ACEC480" w14:textId="77777777" w:rsidR="00F76CF7" w:rsidRPr="005B61B2" w:rsidRDefault="00F76CF7" w:rsidP="004D216C">
            <w:pPr>
              <w:pStyle w:val="TAC"/>
              <w:spacing w:line="240" w:lineRule="atLeast"/>
              <w:contextualSpacing/>
              <w:rPr>
                <w:rFonts w:eastAsia="바탕"/>
              </w:rPr>
            </w:pPr>
            <w:r w:rsidRPr="00030B8C">
              <w:rPr>
                <w:rFonts w:eastAsia="바탕"/>
                <w:noProof/>
                <w:lang w:val="en-US" w:eastAsia="ko-KR"/>
              </w:rPr>
              <w:drawing>
                <wp:inline distT="0" distB="0" distL="0" distR="0" wp14:anchorId="62E4423D" wp14:editId="69CE17FE">
                  <wp:extent cx="523875" cy="390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r>
    </w:tbl>
    <w:p w14:paraId="22B14D0B" w14:textId="77777777" w:rsidR="00F76CF7" w:rsidRPr="00882A8E" w:rsidRDefault="00F76CF7" w:rsidP="00F76CF7">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w:t>
      </w:r>
      <w:r>
        <w:rPr>
          <w:b w:val="0"/>
          <w:sz w:val="20"/>
          <w:lang w:val="en-US"/>
        </w:rPr>
        <w:t>I</w:t>
      </w:r>
      <w:r>
        <w:rPr>
          <w:rFonts w:hint="eastAsia"/>
          <w:b w:val="0"/>
          <w:sz w:val="20"/>
          <w:lang w:val="en-US"/>
        </w:rPr>
        <w:t>I.</w:t>
      </w:r>
      <w:r>
        <w:rPr>
          <w:b w:val="0"/>
          <w:sz w:val="20"/>
          <w:lang w:val="en-US"/>
        </w:rPr>
        <w:t xml:space="preserve"> P</w:t>
      </w:r>
      <w:r>
        <w:rPr>
          <w:b w:val="0"/>
          <w:sz w:val="20"/>
        </w:rPr>
        <w:t>ower scaling values</w:t>
      </w:r>
      <w:r>
        <w:rPr>
          <w:rFonts w:hint="eastAsia"/>
          <w:color w:val="000000" w:themeColor="text1"/>
          <w:sz w:val="20"/>
          <w:lang w:val="en-AU"/>
        </w:rPr>
        <w:t xml:space="preserve"> </w:t>
      </w:r>
      <w:r w:rsidRPr="00882A8E">
        <w:rPr>
          <w:rFonts w:hint="eastAsia"/>
          <w:b w:val="0"/>
          <w:color w:val="000000" w:themeColor="text1"/>
          <w:sz w:val="20"/>
          <w:lang w:val="en-AU"/>
        </w:rPr>
        <w:t xml:space="preserve">for </w:t>
      </w:r>
      <w:r>
        <w:rPr>
          <w:b w:val="0"/>
          <w:color w:val="000000" w:themeColor="text1"/>
          <w:sz w:val="20"/>
          <w:lang w:val="en-AU"/>
        </w:rPr>
        <w:t>2 antenna ports.</w:t>
      </w:r>
    </w:p>
    <w:tbl>
      <w:tblPr>
        <w:tblStyle w:val="a7"/>
        <w:tblW w:w="0" w:type="auto"/>
        <w:jc w:val="center"/>
        <w:tblLook w:val="04A0" w:firstRow="1" w:lastRow="0" w:firstColumn="1" w:lastColumn="0" w:noHBand="0" w:noVBand="1"/>
      </w:tblPr>
      <w:tblGrid>
        <w:gridCol w:w="850"/>
        <w:gridCol w:w="1276"/>
        <w:gridCol w:w="1985"/>
        <w:gridCol w:w="1984"/>
        <w:gridCol w:w="1985"/>
      </w:tblGrid>
      <w:tr w:rsidR="00F76CF7" w14:paraId="1FB46FA4" w14:textId="77777777" w:rsidTr="004D216C">
        <w:trPr>
          <w:jc w:val="center"/>
        </w:trPr>
        <w:tc>
          <w:tcPr>
            <w:tcW w:w="850" w:type="dxa"/>
            <w:vMerge w:val="restart"/>
          </w:tcPr>
          <w:p w14:paraId="06E5601D" w14:textId="77777777" w:rsidR="00F76CF7" w:rsidRDefault="00F76CF7" w:rsidP="004D216C">
            <w:pPr>
              <w:pStyle w:val="LGTdoc1"/>
              <w:snapToGrid/>
              <w:spacing w:beforeAutospacing="1"/>
              <w:contextualSpacing/>
              <w:jc w:val="center"/>
              <w:rPr>
                <w:b w:val="0"/>
                <w:sz w:val="20"/>
              </w:rPr>
            </w:pPr>
          </w:p>
        </w:tc>
        <w:tc>
          <w:tcPr>
            <w:tcW w:w="1276" w:type="dxa"/>
            <w:vMerge w:val="restart"/>
          </w:tcPr>
          <w:p w14:paraId="28A4E618" w14:textId="77777777" w:rsidR="00F76CF7" w:rsidRDefault="00F76CF7" w:rsidP="004D216C">
            <w:pPr>
              <w:pStyle w:val="LGTdoc1"/>
              <w:snapToGrid/>
              <w:spacing w:beforeAutospacing="1"/>
              <w:contextualSpacing/>
              <w:jc w:val="center"/>
              <w:rPr>
                <w:b w:val="0"/>
                <w:sz w:val="20"/>
              </w:rPr>
            </w:pPr>
          </w:p>
        </w:tc>
        <w:tc>
          <w:tcPr>
            <w:tcW w:w="1985" w:type="dxa"/>
          </w:tcPr>
          <w:p w14:paraId="591BEAFA" w14:textId="77777777" w:rsidR="00F76CF7" w:rsidRDefault="00F76CF7" w:rsidP="004D216C">
            <w:pPr>
              <w:pStyle w:val="LGTdoc1"/>
              <w:snapToGrid/>
              <w:spacing w:beforeAutospacing="1"/>
              <w:contextualSpacing/>
              <w:jc w:val="center"/>
              <w:rPr>
                <w:b w:val="0"/>
                <w:sz w:val="20"/>
              </w:rPr>
            </w:pPr>
            <w:r>
              <w:rPr>
                <w:b w:val="0"/>
                <w:sz w:val="20"/>
              </w:rPr>
              <w:t>N</w:t>
            </w:r>
            <w:r>
              <w:rPr>
                <w:rFonts w:hint="eastAsia"/>
                <w:b w:val="0"/>
                <w:sz w:val="20"/>
              </w:rPr>
              <w:t>on</w:t>
            </w:r>
            <w:r>
              <w:rPr>
                <w:b w:val="0"/>
                <w:sz w:val="20"/>
              </w:rPr>
              <w:t>-coherent UE</w:t>
            </w:r>
          </w:p>
        </w:tc>
        <w:tc>
          <w:tcPr>
            <w:tcW w:w="3969" w:type="dxa"/>
            <w:gridSpan w:val="2"/>
          </w:tcPr>
          <w:p w14:paraId="1F1264DF" w14:textId="77777777" w:rsidR="00F76CF7" w:rsidRDefault="00F76CF7" w:rsidP="004D216C">
            <w:pPr>
              <w:pStyle w:val="LGTdoc1"/>
              <w:snapToGrid/>
              <w:spacing w:beforeAutospacing="1"/>
              <w:contextualSpacing/>
              <w:jc w:val="center"/>
              <w:rPr>
                <w:b w:val="0"/>
                <w:sz w:val="20"/>
              </w:rPr>
            </w:pPr>
            <w:r>
              <w:rPr>
                <w:b w:val="0"/>
                <w:sz w:val="20"/>
              </w:rPr>
              <w:t>C</w:t>
            </w:r>
            <w:r>
              <w:rPr>
                <w:rFonts w:hint="eastAsia"/>
                <w:b w:val="0"/>
                <w:sz w:val="20"/>
              </w:rPr>
              <w:t>oherent UE</w:t>
            </w:r>
          </w:p>
        </w:tc>
      </w:tr>
      <w:tr w:rsidR="00F76CF7" w14:paraId="0FE1145E" w14:textId="77777777" w:rsidTr="004D216C">
        <w:trPr>
          <w:jc w:val="center"/>
        </w:trPr>
        <w:tc>
          <w:tcPr>
            <w:tcW w:w="850" w:type="dxa"/>
            <w:vMerge/>
            <w:vAlign w:val="center"/>
          </w:tcPr>
          <w:p w14:paraId="682BBBFF" w14:textId="77777777" w:rsidR="00F76CF7" w:rsidRPr="00930EBE" w:rsidRDefault="00F76CF7" w:rsidP="004D216C">
            <w:pPr>
              <w:pStyle w:val="LGTdoc1"/>
              <w:snapToGrid/>
              <w:spacing w:beforeAutospacing="1"/>
              <w:contextualSpacing/>
              <w:jc w:val="center"/>
              <w:rPr>
                <w:b w:val="0"/>
                <w:sz w:val="20"/>
              </w:rPr>
            </w:pPr>
          </w:p>
        </w:tc>
        <w:tc>
          <w:tcPr>
            <w:tcW w:w="1276" w:type="dxa"/>
            <w:vMerge/>
            <w:vAlign w:val="center"/>
          </w:tcPr>
          <w:p w14:paraId="70D8022C" w14:textId="77777777" w:rsidR="00F76CF7" w:rsidRDefault="00F76CF7" w:rsidP="004D216C">
            <w:pPr>
              <w:pStyle w:val="LGTdoc1"/>
              <w:snapToGrid/>
              <w:spacing w:beforeAutospacing="1"/>
              <w:contextualSpacing/>
              <w:jc w:val="center"/>
              <w:rPr>
                <w:b w:val="0"/>
                <w:sz w:val="20"/>
              </w:rPr>
            </w:pPr>
          </w:p>
        </w:tc>
        <w:tc>
          <w:tcPr>
            <w:tcW w:w="1985" w:type="dxa"/>
            <w:vAlign w:val="center"/>
          </w:tcPr>
          <w:p w14:paraId="29D83857" w14:textId="77777777" w:rsidR="00F76CF7" w:rsidRDefault="00F76CF7" w:rsidP="004D216C">
            <w:pPr>
              <w:pStyle w:val="LGTdoc1"/>
              <w:snapToGrid/>
              <w:spacing w:beforeAutospacing="1"/>
              <w:contextualSpacing/>
              <w:jc w:val="center"/>
              <w:rPr>
                <w:b w:val="0"/>
                <w:sz w:val="20"/>
              </w:rPr>
            </w:pPr>
            <w:r>
              <w:rPr>
                <w:b w:val="0"/>
                <w:sz w:val="20"/>
              </w:rPr>
              <w:t>N</w:t>
            </w:r>
            <w:r>
              <w:rPr>
                <w:rFonts w:hint="eastAsia"/>
                <w:b w:val="0"/>
                <w:sz w:val="20"/>
              </w:rPr>
              <w:t>on</w:t>
            </w:r>
            <w:r>
              <w:rPr>
                <w:b w:val="0"/>
                <w:sz w:val="20"/>
              </w:rPr>
              <w:t>-coherent TPMI</w:t>
            </w:r>
          </w:p>
        </w:tc>
        <w:tc>
          <w:tcPr>
            <w:tcW w:w="1984" w:type="dxa"/>
            <w:vAlign w:val="center"/>
          </w:tcPr>
          <w:p w14:paraId="66F619E0" w14:textId="77777777" w:rsidR="00F76CF7" w:rsidRDefault="00F76CF7" w:rsidP="004D216C">
            <w:pPr>
              <w:pStyle w:val="LGTdoc1"/>
              <w:snapToGrid/>
              <w:spacing w:beforeAutospacing="1"/>
              <w:contextualSpacing/>
              <w:jc w:val="center"/>
              <w:rPr>
                <w:b w:val="0"/>
                <w:sz w:val="20"/>
              </w:rPr>
            </w:pPr>
            <w:r>
              <w:rPr>
                <w:b w:val="0"/>
                <w:sz w:val="20"/>
              </w:rPr>
              <w:t>N</w:t>
            </w:r>
            <w:r>
              <w:rPr>
                <w:rFonts w:hint="eastAsia"/>
                <w:b w:val="0"/>
                <w:sz w:val="20"/>
              </w:rPr>
              <w:t>on</w:t>
            </w:r>
            <w:r>
              <w:rPr>
                <w:b w:val="0"/>
                <w:sz w:val="20"/>
              </w:rPr>
              <w:t>-coherent TPMI</w:t>
            </w:r>
          </w:p>
        </w:tc>
        <w:tc>
          <w:tcPr>
            <w:tcW w:w="1985" w:type="dxa"/>
            <w:vAlign w:val="center"/>
          </w:tcPr>
          <w:p w14:paraId="0A4B9007" w14:textId="77777777" w:rsidR="00F76CF7" w:rsidRDefault="00F76CF7" w:rsidP="004D216C">
            <w:pPr>
              <w:pStyle w:val="LGTdoc1"/>
              <w:snapToGrid/>
              <w:spacing w:beforeAutospacing="1"/>
              <w:contextualSpacing/>
              <w:jc w:val="center"/>
              <w:rPr>
                <w:b w:val="0"/>
                <w:sz w:val="20"/>
              </w:rPr>
            </w:pPr>
            <w:r>
              <w:rPr>
                <w:b w:val="0"/>
                <w:sz w:val="20"/>
              </w:rPr>
              <w:t>Fully coherent TPMI</w:t>
            </w:r>
          </w:p>
        </w:tc>
      </w:tr>
      <w:tr w:rsidR="00F76CF7" w14:paraId="23AB057A" w14:textId="77777777" w:rsidTr="004D216C">
        <w:trPr>
          <w:jc w:val="center"/>
        </w:trPr>
        <w:tc>
          <w:tcPr>
            <w:tcW w:w="850" w:type="dxa"/>
            <w:vMerge w:val="restart"/>
            <w:vAlign w:val="center"/>
          </w:tcPr>
          <w:p w14:paraId="48D719FD" w14:textId="77777777" w:rsidR="00F76CF7" w:rsidRDefault="00F76CF7" w:rsidP="004D216C">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 xml:space="preserve">nk </w:t>
            </w:r>
            <w:r>
              <w:rPr>
                <w:b w:val="0"/>
                <w:sz w:val="20"/>
              </w:rPr>
              <w:t>1</w:t>
            </w:r>
          </w:p>
        </w:tc>
        <w:tc>
          <w:tcPr>
            <w:tcW w:w="1276" w:type="dxa"/>
            <w:vAlign w:val="center"/>
          </w:tcPr>
          <w:p w14:paraId="7F0CCF74" w14:textId="77777777" w:rsidR="00F76CF7" w:rsidRDefault="00F76CF7" w:rsidP="004D216C">
            <w:pPr>
              <w:pStyle w:val="LGTdoc1"/>
              <w:snapToGrid/>
              <w:spacing w:beforeAutospacing="1"/>
              <w:contextualSpacing/>
              <w:jc w:val="center"/>
              <w:rPr>
                <w:b w:val="0"/>
                <w:sz w:val="20"/>
              </w:rPr>
            </w:pPr>
            <w:r>
              <w:rPr>
                <w:rFonts w:hint="eastAsia"/>
                <w:b w:val="0"/>
                <w:sz w:val="20"/>
              </w:rPr>
              <w:t>TPMI index</w:t>
            </w:r>
          </w:p>
        </w:tc>
        <w:tc>
          <w:tcPr>
            <w:tcW w:w="1985" w:type="dxa"/>
            <w:vAlign w:val="center"/>
          </w:tcPr>
          <w:p w14:paraId="297F9F76" w14:textId="77777777" w:rsidR="00F76CF7" w:rsidRDefault="00F76CF7" w:rsidP="004D216C">
            <w:pPr>
              <w:pStyle w:val="LGTdoc1"/>
              <w:snapToGrid/>
              <w:spacing w:beforeAutospacing="1"/>
              <w:contextualSpacing/>
              <w:jc w:val="center"/>
              <w:rPr>
                <w:b w:val="0"/>
                <w:sz w:val="20"/>
              </w:rPr>
            </w:pPr>
            <w:r>
              <w:rPr>
                <w:rFonts w:hint="eastAsia"/>
                <w:b w:val="0"/>
                <w:sz w:val="20"/>
              </w:rPr>
              <w:t>0,1</w:t>
            </w:r>
          </w:p>
        </w:tc>
        <w:tc>
          <w:tcPr>
            <w:tcW w:w="1984" w:type="dxa"/>
            <w:vAlign w:val="center"/>
          </w:tcPr>
          <w:p w14:paraId="20153155" w14:textId="77777777" w:rsidR="00F76CF7" w:rsidRDefault="00F76CF7" w:rsidP="004D216C">
            <w:pPr>
              <w:pStyle w:val="LGTdoc1"/>
              <w:snapToGrid/>
              <w:spacing w:beforeAutospacing="1"/>
              <w:contextualSpacing/>
              <w:jc w:val="center"/>
              <w:rPr>
                <w:b w:val="0"/>
                <w:sz w:val="20"/>
              </w:rPr>
            </w:pPr>
            <w:r>
              <w:rPr>
                <w:rFonts w:hint="eastAsia"/>
                <w:b w:val="0"/>
                <w:sz w:val="20"/>
              </w:rPr>
              <w:t>0,1</w:t>
            </w:r>
          </w:p>
        </w:tc>
        <w:tc>
          <w:tcPr>
            <w:tcW w:w="1985" w:type="dxa"/>
            <w:vAlign w:val="center"/>
          </w:tcPr>
          <w:p w14:paraId="68125DF2" w14:textId="77777777" w:rsidR="00F76CF7" w:rsidRDefault="00F76CF7" w:rsidP="004D216C">
            <w:pPr>
              <w:pStyle w:val="LGTdoc1"/>
              <w:snapToGrid/>
              <w:spacing w:beforeAutospacing="1"/>
              <w:contextualSpacing/>
              <w:jc w:val="center"/>
              <w:rPr>
                <w:b w:val="0"/>
                <w:sz w:val="20"/>
              </w:rPr>
            </w:pPr>
            <w:r>
              <w:rPr>
                <w:rFonts w:hint="eastAsia"/>
                <w:b w:val="0"/>
                <w:sz w:val="20"/>
              </w:rPr>
              <w:t>2</w:t>
            </w:r>
            <w:r>
              <w:rPr>
                <w:b w:val="0"/>
                <w:sz w:val="20"/>
              </w:rPr>
              <w:t>~</w:t>
            </w:r>
            <w:r>
              <w:rPr>
                <w:rFonts w:hint="eastAsia"/>
                <w:b w:val="0"/>
                <w:sz w:val="20"/>
              </w:rPr>
              <w:t>5</w:t>
            </w:r>
          </w:p>
        </w:tc>
      </w:tr>
      <w:tr w:rsidR="00F76CF7" w14:paraId="53CD70B3" w14:textId="77777777" w:rsidTr="004D216C">
        <w:trPr>
          <w:jc w:val="center"/>
        </w:trPr>
        <w:tc>
          <w:tcPr>
            <w:tcW w:w="850" w:type="dxa"/>
            <w:vMerge/>
            <w:vAlign w:val="center"/>
          </w:tcPr>
          <w:p w14:paraId="72FDD6C2" w14:textId="77777777" w:rsidR="00F76CF7" w:rsidRDefault="00F76CF7" w:rsidP="004D216C">
            <w:pPr>
              <w:pStyle w:val="LGTdoc1"/>
              <w:snapToGrid/>
              <w:spacing w:beforeAutospacing="1"/>
              <w:contextualSpacing/>
              <w:jc w:val="center"/>
              <w:rPr>
                <w:b w:val="0"/>
                <w:sz w:val="20"/>
              </w:rPr>
            </w:pPr>
          </w:p>
        </w:tc>
        <w:tc>
          <w:tcPr>
            <w:tcW w:w="1276" w:type="dxa"/>
            <w:vAlign w:val="center"/>
          </w:tcPr>
          <w:p w14:paraId="0F24CE96" w14:textId="77777777" w:rsidR="00F76CF7" w:rsidRDefault="00F76CF7" w:rsidP="004D216C">
            <w:pPr>
              <w:pStyle w:val="LGTdoc1"/>
              <w:snapToGrid/>
              <w:spacing w:beforeAutospacing="1"/>
              <w:contextualSpacing/>
              <w:jc w:val="center"/>
              <w:rPr>
                <w:b w:val="0"/>
                <w:sz w:val="20"/>
              </w:rPr>
            </w:pPr>
            <w:r>
              <w:rPr>
                <w:rFonts w:hint="eastAsia"/>
                <w:b w:val="0"/>
                <w:sz w:val="20"/>
              </w:rPr>
              <w:t xml:space="preserve">Ratio </w:t>
            </w:r>
            <m:oMath>
              <m:r>
                <m:rPr>
                  <m:sty m:val="b"/>
                </m:rPr>
                <w:rPr>
                  <w:rFonts w:ascii="Cambria Math" w:hAnsi="Cambria Math"/>
                  <w:sz w:val="20"/>
                </w:rPr>
                <m:t>(</m:t>
              </m:r>
              <m:f>
                <m:fPr>
                  <m:ctrlPr>
                    <w:rPr>
                      <w:rFonts w:ascii="Cambria Math" w:eastAsia="Times New Roman" w:hAnsi="Cambria Math" w:cs="Arial"/>
                      <w:i/>
                      <w:color w:val="000000" w:themeColor="text1"/>
                      <w:sz w:val="20"/>
                      <w:lang w:val="en-AU" w:eastAsia="zh-CN"/>
                    </w:rPr>
                  </m:ctrlPr>
                </m:fPr>
                <m:num>
                  <m:sSub>
                    <m:sSubPr>
                      <m:ctrlPr>
                        <w:rPr>
                          <w:rFonts w:ascii="Cambria Math" w:eastAsia="Times New Roman" w:hAnsi="Cambria Math" w:cs="Arial"/>
                          <w:i/>
                          <w:color w:val="000000" w:themeColor="text1"/>
                          <w:sz w:val="20"/>
                          <w:lang w:val="en-AU" w:eastAsia="zh-CN"/>
                        </w:rPr>
                      </m:ctrlPr>
                    </m:sSubPr>
                    <m:e>
                      <m:r>
                        <m:rPr>
                          <m:sty m:val="bi"/>
                        </m:rPr>
                        <w:rPr>
                          <w:rFonts w:ascii="Cambria Math" w:eastAsia="Times New Roman" w:hAnsi="Cambria Math" w:cs="Arial"/>
                          <w:color w:val="000000" w:themeColor="text1"/>
                          <w:sz w:val="20"/>
                          <w:lang w:val="en-AU" w:eastAsia="zh-CN"/>
                        </w:rPr>
                        <m:t>ρ</m:t>
                      </m:r>
                    </m:e>
                    <m:sub>
                      <m:r>
                        <m:rPr>
                          <m:sty m:val="bi"/>
                        </m:rPr>
                        <w:rPr>
                          <w:rFonts w:ascii="Cambria Math" w:eastAsia="Times New Roman" w:hAnsi="Cambria Math" w:cs="Arial"/>
                          <w:color w:val="000000" w:themeColor="text1"/>
                          <w:sz w:val="20"/>
                          <w:lang w:val="en-AU" w:eastAsia="zh-CN"/>
                        </w:rPr>
                        <m:t>0</m:t>
                      </m:r>
                    </m:sub>
                  </m:sSub>
                </m:num>
                <m:den>
                  <m:r>
                    <m:rPr>
                      <m:sty m:val="bi"/>
                    </m:rPr>
                    <w:rPr>
                      <w:rFonts w:ascii="Cambria Math" w:eastAsia="Times New Roman" w:hAnsi="Cambria Math" w:cs="Arial"/>
                      <w:color w:val="000000" w:themeColor="text1"/>
                      <w:sz w:val="20"/>
                      <w:lang w:val="en-AU" w:eastAsia="zh-CN"/>
                    </w:rPr>
                    <m:t>ρ</m:t>
                  </m:r>
                </m:den>
              </m:f>
              <m:r>
                <m:rPr>
                  <m:sty m:val="bi"/>
                </m:rPr>
                <w:rPr>
                  <w:rFonts w:ascii="Cambria Math" w:eastAsia="Times New Roman" w:hAnsi="Cambria Math" w:cs="Arial"/>
                  <w:color w:val="000000" w:themeColor="text1"/>
                  <w:sz w:val="20"/>
                  <w:lang w:val="en-AU" w:eastAsia="zh-CN"/>
                </w:rPr>
                <m:t>)</m:t>
              </m:r>
            </m:oMath>
          </w:p>
        </w:tc>
        <w:tc>
          <w:tcPr>
            <w:tcW w:w="1985" w:type="dxa"/>
            <w:vAlign w:val="center"/>
          </w:tcPr>
          <w:p w14:paraId="1215F895" w14:textId="77777777" w:rsidR="00F76CF7" w:rsidRPr="00634B36" w:rsidRDefault="00F76CF7" w:rsidP="004D216C">
            <w:pPr>
              <w:pStyle w:val="LGTdoc1"/>
              <w:snapToGrid/>
              <w:spacing w:beforeAutospacing="1"/>
              <w:contextualSpacing/>
              <w:jc w:val="center"/>
              <w:rPr>
                <w:b w:val="0"/>
                <w:sz w:val="20"/>
                <w:highlight w:val="yellow"/>
              </w:rPr>
            </w:pPr>
            <w:r w:rsidRPr="00634B36">
              <w:rPr>
                <w:rFonts w:hint="eastAsia"/>
                <w:b w:val="0"/>
                <w:sz w:val="20"/>
                <w:highlight w:val="yellow"/>
              </w:rPr>
              <w:t>1/2</w:t>
            </w:r>
          </w:p>
        </w:tc>
        <w:tc>
          <w:tcPr>
            <w:tcW w:w="1984" w:type="dxa"/>
            <w:vAlign w:val="center"/>
          </w:tcPr>
          <w:p w14:paraId="6FEE266C" w14:textId="77777777" w:rsidR="00F76CF7" w:rsidRPr="00634B36" w:rsidRDefault="00F76CF7" w:rsidP="004D216C">
            <w:pPr>
              <w:pStyle w:val="LGTdoc1"/>
              <w:snapToGrid/>
              <w:spacing w:beforeAutospacing="1"/>
              <w:contextualSpacing/>
              <w:jc w:val="center"/>
              <w:rPr>
                <w:b w:val="0"/>
                <w:sz w:val="20"/>
                <w:highlight w:val="yellow"/>
              </w:rPr>
            </w:pPr>
            <w:r w:rsidRPr="00634B36">
              <w:rPr>
                <w:rFonts w:hint="eastAsia"/>
                <w:b w:val="0"/>
                <w:sz w:val="20"/>
                <w:highlight w:val="yellow"/>
              </w:rPr>
              <w:t>1/2</w:t>
            </w:r>
          </w:p>
        </w:tc>
        <w:tc>
          <w:tcPr>
            <w:tcW w:w="1985" w:type="dxa"/>
            <w:vAlign w:val="center"/>
          </w:tcPr>
          <w:p w14:paraId="1E44E337" w14:textId="77777777" w:rsidR="00F76CF7" w:rsidRDefault="00F76CF7" w:rsidP="004D216C">
            <w:pPr>
              <w:pStyle w:val="LGTdoc1"/>
              <w:snapToGrid/>
              <w:spacing w:beforeAutospacing="1"/>
              <w:contextualSpacing/>
              <w:jc w:val="center"/>
              <w:rPr>
                <w:b w:val="0"/>
                <w:sz w:val="20"/>
              </w:rPr>
            </w:pPr>
            <w:r>
              <w:rPr>
                <w:rFonts w:hint="eastAsia"/>
                <w:b w:val="0"/>
                <w:sz w:val="20"/>
              </w:rPr>
              <w:t>1</w:t>
            </w:r>
          </w:p>
        </w:tc>
      </w:tr>
      <w:tr w:rsidR="00F76CF7" w14:paraId="2377BC89" w14:textId="77777777" w:rsidTr="004D216C">
        <w:trPr>
          <w:jc w:val="center"/>
        </w:trPr>
        <w:tc>
          <w:tcPr>
            <w:tcW w:w="850" w:type="dxa"/>
            <w:vMerge w:val="restart"/>
            <w:vAlign w:val="center"/>
          </w:tcPr>
          <w:p w14:paraId="0B6953F4" w14:textId="77777777" w:rsidR="00F76CF7" w:rsidRDefault="00F76CF7" w:rsidP="004D216C">
            <w:pPr>
              <w:pStyle w:val="LGTdoc1"/>
              <w:spacing w:beforeAutospacing="1"/>
              <w:contextualSpacing/>
              <w:jc w:val="center"/>
              <w:rPr>
                <w:b w:val="0"/>
                <w:sz w:val="20"/>
              </w:rPr>
            </w:pPr>
            <w:r>
              <w:rPr>
                <w:rFonts w:hint="eastAsia"/>
                <w:b w:val="0"/>
                <w:sz w:val="20"/>
              </w:rPr>
              <w:t>R</w:t>
            </w:r>
            <w:r>
              <w:rPr>
                <w:b w:val="0"/>
                <w:sz w:val="20"/>
              </w:rPr>
              <w:t>a</w:t>
            </w:r>
            <w:r>
              <w:rPr>
                <w:rFonts w:hint="eastAsia"/>
                <w:b w:val="0"/>
                <w:sz w:val="20"/>
              </w:rPr>
              <w:t>nk 2</w:t>
            </w:r>
          </w:p>
        </w:tc>
        <w:tc>
          <w:tcPr>
            <w:tcW w:w="1276" w:type="dxa"/>
            <w:vAlign w:val="center"/>
          </w:tcPr>
          <w:p w14:paraId="62C671B5" w14:textId="77777777" w:rsidR="00F76CF7" w:rsidRDefault="00F76CF7" w:rsidP="004D216C">
            <w:pPr>
              <w:pStyle w:val="LGTdoc1"/>
              <w:snapToGrid/>
              <w:spacing w:beforeAutospacing="1"/>
              <w:contextualSpacing/>
              <w:jc w:val="center"/>
              <w:rPr>
                <w:b w:val="0"/>
                <w:sz w:val="20"/>
              </w:rPr>
            </w:pPr>
            <w:r>
              <w:rPr>
                <w:rFonts w:hint="eastAsia"/>
                <w:b w:val="0"/>
                <w:sz w:val="20"/>
              </w:rPr>
              <w:t>TPMI index</w:t>
            </w:r>
          </w:p>
        </w:tc>
        <w:tc>
          <w:tcPr>
            <w:tcW w:w="1985" w:type="dxa"/>
            <w:vAlign w:val="center"/>
          </w:tcPr>
          <w:p w14:paraId="72052430" w14:textId="77777777" w:rsidR="00F76CF7" w:rsidRDefault="00F76CF7" w:rsidP="004D216C">
            <w:pPr>
              <w:pStyle w:val="LGTdoc1"/>
              <w:snapToGrid/>
              <w:spacing w:beforeAutospacing="1"/>
              <w:contextualSpacing/>
              <w:jc w:val="center"/>
              <w:rPr>
                <w:b w:val="0"/>
                <w:sz w:val="20"/>
              </w:rPr>
            </w:pPr>
            <w:r>
              <w:rPr>
                <w:b w:val="0"/>
                <w:sz w:val="20"/>
              </w:rPr>
              <w:t>0</w:t>
            </w:r>
          </w:p>
        </w:tc>
        <w:tc>
          <w:tcPr>
            <w:tcW w:w="1984" w:type="dxa"/>
            <w:vAlign w:val="center"/>
          </w:tcPr>
          <w:p w14:paraId="4A4A33CE" w14:textId="77777777" w:rsidR="00F76CF7" w:rsidRDefault="00F76CF7" w:rsidP="004D216C">
            <w:pPr>
              <w:pStyle w:val="LGTdoc1"/>
              <w:snapToGrid/>
              <w:spacing w:beforeAutospacing="1"/>
              <w:contextualSpacing/>
              <w:jc w:val="center"/>
              <w:rPr>
                <w:b w:val="0"/>
                <w:sz w:val="20"/>
              </w:rPr>
            </w:pPr>
            <w:r>
              <w:rPr>
                <w:b w:val="0"/>
                <w:sz w:val="20"/>
              </w:rPr>
              <w:t>0</w:t>
            </w:r>
          </w:p>
        </w:tc>
        <w:tc>
          <w:tcPr>
            <w:tcW w:w="1985" w:type="dxa"/>
            <w:vAlign w:val="center"/>
          </w:tcPr>
          <w:p w14:paraId="1BB2551B" w14:textId="77777777" w:rsidR="00F76CF7" w:rsidRDefault="00F76CF7" w:rsidP="004D216C">
            <w:pPr>
              <w:pStyle w:val="LGTdoc1"/>
              <w:snapToGrid/>
              <w:spacing w:beforeAutospacing="1"/>
              <w:contextualSpacing/>
              <w:jc w:val="center"/>
              <w:rPr>
                <w:b w:val="0"/>
                <w:sz w:val="20"/>
              </w:rPr>
            </w:pPr>
            <w:r>
              <w:rPr>
                <w:rFonts w:hint="eastAsia"/>
                <w:b w:val="0"/>
                <w:sz w:val="20"/>
              </w:rPr>
              <w:t>1</w:t>
            </w:r>
            <w:r>
              <w:rPr>
                <w:b w:val="0"/>
                <w:sz w:val="20"/>
              </w:rPr>
              <w:t>,2</w:t>
            </w:r>
          </w:p>
        </w:tc>
      </w:tr>
      <w:tr w:rsidR="00F76CF7" w14:paraId="0838F9AF" w14:textId="77777777" w:rsidTr="004D216C">
        <w:trPr>
          <w:jc w:val="center"/>
        </w:trPr>
        <w:tc>
          <w:tcPr>
            <w:tcW w:w="850" w:type="dxa"/>
            <w:vMerge/>
          </w:tcPr>
          <w:p w14:paraId="43889170" w14:textId="77777777" w:rsidR="00F76CF7" w:rsidRDefault="00F76CF7" w:rsidP="004D216C">
            <w:pPr>
              <w:pStyle w:val="LGTdoc1"/>
              <w:snapToGrid/>
              <w:spacing w:beforeAutospacing="1"/>
              <w:contextualSpacing/>
              <w:rPr>
                <w:b w:val="0"/>
                <w:sz w:val="20"/>
              </w:rPr>
            </w:pPr>
          </w:p>
        </w:tc>
        <w:tc>
          <w:tcPr>
            <w:tcW w:w="1276" w:type="dxa"/>
            <w:vAlign w:val="center"/>
          </w:tcPr>
          <w:p w14:paraId="69403BF8" w14:textId="77777777" w:rsidR="00F76CF7" w:rsidRDefault="00F76CF7" w:rsidP="004D216C">
            <w:pPr>
              <w:pStyle w:val="LGTdoc1"/>
              <w:snapToGrid/>
              <w:spacing w:beforeAutospacing="1"/>
              <w:contextualSpacing/>
              <w:jc w:val="center"/>
              <w:rPr>
                <w:b w:val="0"/>
                <w:sz w:val="20"/>
              </w:rPr>
            </w:pPr>
            <w:r>
              <w:rPr>
                <w:rFonts w:hint="eastAsia"/>
                <w:b w:val="0"/>
                <w:sz w:val="20"/>
              </w:rPr>
              <w:t xml:space="preserve">Ratio </w:t>
            </w:r>
            <m:oMath>
              <m:r>
                <m:rPr>
                  <m:sty m:val="b"/>
                </m:rPr>
                <w:rPr>
                  <w:rFonts w:ascii="Cambria Math" w:hAnsi="Cambria Math"/>
                  <w:sz w:val="20"/>
                </w:rPr>
                <m:t>(</m:t>
              </m:r>
              <m:f>
                <m:fPr>
                  <m:ctrlPr>
                    <w:rPr>
                      <w:rFonts w:ascii="Cambria Math" w:eastAsia="Times New Roman" w:hAnsi="Cambria Math" w:cs="Arial"/>
                      <w:i/>
                      <w:color w:val="000000" w:themeColor="text1"/>
                      <w:sz w:val="20"/>
                      <w:lang w:val="en-AU" w:eastAsia="zh-CN"/>
                    </w:rPr>
                  </m:ctrlPr>
                </m:fPr>
                <m:num>
                  <m:sSub>
                    <m:sSubPr>
                      <m:ctrlPr>
                        <w:rPr>
                          <w:rFonts w:ascii="Cambria Math" w:eastAsia="Times New Roman" w:hAnsi="Cambria Math" w:cs="Arial"/>
                          <w:i/>
                          <w:color w:val="000000" w:themeColor="text1"/>
                          <w:sz w:val="20"/>
                          <w:lang w:val="en-AU" w:eastAsia="zh-CN"/>
                        </w:rPr>
                      </m:ctrlPr>
                    </m:sSubPr>
                    <m:e>
                      <m:r>
                        <m:rPr>
                          <m:sty m:val="bi"/>
                        </m:rPr>
                        <w:rPr>
                          <w:rFonts w:ascii="Cambria Math" w:eastAsia="Times New Roman" w:hAnsi="Cambria Math" w:cs="Arial"/>
                          <w:color w:val="000000" w:themeColor="text1"/>
                          <w:sz w:val="20"/>
                          <w:lang w:val="en-AU" w:eastAsia="zh-CN"/>
                        </w:rPr>
                        <m:t>ρ</m:t>
                      </m:r>
                    </m:e>
                    <m:sub>
                      <m:r>
                        <m:rPr>
                          <m:sty m:val="bi"/>
                        </m:rPr>
                        <w:rPr>
                          <w:rFonts w:ascii="Cambria Math" w:eastAsia="Times New Roman" w:hAnsi="Cambria Math" w:cs="Arial"/>
                          <w:color w:val="000000" w:themeColor="text1"/>
                          <w:sz w:val="20"/>
                          <w:lang w:val="en-AU" w:eastAsia="zh-CN"/>
                        </w:rPr>
                        <m:t>0</m:t>
                      </m:r>
                    </m:sub>
                  </m:sSub>
                </m:num>
                <m:den>
                  <m:r>
                    <m:rPr>
                      <m:sty m:val="bi"/>
                    </m:rPr>
                    <w:rPr>
                      <w:rFonts w:ascii="Cambria Math" w:eastAsia="Times New Roman" w:hAnsi="Cambria Math" w:cs="Arial"/>
                      <w:color w:val="000000" w:themeColor="text1"/>
                      <w:sz w:val="20"/>
                      <w:lang w:val="en-AU" w:eastAsia="zh-CN"/>
                    </w:rPr>
                    <m:t>ρ</m:t>
                  </m:r>
                </m:den>
              </m:f>
              <m:r>
                <m:rPr>
                  <m:sty m:val="bi"/>
                </m:rPr>
                <w:rPr>
                  <w:rFonts w:ascii="Cambria Math" w:eastAsia="Times New Roman" w:hAnsi="Cambria Math" w:cs="Arial"/>
                  <w:color w:val="000000" w:themeColor="text1"/>
                  <w:sz w:val="20"/>
                  <w:lang w:val="en-AU" w:eastAsia="zh-CN"/>
                </w:rPr>
                <m:t>)</m:t>
              </m:r>
            </m:oMath>
          </w:p>
        </w:tc>
        <w:tc>
          <w:tcPr>
            <w:tcW w:w="1985" w:type="dxa"/>
            <w:vAlign w:val="center"/>
          </w:tcPr>
          <w:p w14:paraId="60498178" w14:textId="77777777" w:rsidR="00F76CF7" w:rsidRDefault="00F76CF7" w:rsidP="004D216C">
            <w:pPr>
              <w:pStyle w:val="LGTdoc1"/>
              <w:snapToGrid/>
              <w:spacing w:beforeAutospacing="1"/>
              <w:contextualSpacing/>
              <w:jc w:val="center"/>
              <w:rPr>
                <w:b w:val="0"/>
                <w:sz w:val="20"/>
              </w:rPr>
            </w:pPr>
            <w:r>
              <w:rPr>
                <w:rFonts w:hint="eastAsia"/>
                <w:b w:val="0"/>
                <w:sz w:val="20"/>
              </w:rPr>
              <w:t>1</w:t>
            </w:r>
          </w:p>
        </w:tc>
        <w:tc>
          <w:tcPr>
            <w:tcW w:w="1984" w:type="dxa"/>
            <w:vAlign w:val="center"/>
          </w:tcPr>
          <w:p w14:paraId="7EF8B367" w14:textId="77777777" w:rsidR="00F76CF7" w:rsidRDefault="00F76CF7" w:rsidP="004D216C">
            <w:pPr>
              <w:pStyle w:val="LGTdoc1"/>
              <w:snapToGrid/>
              <w:spacing w:beforeAutospacing="1"/>
              <w:contextualSpacing/>
              <w:jc w:val="center"/>
              <w:rPr>
                <w:b w:val="0"/>
                <w:sz w:val="20"/>
              </w:rPr>
            </w:pPr>
            <w:r>
              <w:rPr>
                <w:rFonts w:hint="eastAsia"/>
                <w:b w:val="0"/>
                <w:sz w:val="20"/>
              </w:rPr>
              <w:t>1</w:t>
            </w:r>
          </w:p>
        </w:tc>
        <w:tc>
          <w:tcPr>
            <w:tcW w:w="1985" w:type="dxa"/>
            <w:vAlign w:val="center"/>
          </w:tcPr>
          <w:p w14:paraId="26077C51" w14:textId="77777777" w:rsidR="00F76CF7" w:rsidRDefault="00F76CF7" w:rsidP="004D216C">
            <w:pPr>
              <w:pStyle w:val="LGTdoc1"/>
              <w:snapToGrid/>
              <w:spacing w:beforeAutospacing="1"/>
              <w:contextualSpacing/>
              <w:jc w:val="center"/>
              <w:rPr>
                <w:b w:val="0"/>
                <w:sz w:val="20"/>
              </w:rPr>
            </w:pPr>
            <w:r>
              <w:rPr>
                <w:rFonts w:hint="eastAsia"/>
                <w:b w:val="0"/>
                <w:sz w:val="20"/>
              </w:rPr>
              <w:t>1</w:t>
            </w:r>
          </w:p>
        </w:tc>
      </w:tr>
    </w:tbl>
    <w:p w14:paraId="20F4D1CF" w14:textId="3D22195B" w:rsidR="0088707C" w:rsidRDefault="0088707C" w:rsidP="0088707C">
      <w:pPr>
        <w:pStyle w:val="LGTdoc1"/>
        <w:snapToGrid/>
        <w:spacing w:beforeLines="0" w:before="100" w:beforeAutospacing="1" w:line="360" w:lineRule="auto"/>
        <w:ind w:firstLineChars="100" w:firstLine="220"/>
        <w:contextualSpacing/>
        <w:rPr>
          <w:b w:val="0"/>
          <w:sz w:val="22"/>
          <w:lang w:val="en-US"/>
        </w:rPr>
      </w:pPr>
      <w:r>
        <w:rPr>
          <w:rFonts w:hint="eastAsia"/>
          <w:b w:val="0"/>
          <w:sz w:val="22"/>
          <w:lang w:val="en-US"/>
        </w:rPr>
        <w:t>To this end,</w:t>
      </w:r>
      <w:r>
        <w:rPr>
          <w:b w:val="0"/>
          <w:sz w:val="22"/>
          <w:lang w:val="en-US"/>
        </w:rPr>
        <w:t xml:space="preserve"> an exemplary power control algorithm can be that </w:t>
      </w:r>
      <w:r w:rsidRPr="00C00745">
        <w:rPr>
          <w:b w:val="0"/>
          <w:sz w:val="22"/>
          <w:lang w:val="en-US"/>
        </w:rPr>
        <w:t xml:space="preserve">UE scales the linear value of PUSCH power by </w:t>
      </w:r>
      <m:oMath>
        <m:r>
          <m:rPr>
            <m:sty m:val="b"/>
          </m:rPr>
          <w:rPr>
            <w:rFonts w:ascii="Cambria Math" w:hAnsi="Cambria Math"/>
            <w:sz w:val="22"/>
            <w:lang w:val="en-US"/>
          </w:rPr>
          <m:t>α</m:t>
        </m:r>
      </m:oMath>
      <w:r w:rsidRPr="00C00745">
        <w:rPr>
          <w:b w:val="0"/>
          <w:sz w:val="22"/>
          <w:lang w:val="en-US"/>
        </w:rPr>
        <w:t xml:space="preserve"> and the UE splits the power equally across the antenna ports on which the UE transmits </w:t>
      </w:r>
      <w:r w:rsidRPr="00C00745">
        <w:rPr>
          <w:b w:val="0"/>
          <w:sz w:val="22"/>
          <w:lang w:val="en-US"/>
        </w:rPr>
        <w:lastRenderedPageBreak/>
        <w:t>the PUSCH with non-zero power</w:t>
      </w:r>
      <w:r>
        <w:rPr>
          <w:b w:val="0"/>
          <w:sz w:val="22"/>
          <w:lang w:val="en-US"/>
        </w:rPr>
        <w:t>. Here,</w:t>
      </w:r>
      <w:r w:rsidRPr="00C00745">
        <w:rPr>
          <w:b w:val="0"/>
          <w:sz w:val="22"/>
          <w:lang w:val="en-US"/>
        </w:rPr>
        <w:t xml:space="preserve"> </w:t>
      </w:r>
      <m:oMath>
        <m:r>
          <m:rPr>
            <m:sty m:val="b"/>
          </m:rPr>
          <w:rPr>
            <w:rFonts w:ascii="Cambria Math" w:hAnsi="Cambria Math"/>
            <w:sz w:val="22"/>
            <w:lang w:val="en-US"/>
          </w:rPr>
          <m:t>α</m:t>
        </m:r>
      </m:oMath>
      <w:r w:rsidRPr="00C00745">
        <w:rPr>
          <w:b w:val="0"/>
          <w:sz w:val="22"/>
          <w:lang w:val="en-US"/>
        </w:rPr>
        <w:t xml:space="preserve"> </w:t>
      </w:r>
      <w:r>
        <w:rPr>
          <w:b w:val="0"/>
          <w:sz w:val="22"/>
          <w:lang w:val="en-US"/>
        </w:rPr>
        <w:t xml:space="preserve">can be determined by </w:t>
      </w:r>
      <w:r w:rsidRPr="00C00745">
        <w:rPr>
          <w:b w:val="0"/>
          <w:sz w:val="22"/>
          <w:lang w:val="en-US"/>
        </w:rPr>
        <w:t>RRC parameter</w:t>
      </w:r>
      <w:r>
        <w:rPr>
          <w:b w:val="0"/>
          <w:sz w:val="22"/>
          <w:lang w:val="en-US"/>
        </w:rPr>
        <w:t xml:space="preserve">, for instance, </w:t>
      </w:r>
      <m:oMath>
        <m:r>
          <m:rPr>
            <m:sty m:val="b"/>
          </m:rPr>
          <w:rPr>
            <w:rFonts w:ascii="Cambria Math" w:hAnsi="Cambria Math"/>
            <w:sz w:val="22"/>
            <w:lang w:val="en-US"/>
          </w:rPr>
          <m:t>α</m:t>
        </m:r>
      </m:oMath>
      <w:r>
        <w:rPr>
          <w:b w:val="0"/>
          <w:sz w:val="22"/>
          <w:lang w:val="en-US"/>
        </w:rPr>
        <w:t xml:space="preserve"> </w:t>
      </w:r>
      <w:r w:rsidRPr="00C00745">
        <w:rPr>
          <w:b w:val="0"/>
          <w:sz w:val="22"/>
          <w:lang w:val="en-US"/>
        </w:rPr>
        <w:t>can be either 1 or the ratio of the number of antenna ports with a non-zero PUSCH transmission power to the maximum number of SRS ports supported by the UE in one SRS resource</w:t>
      </w:r>
      <w:r w:rsidR="003C6BA1">
        <w:rPr>
          <w:b w:val="0"/>
          <w:sz w:val="22"/>
          <w:lang w:val="en-US"/>
        </w:rPr>
        <w:t xml:space="preserve"> which is the same as Rel-15 scaling factor</w:t>
      </w:r>
      <w:r w:rsidRPr="00C00745">
        <w:rPr>
          <w:b w:val="0"/>
          <w:sz w:val="22"/>
          <w:lang w:val="en-US"/>
        </w:rPr>
        <w:t>.</w:t>
      </w:r>
      <w:r>
        <w:rPr>
          <w:b w:val="0"/>
          <w:sz w:val="22"/>
          <w:lang w:val="en-US"/>
        </w:rPr>
        <w:t xml:space="preserve"> </w:t>
      </w:r>
      <w:r w:rsidR="00634E08" w:rsidRPr="00FB422C">
        <w:rPr>
          <w:b w:val="0"/>
          <w:sz w:val="22"/>
          <w:lang w:val="en-US"/>
        </w:rPr>
        <w:t xml:space="preserve">For UE capability 3, this </w:t>
      </w:r>
      <w:r w:rsidR="003400B8">
        <w:rPr>
          <w:b w:val="0"/>
          <w:sz w:val="22"/>
          <w:lang w:val="en-US"/>
        </w:rPr>
        <w:t>approach</w:t>
      </w:r>
      <w:r w:rsidR="00634E08" w:rsidRPr="00FB422C">
        <w:rPr>
          <w:b w:val="0"/>
          <w:sz w:val="22"/>
          <w:lang w:val="en-US"/>
        </w:rPr>
        <w:t xml:space="preserve"> is also applicable if the gNB has information on actual UE </w:t>
      </w:r>
      <w:r w:rsidR="00B27ECA">
        <w:rPr>
          <w:b w:val="0"/>
          <w:sz w:val="22"/>
          <w:lang w:val="en-US"/>
        </w:rPr>
        <w:t>PA</w:t>
      </w:r>
      <w:r w:rsidR="00634E08" w:rsidRPr="00FB422C">
        <w:rPr>
          <w:b w:val="0"/>
          <w:sz w:val="22"/>
          <w:lang w:val="en-US"/>
        </w:rPr>
        <w:t xml:space="preserve"> structure.</w:t>
      </w:r>
    </w:p>
    <w:p w14:paraId="6B21BAA7" w14:textId="77777777" w:rsidR="0088707C" w:rsidRPr="0046061B" w:rsidRDefault="0088707C" w:rsidP="0088707C">
      <w:pPr>
        <w:pStyle w:val="LGTdoc1"/>
        <w:snapToGrid/>
        <w:spacing w:beforeLines="0" w:before="100" w:beforeAutospacing="1" w:line="360" w:lineRule="auto"/>
        <w:ind w:firstLine="200"/>
        <w:contextualSpacing/>
        <w:rPr>
          <w:sz w:val="22"/>
          <w:lang w:val="en-US"/>
        </w:rPr>
      </w:pPr>
    </w:p>
    <w:p w14:paraId="08028B50" w14:textId="2AB7777D" w:rsidR="0088707C" w:rsidRPr="00FB422C" w:rsidRDefault="0088707C" w:rsidP="0088707C">
      <w:pPr>
        <w:pStyle w:val="LGTdoc1"/>
        <w:snapToGrid/>
        <w:spacing w:beforeLines="0" w:before="100" w:beforeAutospacing="1" w:line="360" w:lineRule="auto"/>
        <w:ind w:firstLine="200"/>
        <w:contextualSpacing/>
        <w:rPr>
          <w:sz w:val="22"/>
          <w:lang w:val="en-US"/>
        </w:rPr>
      </w:pPr>
      <w:r w:rsidRPr="00FB422C">
        <w:rPr>
          <w:rFonts w:hint="eastAsia"/>
          <w:sz w:val="22"/>
          <w:lang w:val="en-US"/>
        </w:rPr>
        <w:t>P</w:t>
      </w:r>
      <w:r w:rsidRPr="00FB422C">
        <w:rPr>
          <w:sz w:val="22"/>
          <w:lang w:val="en-US"/>
        </w:rPr>
        <w:t>roposal</w:t>
      </w:r>
      <w:r w:rsidR="00F76CF7">
        <w:rPr>
          <w:sz w:val="22"/>
          <w:lang w:val="en-US"/>
        </w:rPr>
        <w:t>3</w:t>
      </w:r>
      <w:r w:rsidRPr="00FB422C">
        <w:rPr>
          <w:sz w:val="22"/>
          <w:lang w:val="en-US"/>
        </w:rPr>
        <w:t>: If UE reports UE capability 1</w:t>
      </w:r>
      <w:r>
        <w:rPr>
          <w:sz w:val="22"/>
          <w:lang w:val="en-US"/>
        </w:rPr>
        <w:t xml:space="preserve"> and 3</w:t>
      </w:r>
      <w:r w:rsidRPr="00FB422C">
        <w:rPr>
          <w:sz w:val="22"/>
          <w:lang w:val="en-US"/>
        </w:rPr>
        <w:t>, UE scales the linear value of PUSCH power by</w:t>
      </w:r>
      <w:r w:rsidRPr="00FB422C">
        <w:rPr>
          <w:rFonts w:hint="eastAsia"/>
          <w:sz w:val="22"/>
          <w:lang w:val="en-US"/>
        </w:rPr>
        <w:t xml:space="preserve"> </w:t>
      </w:r>
      <m:oMath>
        <m:r>
          <m:rPr>
            <m:sty m:val="b"/>
          </m:rPr>
          <w:rPr>
            <w:rFonts w:ascii="Cambria Math" w:hAnsi="Cambria Math"/>
            <w:sz w:val="22"/>
            <w:lang w:val="en-US"/>
          </w:rPr>
          <m:t>α</m:t>
        </m:r>
      </m:oMath>
      <w:r w:rsidRPr="00FB422C" w:rsidDel="00C00745">
        <w:rPr>
          <w:sz w:val="22"/>
          <w:lang w:val="en-US"/>
        </w:rPr>
        <w:t xml:space="preserve"> </w:t>
      </w:r>
      <w:r w:rsidRPr="00FB422C">
        <w:rPr>
          <w:sz w:val="22"/>
          <w:lang w:val="en-US"/>
        </w:rPr>
        <w:t xml:space="preserve">and the UE splits the power equally across the antenna ports on which the UE transmits the PUSCH with non-zero power, where </w:t>
      </w:r>
      <m:oMath>
        <m:r>
          <m:rPr>
            <m:sty m:val="b"/>
          </m:rPr>
          <w:rPr>
            <w:rFonts w:ascii="Cambria Math" w:hAnsi="Cambria Math"/>
            <w:sz w:val="22"/>
            <w:lang w:val="en-US"/>
          </w:rPr>
          <m:t>α</m:t>
        </m:r>
      </m:oMath>
      <w:r w:rsidRPr="00FB422C" w:rsidDel="00C00745">
        <w:rPr>
          <w:sz w:val="22"/>
          <w:lang w:val="en-US"/>
        </w:rPr>
        <w:t xml:space="preserve"> </w:t>
      </w:r>
      <w:r w:rsidRPr="00FB422C">
        <w:rPr>
          <w:sz w:val="22"/>
          <w:lang w:val="en-US"/>
        </w:rPr>
        <w:t>can be configured by RRC parameter.</w:t>
      </w:r>
    </w:p>
    <w:p w14:paraId="64A72C3D" w14:textId="77777777" w:rsidR="0088707C" w:rsidRPr="00FB422C" w:rsidRDefault="0088707C" w:rsidP="0088707C">
      <w:pPr>
        <w:pStyle w:val="LGTdoc1"/>
        <w:numPr>
          <w:ilvl w:val="0"/>
          <w:numId w:val="16"/>
        </w:numPr>
        <w:snapToGrid/>
        <w:spacing w:beforeLines="0" w:before="100" w:beforeAutospacing="1" w:line="360" w:lineRule="auto"/>
        <w:contextualSpacing/>
        <w:rPr>
          <w:sz w:val="22"/>
          <w:lang w:val="en-US"/>
        </w:rPr>
      </w:pPr>
      <m:oMath>
        <m:r>
          <m:rPr>
            <m:sty m:val="b"/>
          </m:rPr>
          <w:rPr>
            <w:rFonts w:ascii="Cambria Math" w:hAnsi="Cambria Math"/>
            <w:sz w:val="22"/>
            <w:lang w:val="en-US"/>
          </w:rPr>
          <m:t>α</m:t>
        </m:r>
      </m:oMath>
      <w:r w:rsidRPr="00FB422C">
        <w:rPr>
          <w:sz w:val="22"/>
          <w:lang w:val="en-US"/>
        </w:rPr>
        <w:t xml:space="preserve"> can be either 1 or the ratio of the number of antenna ports with a non-zero PUSCH transmission power to the maximum number of SRS ports supported by the UE in one SRS resource.</w:t>
      </w:r>
    </w:p>
    <w:p w14:paraId="69A3AF4B" w14:textId="77777777" w:rsidR="00F76CF7" w:rsidRDefault="00F76CF7" w:rsidP="00F863C6">
      <w:pPr>
        <w:pStyle w:val="LGTdoc1"/>
        <w:snapToGrid/>
        <w:spacing w:beforeLines="0" w:before="100" w:beforeAutospacing="1" w:line="360" w:lineRule="auto"/>
        <w:ind w:firstLineChars="100" w:firstLine="220"/>
        <w:contextualSpacing/>
        <w:rPr>
          <w:b w:val="0"/>
          <w:sz w:val="22"/>
          <w:lang w:val="en-US"/>
        </w:rPr>
      </w:pPr>
    </w:p>
    <w:p w14:paraId="5506DC73" w14:textId="77777777" w:rsidR="00DE63A0" w:rsidRDefault="00DE63A0" w:rsidP="004C6957">
      <w:pPr>
        <w:pStyle w:val="1"/>
        <w:numPr>
          <w:ilvl w:val="0"/>
          <w:numId w:val="22"/>
        </w:numPr>
        <w:ind w:left="426" w:hanging="426"/>
      </w:pPr>
      <w:r>
        <w:t>Conclusion</w:t>
      </w:r>
    </w:p>
    <w:p w14:paraId="0343FE66" w14:textId="72177438" w:rsidR="00C00823" w:rsidRPr="00987B8F" w:rsidRDefault="00074AB3" w:rsidP="00074AB3">
      <w:pPr>
        <w:pStyle w:val="LGTdoc1"/>
        <w:snapToGrid/>
        <w:spacing w:beforeLines="0" w:before="100" w:beforeAutospacing="1" w:line="360" w:lineRule="auto"/>
        <w:ind w:firstLineChars="150" w:firstLine="330"/>
        <w:contextualSpacing/>
        <w:rPr>
          <w:b w:val="0"/>
          <w:sz w:val="22"/>
          <w:lang w:val="en-US"/>
        </w:rPr>
      </w:pPr>
      <w:r w:rsidRPr="00987B8F">
        <w:rPr>
          <w:rFonts w:hint="eastAsia"/>
          <w:b w:val="0"/>
          <w:sz w:val="22"/>
          <w:lang w:val="en-US"/>
        </w:rPr>
        <w:t>In this contribution, we</w:t>
      </w:r>
      <w:r w:rsidR="00F44B4E">
        <w:rPr>
          <w:b w:val="0"/>
          <w:sz w:val="22"/>
          <w:lang w:val="en-US"/>
        </w:rPr>
        <w:t xml:space="preserve"> further</w:t>
      </w:r>
      <w:r w:rsidRPr="00987B8F">
        <w:rPr>
          <w:rFonts w:hint="eastAsia"/>
          <w:b w:val="0"/>
          <w:sz w:val="22"/>
          <w:lang w:val="en-US"/>
        </w:rPr>
        <w:t xml:space="preserve"> discuss</w:t>
      </w:r>
      <w:r w:rsidR="00C00823" w:rsidRPr="00987B8F">
        <w:rPr>
          <w:b w:val="0"/>
          <w:sz w:val="22"/>
          <w:lang w:val="en-US"/>
        </w:rPr>
        <w:t xml:space="preserve">ed </w:t>
      </w:r>
      <w:r w:rsidRPr="00987B8F">
        <w:rPr>
          <w:rFonts w:hint="eastAsia"/>
          <w:b w:val="0"/>
          <w:sz w:val="22"/>
          <w:lang w:val="en-US"/>
        </w:rPr>
        <w:t xml:space="preserve">on full power </w:t>
      </w:r>
      <w:r w:rsidR="00F44B4E">
        <w:rPr>
          <w:b w:val="0"/>
          <w:sz w:val="22"/>
          <w:lang w:val="en-US"/>
        </w:rPr>
        <w:t xml:space="preserve">uplink </w:t>
      </w:r>
      <w:r w:rsidRPr="00987B8F">
        <w:rPr>
          <w:rFonts w:hint="eastAsia"/>
          <w:b w:val="0"/>
          <w:sz w:val="22"/>
          <w:lang w:val="en-US"/>
        </w:rPr>
        <w:t>transmission</w:t>
      </w:r>
      <w:r w:rsidR="00F44B4E">
        <w:rPr>
          <w:b w:val="0"/>
          <w:sz w:val="22"/>
          <w:lang w:val="en-US"/>
        </w:rPr>
        <w:t xml:space="preserve"> for non/partial coherent UE</w:t>
      </w:r>
      <w:r w:rsidRPr="00987B8F">
        <w:rPr>
          <w:b w:val="0"/>
          <w:sz w:val="22"/>
          <w:lang w:val="en-US"/>
        </w:rPr>
        <w:t xml:space="preserve">. </w:t>
      </w:r>
      <w:r w:rsidR="00C00823" w:rsidRPr="00987B8F">
        <w:rPr>
          <w:b w:val="0"/>
          <w:sz w:val="22"/>
          <w:lang w:val="en-US"/>
        </w:rPr>
        <w:t xml:space="preserve">Based on the discussion, we have </w:t>
      </w:r>
      <w:r w:rsidR="00B563C0" w:rsidRPr="00987B8F">
        <w:rPr>
          <w:b w:val="0"/>
          <w:sz w:val="22"/>
          <w:lang w:val="en-US"/>
        </w:rPr>
        <w:t xml:space="preserve">the </w:t>
      </w:r>
      <w:r w:rsidR="00C00823" w:rsidRPr="00987B8F">
        <w:rPr>
          <w:b w:val="0"/>
          <w:sz w:val="22"/>
          <w:lang w:val="en-US"/>
        </w:rPr>
        <w:t>following proposal as:</w:t>
      </w:r>
    </w:p>
    <w:p w14:paraId="40B29DC3" w14:textId="77777777" w:rsidR="00BE73C5" w:rsidRDefault="00BE73C5" w:rsidP="00ED3EDD">
      <w:pPr>
        <w:pStyle w:val="LGTdoc1"/>
        <w:snapToGrid/>
        <w:spacing w:beforeLines="0" w:before="100" w:beforeAutospacing="1" w:line="360" w:lineRule="auto"/>
        <w:contextualSpacing/>
        <w:rPr>
          <w:sz w:val="22"/>
          <w:lang w:val="en-US"/>
        </w:rPr>
      </w:pPr>
    </w:p>
    <w:p w14:paraId="1F5B0EA5" w14:textId="5B964E82" w:rsidR="00BE73C5" w:rsidRPr="0003278D" w:rsidRDefault="0003278D" w:rsidP="0003278D">
      <w:pPr>
        <w:pStyle w:val="LGTdoc1"/>
        <w:snapToGrid/>
        <w:spacing w:beforeLines="0" w:before="100" w:beforeAutospacing="1" w:line="360" w:lineRule="auto"/>
        <w:ind w:firstLineChars="50" w:firstLine="108"/>
        <w:contextualSpacing/>
        <w:rPr>
          <w:sz w:val="22"/>
          <w:lang w:val="en-US"/>
        </w:rPr>
      </w:pPr>
      <w:r w:rsidRPr="00FB422C">
        <w:rPr>
          <w:rFonts w:hint="eastAsia"/>
          <w:sz w:val="22"/>
          <w:lang w:val="en-US"/>
        </w:rPr>
        <w:t>P</w:t>
      </w:r>
      <w:r w:rsidRPr="00FB422C">
        <w:rPr>
          <w:sz w:val="22"/>
          <w:lang w:val="en-US"/>
        </w:rPr>
        <w:t>roposal</w:t>
      </w:r>
      <w:r>
        <w:rPr>
          <w:sz w:val="22"/>
          <w:lang w:val="en-US"/>
        </w:rPr>
        <w:t>1</w:t>
      </w:r>
      <w:r w:rsidRPr="00FB422C">
        <w:rPr>
          <w:sz w:val="22"/>
          <w:lang w:val="en-US"/>
        </w:rPr>
        <w:t xml:space="preserve">: </w:t>
      </w:r>
      <w:r>
        <w:rPr>
          <w:sz w:val="22"/>
          <w:lang w:val="en-US"/>
        </w:rPr>
        <w:t xml:space="preserve">Support </w:t>
      </w:r>
      <w:r w:rsidRPr="00ED3EDD">
        <w:rPr>
          <w:sz w:val="22"/>
          <w:lang w:val="en-US"/>
        </w:rPr>
        <w:t xml:space="preserve">UE capability signaling of supported </w:t>
      </w:r>
      <w:r>
        <w:rPr>
          <w:sz w:val="22"/>
          <w:lang w:val="en-US"/>
        </w:rPr>
        <w:t>TPMIs</w:t>
      </w:r>
      <w:r w:rsidRPr="00ED3EDD">
        <w:rPr>
          <w:sz w:val="22"/>
          <w:lang w:val="en-US"/>
        </w:rPr>
        <w:t xml:space="preserve"> or group of TPMI</w:t>
      </w:r>
      <w:r>
        <w:rPr>
          <w:sz w:val="22"/>
          <w:lang w:val="en-US"/>
        </w:rPr>
        <w:t>s</w:t>
      </w:r>
      <w:r w:rsidRPr="00ED3EDD">
        <w:rPr>
          <w:sz w:val="22"/>
          <w:lang w:val="en-US"/>
        </w:rPr>
        <w:t xml:space="preserve"> </w:t>
      </w:r>
      <w:r>
        <w:rPr>
          <w:sz w:val="22"/>
          <w:lang w:val="en-US"/>
        </w:rPr>
        <w:t xml:space="preserve">in addition to </w:t>
      </w:r>
      <w:r w:rsidRPr="007D6DF0">
        <w:rPr>
          <w:sz w:val="22"/>
          <w:lang w:val="en-US"/>
        </w:rPr>
        <w:t>signaling of “UL full power tx capability”</w:t>
      </w:r>
      <w:r>
        <w:rPr>
          <w:sz w:val="22"/>
          <w:lang w:val="en-US"/>
        </w:rPr>
        <w:t xml:space="preserve"> at least for UE capability 3. </w:t>
      </w:r>
    </w:p>
    <w:p w14:paraId="4CC24993" w14:textId="77777777" w:rsidR="00080E79" w:rsidRDefault="00EF3F2B" w:rsidP="000345C4">
      <w:pPr>
        <w:pStyle w:val="LGTdoc1"/>
        <w:snapToGrid/>
        <w:spacing w:beforeLines="0" w:before="100" w:beforeAutospacing="1" w:line="360" w:lineRule="auto"/>
        <w:ind w:firstLineChars="50" w:firstLine="108"/>
        <w:contextualSpacing/>
        <w:rPr>
          <w:sz w:val="22"/>
          <w:szCs w:val="22"/>
        </w:rPr>
      </w:pPr>
      <w:r>
        <w:rPr>
          <w:sz w:val="22"/>
          <w:szCs w:val="22"/>
        </w:rPr>
        <w:t>Proposal2: Alt 1 is slightly preferred, but a unified solution based on Proposal 1 introducing UE capability signaling of supported TPMIs should be supported for UE capability 2 and 3 commonly.</w:t>
      </w:r>
    </w:p>
    <w:p w14:paraId="5986F2CF" w14:textId="548D6138" w:rsidR="0046061B" w:rsidRPr="00FB422C" w:rsidRDefault="0046061B" w:rsidP="000345C4">
      <w:pPr>
        <w:pStyle w:val="LGTdoc1"/>
        <w:snapToGrid/>
        <w:spacing w:beforeLines="0" w:before="100" w:beforeAutospacing="1" w:line="360" w:lineRule="auto"/>
        <w:ind w:firstLineChars="50" w:firstLine="108"/>
        <w:contextualSpacing/>
        <w:rPr>
          <w:sz w:val="22"/>
          <w:lang w:val="en-US"/>
        </w:rPr>
      </w:pPr>
      <w:bookmarkStart w:id="2" w:name="_GoBack"/>
      <w:bookmarkEnd w:id="2"/>
      <w:r w:rsidRPr="00FB422C">
        <w:rPr>
          <w:rFonts w:hint="eastAsia"/>
          <w:sz w:val="22"/>
          <w:lang w:val="en-US"/>
        </w:rPr>
        <w:t>P</w:t>
      </w:r>
      <w:r w:rsidRPr="00FB422C">
        <w:rPr>
          <w:sz w:val="22"/>
          <w:lang w:val="en-US"/>
        </w:rPr>
        <w:t>roposal</w:t>
      </w:r>
      <w:r>
        <w:rPr>
          <w:sz w:val="22"/>
          <w:lang w:val="en-US"/>
        </w:rPr>
        <w:t>3</w:t>
      </w:r>
      <w:r w:rsidRPr="00FB422C">
        <w:rPr>
          <w:sz w:val="22"/>
          <w:lang w:val="en-US"/>
        </w:rPr>
        <w:t>: If UE reports UE capability 1</w:t>
      </w:r>
      <w:r>
        <w:rPr>
          <w:sz w:val="22"/>
          <w:lang w:val="en-US"/>
        </w:rPr>
        <w:t xml:space="preserve"> and 3</w:t>
      </w:r>
      <w:r w:rsidRPr="00FB422C">
        <w:rPr>
          <w:sz w:val="22"/>
          <w:lang w:val="en-US"/>
        </w:rPr>
        <w:t>, UE scales the linear value of PUSCH power by</w:t>
      </w:r>
      <w:r w:rsidRPr="00FB422C">
        <w:rPr>
          <w:rFonts w:hint="eastAsia"/>
          <w:sz w:val="22"/>
          <w:lang w:val="en-US"/>
        </w:rPr>
        <w:t xml:space="preserve"> </w:t>
      </w:r>
      <m:oMath>
        <m:r>
          <m:rPr>
            <m:sty m:val="b"/>
          </m:rPr>
          <w:rPr>
            <w:rFonts w:ascii="Cambria Math" w:hAnsi="Cambria Math"/>
            <w:sz w:val="22"/>
            <w:lang w:val="en-US"/>
          </w:rPr>
          <m:t>α</m:t>
        </m:r>
      </m:oMath>
      <w:r w:rsidRPr="00FB422C" w:rsidDel="00C00745">
        <w:rPr>
          <w:sz w:val="22"/>
          <w:lang w:val="en-US"/>
        </w:rPr>
        <w:t xml:space="preserve"> </w:t>
      </w:r>
      <w:r w:rsidRPr="00FB422C">
        <w:rPr>
          <w:sz w:val="22"/>
          <w:lang w:val="en-US"/>
        </w:rPr>
        <w:t xml:space="preserve">and the UE splits the power equally across the antenna ports on which the UE transmits the PUSCH with non-zero power, where </w:t>
      </w:r>
      <m:oMath>
        <m:r>
          <m:rPr>
            <m:sty m:val="b"/>
          </m:rPr>
          <w:rPr>
            <w:rFonts w:ascii="Cambria Math" w:hAnsi="Cambria Math"/>
            <w:sz w:val="22"/>
            <w:lang w:val="en-US"/>
          </w:rPr>
          <m:t>α</m:t>
        </m:r>
      </m:oMath>
      <w:r w:rsidRPr="00FB422C" w:rsidDel="00C00745">
        <w:rPr>
          <w:sz w:val="22"/>
          <w:lang w:val="en-US"/>
        </w:rPr>
        <w:t xml:space="preserve"> </w:t>
      </w:r>
      <w:r w:rsidRPr="00FB422C">
        <w:rPr>
          <w:sz w:val="22"/>
          <w:lang w:val="en-US"/>
        </w:rPr>
        <w:t>can be configured by RRC parameter.</w:t>
      </w:r>
    </w:p>
    <w:p w14:paraId="291DDA93" w14:textId="77777777" w:rsidR="0046061B" w:rsidRPr="00FB422C" w:rsidRDefault="0046061B" w:rsidP="0046061B">
      <w:pPr>
        <w:pStyle w:val="LGTdoc1"/>
        <w:numPr>
          <w:ilvl w:val="0"/>
          <w:numId w:val="16"/>
        </w:numPr>
        <w:snapToGrid/>
        <w:spacing w:beforeLines="0" w:before="100" w:beforeAutospacing="1" w:line="360" w:lineRule="auto"/>
        <w:contextualSpacing/>
        <w:rPr>
          <w:sz w:val="22"/>
          <w:lang w:val="en-US"/>
        </w:rPr>
      </w:pPr>
      <m:oMath>
        <m:r>
          <m:rPr>
            <m:sty m:val="b"/>
          </m:rPr>
          <w:rPr>
            <w:rFonts w:ascii="Cambria Math" w:hAnsi="Cambria Math"/>
            <w:sz w:val="22"/>
            <w:lang w:val="en-US"/>
          </w:rPr>
          <m:t>α</m:t>
        </m:r>
      </m:oMath>
      <w:r w:rsidRPr="00FB422C">
        <w:rPr>
          <w:sz w:val="22"/>
          <w:lang w:val="en-US"/>
        </w:rPr>
        <w:t xml:space="preserve"> can be either 1 or the ratio of the number of antenna ports with a non-zero PUSCH transmission power to the maximum number of SRS ports supported by the UE in one SRS resource.</w:t>
      </w:r>
    </w:p>
    <w:p w14:paraId="50C2C584" w14:textId="77777777" w:rsidR="00BE73C5" w:rsidRPr="0046061B" w:rsidRDefault="00BE73C5" w:rsidP="00ED3EDD">
      <w:pPr>
        <w:pStyle w:val="LGTdoc1"/>
        <w:snapToGrid/>
        <w:spacing w:beforeLines="0" w:before="100" w:beforeAutospacing="1" w:line="360" w:lineRule="auto"/>
        <w:contextualSpacing/>
        <w:rPr>
          <w:b w:val="0"/>
          <w:sz w:val="20"/>
          <w:lang w:val="en-US"/>
        </w:rPr>
      </w:pPr>
    </w:p>
    <w:sectPr w:rsidR="00BE73C5" w:rsidRPr="0046061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9CCAE" w14:textId="77777777" w:rsidR="00FB167A" w:rsidRDefault="00FB167A" w:rsidP="00D30654">
      <w:pPr>
        <w:spacing w:after="0" w:line="240" w:lineRule="auto"/>
      </w:pPr>
      <w:r>
        <w:separator/>
      </w:r>
    </w:p>
  </w:endnote>
  <w:endnote w:type="continuationSeparator" w:id="0">
    <w:p w14:paraId="2A52DCAF" w14:textId="77777777" w:rsidR="00FB167A" w:rsidRDefault="00FB167A"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18D18" w14:textId="77777777" w:rsidR="00FB167A" w:rsidRDefault="00FB167A" w:rsidP="00D30654">
      <w:pPr>
        <w:spacing w:after="0" w:line="240" w:lineRule="auto"/>
      </w:pPr>
      <w:r>
        <w:separator/>
      </w:r>
    </w:p>
  </w:footnote>
  <w:footnote w:type="continuationSeparator" w:id="0">
    <w:p w14:paraId="5D3C4C0E" w14:textId="77777777" w:rsidR="00FB167A" w:rsidRDefault="00FB167A"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63.45pt;height:57.85pt" o:bullet="t">
        <v:imagedata r:id="rId1" o:title="clip_image001"/>
      </v:shape>
    </w:pict>
  </w:numPicBullet>
  <w:abstractNum w:abstractNumId="0" w15:restartNumberingAfterBreak="0">
    <w:nsid w:val="0A004C75"/>
    <w:multiLevelType w:val="hybridMultilevel"/>
    <w:tmpl w:val="CCF45896"/>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1B713F"/>
    <w:multiLevelType w:val="hybridMultilevel"/>
    <w:tmpl w:val="787CC978"/>
    <w:lvl w:ilvl="0" w:tplc="60AE8B56">
      <w:start w:val="1"/>
      <w:numFmt w:val="bullet"/>
      <w:lvlText w:val="•"/>
      <w:lvlJc w:val="left"/>
      <w:pPr>
        <w:ind w:left="760" w:hanging="360"/>
      </w:pPr>
      <w:rPr>
        <w:rFonts w:ascii="Arial" w:hAnsi="Arial" w:cs="Times New Roman" w:hint="default"/>
      </w:rPr>
    </w:lvl>
    <w:lvl w:ilvl="1" w:tplc="CF3E35D6">
      <w:numFmt w:val="bullet"/>
      <w:lvlText w:val="-"/>
      <w:lvlJc w:val="left"/>
      <w:pPr>
        <w:ind w:left="1200" w:hanging="400"/>
      </w:pPr>
      <w:rPr>
        <w:rFonts w:ascii="Calibri" w:eastAsia="SimSun"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A33F51"/>
    <w:multiLevelType w:val="hybridMultilevel"/>
    <w:tmpl w:val="44781BF2"/>
    <w:lvl w:ilvl="0" w:tplc="2DD464CC">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04D3B"/>
    <w:multiLevelType w:val="hybridMultilevel"/>
    <w:tmpl w:val="046AA47A"/>
    <w:lvl w:ilvl="0" w:tplc="76F28A66">
      <w:numFmt w:val="bullet"/>
      <w:lvlText w:val="-"/>
      <w:lvlJc w:val="left"/>
      <w:pPr>
        <w:ind w:left="1120" w:hanging="360"/>
      </w:pPr>
      <w:rPr>
        <w:rFonts w:ascii="Times" w:eastAsia="바탕" w:hAnsi="Times" w:cs="Times"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15:restartNumberingAfterBreak="0">
    <w:nsid w:val="1E3052A2"/>
    <w:multiLevelType w:val="hybridMultilevel"/>
    <w:tmpl w:val="BE320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F412E4"/>
    <w:multiLevelType w:val="hybridMultilevel"/>
    <w:tmpl w:val="E62EFD94"/>
    <w:lvl w:ilvl="0" w:tplc="04090003">
      <w:start w:val="1"/>
      <w:numFmt w:val="bullet"/>
      <w:lvlText w:val="o"/>
      <w:lvlJc w:val="left"/>
      <w:pPr>
        <w:ind w:left="1530" w:hanging="400"/>
      </w:pPr>
      <w:rPr>
        <w:rFonts w:ascii="Courier New" w:hAnsi="Courier New" w:cs="Courier New" w:hint="default"/>
      </w:rPr>
    </w:lvl>
    <w:lvl w:ilvl="1" w:tplc="04090003" w:tentative="1">
      <w:start w:val="1"/>
      <w:numFmt w:val="bullet"/>
      <w:lvlText w:val=""/>
      <w:lvlJc w:val="left"/>
      <w:pPr>
        <w:ind w:left="1930" w:hanging="400"/>
      </w:pPr>
      <w:rPr>
        <w:rFonts w:ascii="Wingdings" w:hAnsi="Wingdings" w:hint="default"/>
      </w:rPr>
    </w:lvl>
    <w:lvl w:ilvl="2" w:tplc="04090005" w:tentative="1">
      <w:start w:val="1"/>
      <w:numFmt w:val="bullet"/>
      <w:lvlText w:val=""/>
      <w:lvlJc w:val="left"/>
      <w:pPr>
        <w:ind w:left="2330" w:hanging="400"/>
      </w:pPr>
      <w:rPr>
        <w:rFonts w:ascii="Wingdings" w:hAnsi="Wingdings" w:hint="default"/>
      </w:rPr>
    </w:lvl>
    <w:lvl w:ilvl="3" w:tplc="04090001" w:tentative="1">
      <w:start w:val="1"/>
      <w:numFmt w:val="bullet"/>
      <w:lvlText w:val=""/>
      <w:lvlJc w:val="left"/>
      <w:pPr>
        <w:ind w:left="2730" w:hanging="400"/>
      </w:pPr>
      <w:rPr>
        <w:rFonts w:ascii="Wingdings" w:hAnsi="Wingdings" w:hint="default"/>
      </w:rPr>
    </w:lvl>
    <w:lvl w:ilvl="4" w:tplc="04090003" w:tentative="1">
      <w:start w:val="1"/>
      <w:numFmt w:val="bullet"/>
      <w:lvlText w:val=""/>
      <w:lvlJc w:val="left"/>
      <w:pPr>
        <w:ind w:left="3130" w:hanging="400"/>
      </w:pPr>
      <w:rPr>
        <w:rFonts w:ascii="Wingdings" w:hAnsi="Wingdings" w:hint="default"/>
      </w:rPr>
    </w:lvl>
    <w:lvl w:ilvl="5" w:tplc="04090005" w:tentative="1">
      <w:start w:val="1"/>
      <w:numFmt w:val="bullet"/>
      <w:lvlText w:val=""/>
      <w:lvlJc w:val="left"/>
      <w:pPr>
        <w:ind w:left="3530" w:hanging="400"/>
      </w:pPr>
      <w:rPr>
        <w:rFonts w:ascii="Wingdings" w:hAnsi="Wingdings" w:hint="default"/>
      </w:rPr>
    </w:lvl>
    <w:lvl w:ilvl="6" w:tplc="04090001" w:tentative="1">
      <w:start w:val="1"/>
      <w:numFmt w:val="bullet"/>
      <w:lvlText w:val=""/>
      <w:lvlJc w:val="left"/>
      <w:pPr>
        <w:ind w:left="3930" w:hanging="400"/>
      </w:pPr>
      <w:rPr>
        <w:rFonts w:ascii="Wingdings" w:hAnsi="Wingdings" w:hint="default"/>
      </w:rPr>
    </w:lvl>
    <w:lvl w:ilvl="7" w:tplc="04090003" w:tentative="1">
      <w:start w:val="1"/>
      <w:numFmt w:val="bullet"/>
      <w:lvlText w:val=""/>
      <w:lvlJc w:val="left"/>
      <w:pPr>
        <w:ind w:left="4330" w:hanging="400"/>
      </w:pPr>
      <w:rPr>
        <w:rFonts w:ascii="Wingdings" w:hAnsi="Wingdings" w:hint="default"/>
      </w:rPr>
    </w:lvl>
    <w:lvl w:ilvl="8" w:tplc="04090005" w:tentative="1">
      <w:start w:val="1"/>
      <w:numFmt w:val="bullet"/>
      <w:lvlText w:val=""/>
      <w:lvlJc w:val="left"/>
      <w:pPr>
        <w:ind w:left="4730" w:hanging="400"/>
      </w:pPr>
      <w:rPr>
        <w:rFonts w:ascii="Wingdings" w:hAnsi="Wingdings" w:hint="default"/>
      </w:rPr>
    </w:lvl>
  </w:abstractNum>
  <w:abstractNum w:abstractNumId="6" w15:restartNumberingAfterBreak="0">
    <w:nsid w:val="20911780"/>
    <w:multiLevelType w:val="hybridMultilevel"/>
    <w:tmpl w:val="90546D8E"/>
    <w:lvl w:ilvl="0" w:tplc="04090003">
      <w:start w:val="1"/>
      <w:numFmt w:val="bullet"/>
      <w:lvlText w:val="o"/>
      <w:lvlJc w:val="left"/>
      <w:pPr>
        <w:ind w:left="1530" w:hanging="400"/>
      </w:pPr>
      <w:rPr>
        <w:rFonts w:ascii="Courier New" w:hAnsi="Courier New" w:cs="Courier New" w:hint="default"/>
      </w:rPr>
    </w:lvl>
    <w:lvl w:ilvl="1" w:tplc="04090003" w:tentative="1">
      <w:start w:val="1"/>
      <w:numFmt w:val="bullet"/>
      <w:lvlText w:val=""/>
      <w:lvlJc w:val="left"/>
      <w:pPr>
        <w:ind w:left="1930" w:hanging="400"/>
      </w:pPr>
      <w:rPr>
        <w:rFonts w:ascii="Wingdings" w:hAnsi="Wingdings" w:hint="default"/>
      </w:rPr>
    </w:lvl>
    <w:lvl w:ilvl="2" w:tplc="04090005" w:tentative="1">
      <w:start w:val="1"/>
      <w:numFmt w:val="bullet"/>
      <w:lvlText w:val=""/>
      <w:lvlJc w:val="left"/>
      <w:pPr>
        <w:ind w:left="2330" w:hanging="400"/>
      </w:pPr>
      <w:rPr>
        <w:rFonts w:ascii="Wingdings" w:hAnsi="Wingdings" w:hint="default"/>
      </w:rPr>
    </w:lvl>
    <w:lvl w:ilvl="3" w:tplc="04090001" w:tentative="1">
      <w:start w:val="1"/>
      <w:numFmt w:val="bullet"/>
      <w:lvlText w:val=""/>
      <w:lvlJc w:val="left"/>
      <w:pPr>
        <w:ind w:left="2730" w:hanging="400"/>
      </w:pPr>
      <w:rPr>
        <w:rFonts w:ascii="Wingdings" w:hAnsi="Wingdings" w:hint="default"/>
      </w:rPr>
    </w:lvl>
    <w:lvl w:ilvl="4" w:tplc="04090003" w:tentative="1">
      <w:start w:val="1"/>
      <w:numFmt w:val="bullet"/>
      <w:lvlText w:val=""/>
      <w:lvlJc w:val="left"/>
      <w:pPr>
        <w:ind w:left="3130" w:hanging="400"/>
      </w:pPr>
      <w:rPr>
        <w:rFonts w:ascii="Wingdings" w:hAnsi="Wingdings" w:hint="default"/>
      </w:rPr>
    </w:lvl>
    <w:lvl w:ilvl="5" w:tplc="04090005" w:tentative="1">
      <w:start w:val="1"/>
      <w:numFmt w:val="bullet"/>
      <w:lvlText w:val=""/>
      <w:lvlJc w:val="left"/>
      <w:pPr>
        <w:ind w:left="3530" w:hanging="400"/>
      </w:pPr>
      <w:rPr>
        <w:rFonts w:ascii="Wingdings" w:hAnsi="Wingdings" w:hint="default"/>
      </w:rPr>
    </w:lvl>
    <w:lvl w:ilvl="6" w:tplc="04090001" w:tentative="1">
      <w:start w:val="1"/>
      <w:numFmt w:val="bullet"/>
      <w:lvlText w:val=""/>
      <w:lvlJc w:val="left"/>
      <w:pPr>
        <w:ind w:left="3930" w:hanging="400"/>
      </w:pPr>
      <w:rPr>
        <w:rFonts w:ascii="Wingdings" w:hAnsi="Wingdings" w:hint="default"/>
      </w:rPr>
    </w:lvl>
    <w:lvl w:ilvl="7" w:tplc="04090003" w:tentative="1">
      <w:start w:val="1"/>
      <w:numFmt w:val="bullet"/>
      <w:lvlText w:val=""/>
      <w:lvlJc w:val="left"/>
      <w:pPr>
        <w:ind w:left="4330" w:hanging="400"/>
      </w:pPr>
      <w:rPr>
        <w:rFonts w:ascii="Wingdings" w:hAnsi="Wingdings" w:hint="default"/>
      </w:rPr>
    </w:lvl>
    <w:lvl w:ilvl="8" w:tplc="04090005" w:tentative="1">
      <w:start w:val="1"/>
      <w:numFmt w:val="bullet"/>
      <w:lvlText w:val=""/>
      <w:lvlJc w:val="left"/>
      <w:pPr>
        <w:ind w:left="4730" w:hanging="40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290603"/>
    <w:multiLevelType w:val="hybridMultilevel"/>
    <w:tmpl w:val="A2DEC68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30EF74E7"/>
    <w:multiLevelType w:val="hybridMultilevel"/>
    <w:tmpl w:val="414ED906"/>
    <w:lvl w:ilvl="0" w:tplc="FFFFFFFF">
      <w:start w:val="1"/>
      <w:numFmt w:val="bullet"/>
      <w:lvlText w:val=""/>
      <w:lvlJc w:val="left"/>
      <w:pPr>
        <w:ind w:left="730" w:hanging="400"/>
      </w:pPr>
      <w:rPr>
        <w:rFonts w:ascii="Symbol" w:hAnsi="Symbol" w:hint="default"/>
      </w:rPr>
    </w:lvl>
    <w:lvl w:ilvl="1" w:tplc="04090003">
      <w:start w:val="1"/>
      <w:numFmt w:val="bullet"/>
      <w:lvlText w:val=""/>
      <w:lvlJc w:val="left"/>
      <w:pPr>
        <w:ind w:left="1130" w:hanging="400"/>
      </w:pPr>
      <w:rPr>
        <w:rFonts w:ascii="Wingdings" w:hAnsi="Wingdings" w:hint="default"/>
      </w:rPr>
    </w:lvl>
    <w:lvl w:ilvl="2" w:tplc="04090003">
      <w:start w:val="1"/>
      <w:numFmt w:val="bullet"/>
      <w:lvlText w:val="o"/>
      <w:lvlJc w:val="left"/>
      <w:pPr>
        <w:ind w:left="1530" w:hanging="400"/>
      </w:pPr>
      <w:rPr>
        <w:rFonts w:ascii="Courier New" w:hAnsi="Courier New" w:cs="Courier New"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2" w15:restartNumberingAfterBreak="0">
    <w:nsid w:val="31D62CA5"/>
    <w:multiLevelType w:val="hybridMultilevel"/>
    <w:tmpl w:val="D82C9D4A"/>
    <w:lvl w:ilvl="0" w:tplc="2A9E5A96">
      <w:start w:val="1"/>
      <w:numFmt w:val="bullet"/>
      <w:lvlText w:val="-"/>
      <w:lvlJc w:val="left"/>
      <w:pPr>
        <w:ind w:left="730" w:hanging="400"/>
      </w:pPr>
      <w:rPr>
        <w:rFonts w:ascii="Calibri" w:eastAsia="SimSun" w:hAnsi="Calibri" w:cs="Calibri" w:hint="default"/>
      </w:rPr>
    </w:lvl>
    <w:lvl w:ilvl="1" w:tplc="FFFFFFFF">
      <w:start w:val="1"/>
      <w:numFmt w:val="bullet"/>
      <w:lvlText w:val=""/>
      <w:lvlJc w:val="left"/>
      <w:pPr>
        <w:ind w:left="1130" w:hanging="400"/>
      </w:pPr>
      <w:rPr>
        <w:rFonts w:ascii="Symbol" w:hAnsi="Symbol" w:hint="default"/>
      </w:rPr>
    </w:lvl>
    <w:lvl w:ilvl="2" w:tplc="04090005">
      <w:start w:val="1"/>
      <w:numFmt w:val="bullet"/>
      <w:lvlText w:val=""/>
      <w:lvlJc w:val="left"/>
      <w:pPr>
        <w:ind w:left="1530" w:hanging="400"/>
      </w:pPr>
      <w:rPr>
        <w:rFonts w:ascii="Wingdings" w:hAnsi="Wingdings" w:hint="default"/>
      </w:rPr>
    </w:lvl>
    <w:lvl w:ilvl="3" w:tplc="0409000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3" w15:restartNumberingAfterBreak="0">
    <w:nsid w:val="31DE5453"/>
    <w:multiLevelType w:val="hybridMultilevel"/>
    <w:tmpl w:val="941C5B9A"/>
    <w:lvl w:ilvl="0" w:tplc="5CA6DD84">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717380"/>
    <w:multiLevelType w:val="hybridMultilevel"/>
    <w:tmpl w:val="A3EAF6A0"/>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E34C17"/>
    <w:multiLevelType w:val="hybridMultilevel"/>
    <w:tmpl w:val="9C54C526"/>
    <w:lvl w:ilvl="0" w:tplc="FFFFFFFF">
      <w:start w:val="1"/>
      <w:numFmt w:val="bullet"/>
      <w:lvlText w:val=""/>
      <w:lvlJc w:val="left"/>
      <w:pPr>
        <w:ind w:left="730" w:hanging="400"/>
      </w:pPr>
      <w:rPr>
        <w:rFonts w:ascii="Symbol" w:hAnsi="Symbol" w:hint="default"/>
      </w:rPr>
    </w:lvl>
    <w:lvl w:ilvl="1" w:tplc="FFFFFFFF">
      <w:start w:val="1"/>
      <w:numFmt w:val="bullet"/>
      <w:lvlText w:val=""/>
      <w:lvlJc w:val="left"/>
      <w:pPr>
        <w:ind w:left="1130" w:hanging="400"/>
      </w:pPr>
      <w:rPr>
        <w:rFonts w:ascii="Symbol" w:hAnsi="Symbol"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6" w15:restartNumberingAfterBreak="0">
    <w:nsid w:val="485C33B0"/>
    <w:multiLevelType w:val="hybridMultilevel"/>
    <w:tmpl w:val="6EA88602"/>
    <w:lvl w:ilvl="0" w:tplc="FFFFFFFF">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5B373F"/>
    <w:multiLevelType w:val="hybridMultilevel"/>
    <w:tmpl w:val="B66E0B5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E14529"/>
    <w:multiLevelType w:val="hybridMultilevel"/>
    <w:tmpl w:val="17187D0C"/>
    <w:lvl w:ilvl="0" w:tplc="FFFFFFFF">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2"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66CB5839"/>
    <w:multiLevelType w:val="hybridMultilevel"/>
    <w:tmpl w:val="708E8766"/>
    <w:lvl w:ilvl="0" w:tplc="7778AD40">
      <w:start w:val="2"/>
      <w:numFmt w:val="bullet"/>
      <w:lvlText w:val="-"/>
      <w:lvlJc w:val="left"/>
      <w:pPr>
        <w:ind w:left="720" w:hanging="360"/>
      </w:pPr>
      <w:rPr>
        <w:rFonts w:ascii="CG Times (WN)" w:eastAsia="맑은 고딕"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91F0824"/>
    <w:multiLevelType w:val="hybridMultilevel"/>
    <w:tmpl w:val="54FEF782"/>
    <w:lvl w:ilvl="0" w:tplc="60AE8B56">
      <w:start w:val="1"/>
      <w:numFmt w:val="bullet"/>
      <w:lvlText w:val="•"/>
      <w:lvlJc w:val="left"/>
      <w:pPr>
        <w:ind w:left="760" w:hanging="360"/>
      </w:pPr>
      <w:rPr>
        <w:rFonts w:ascii="Arial" w:hAnsi="Arial" w:cs="Times New Roman" w:hint="default"/>
      </w:rPr>
    </w:lvl>
    <w:lvl w:ilvl="1" w:tplc="001A413A">
      <w:start w:val="6"/>
      <w:numFmt w:val="bullet"/>
      <w:lvlText w:val="-"/>
      <w:lvlJc w:val="left"/>
      <w:pPr>
        <w:ind w:left="1200" w:hanging="400"/>
      </w:pPr>
      <w:rPr>
        <w:rFonts w:ascii="Times New Roman" w:eastAsia="DengXian" w:hAnsi="Times New Roman" w:cs="Times New Roman" w:hint="default"/>
        <w:color w:val="00000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F0015CC"/>
    <w:multiLevelType w:val="hybridMultilevel"/>
    <w:tmpl w:val="E00AA2B0"/>
    <w:lvl w:ilvl="0" w:tplc="FFFFFFFF">
      <w:start w:val="1"/>
      <w:numFmt w:val="bullet"/>
      <w:lvlText w:val=""/>
      <w:lvlJc w:val="left"/>
      <w:pPr>
        <w:ind w:left="730" w:hanging="400"/>
      </w:pPr>
      <w:rPr>
        <w:rFonts w:ascii="Symbol" w:hAnsi="Symbol"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6"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C2772"/>
    <w:multiLevelType w:val="hybridMultilevel"/>
    <w:tmpl w:val="E850FCAE"/>
    <w:lvl w:ilvl="0" w:tplc="76F28A66">
      <w:numFmt w:val="bullet"/>
      <w:lvlText w:val="-"/>
      <w:lvlJc w:val="left"/>
      <w:pPr>
        <w:ind w:left="600" w:hanging="40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8"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6328E"/>
    <w:multiLevelType w:val="hybridMultilevel"/>
    <w:tmpl w:val="8432E5D6"/>
    <w:lvl w:ilvl="0" w:tplc="2A9E5A96">
      <w:start w:val="1"/>
      <w:numFmt w:val="bullet"/>
      <w:lvlText w:val="-"/>
      <w:lvlJc w:val="left"/>
      <w:pPr>
        <w:ind w:left="730" w:hanging="400"/>
      </w:pPr>
      <w:rPr>
        <w:rFonts w:ascii="Calibri" w:eastAsia="SimSun" w:hAnsi="Calibri" w:cs="Calibri"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0" w15:restartNumberingAfterBreak="0">
    <w:nsid w:val="7C7E46BF"/>
    <w:multiLevelType w:val="hybridMultilevel"/>
    <w:tmpl w:val="7D049030"/>
    <w:lvl w:ilvl="0" w:tplc="FFFFFFFF">
      <w:start w:val="1"/>
      <w:numFmt w:val="bullet"/>
      <w:lvlText w:val=""/>
      <w:lvlJc w:val="left"/>
      <w:pPr>
        <w:ind w:left="1130" w:hanging="400"/>
      </w:pPr>
      <w:rPr>
        <w:rFonts w:ascii="Symbol" w:hAnsi="Symbol"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1" w15:restartNumberingAfterBreak="0">
    <w:nsid w:val="7F180A7F"/>
    <w:multiLevelType w:val="hybridMultilevel"/>
    <w:tmpl w:val="94BEA30A"/>
    <w:lvl w:ilvl="0" w:tplc="2A9E5A96">
      <w:start w:val="1"/>
      <w:numFmt w:val="bullet"/>
      <w:lvlText w:val="-"/>
      <w:lvlJc w:val="left"/>
      <w:pPr>
        <w:ind w:left="730" w:hanging="400"/>
      </w:pPr>
      <w:rPr>
        <w:rFonts w:ascii="Calibri" w:eastAsia="SimSun" w:hAnsi="Calibri" w:cs="Calibri"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2A9E5A96">
      <w:start w:val="1"/>
      <w:numFmt w:val="bullet"/>
      <w:lvlText w:val="-"/>
      <w:lvlJc w:val="left"/>
      <w:pPr>
        <w:ind w:left="1930" w:hanging="400"/>
      </w:pPr>
      <w:rPr>
        <w:rFonts w:ascii="Calibri" w:eastAsia="SimSun" w:hAnsi="Calibri" w:cs="Calibri"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num w:numId="1">
    <w:abstractNumId w:val="17"/>
  </w:num>
  <w:num w:numId="2">
    <w:abstractNumId w:val="7"/>
  </w:num>
  <w:num w:numId="3">
    <w:abstractNumId w:val="20"/>
  </w:num>
  <w:num w:numId="4">
    <w:abstractNumId w:val="26"/>
  </w:num>
  <w:num w:numId="5">
    <w:abstractNumId w:val="10"/>
  </w:num>
  <w:num w:numId="6">
    <w:abstractNumId w:val="22"/>
  </w:num>
  <w:num w:numId="7">
    <w:abstractNumId w:val="13"/>
  </w:num>
  <w:num w:numId="8">
    <w:abstractNumId w:val="14"/>
  </w:num>
  <w:num w:numId="9">
    <w:abstractNumId w:val="0"/>
  </w:num>
  <w:num w:numId="10">
    <w:abstractNumId w:val="24"/>
  </w:num>
  <w:num w:numId="11">
    <w:abstractNumId w:val="1"/>
  </w:num>
  <w:num w:numId="12">
    <w:abstractNumId w:val="3"/>
  </w:num>
  <w:num w:numId="13">
    <w:abstractNumId w:val="18"/>
  </w:num>
  <w:num w:numId="14">
    <w:abstractNumId w:val="16"/>
  </w:num>
  <w:num w:numId="15">
    <w:abstractNumId w:val="21"/>
  </w:num>
  <w:num w:numId="16">
    <w:abstractNumId w:val="27"/>
  </w:num>
  <w:num w:numId="17">
    <w:abstractNumId w:val="2"/>
  </w:num>
  <w:num w:numId="18">
    <w:abstractNumId w:val="23"/>
  </w:num>
  <w:num w:numId="19">
    <w:abstractNumId w:val="9"/>
  </w:num>
  <w:num w:numId="20">
    <w:abstractNumId w:val="4"/>
  </w:num>
  <w:num w:numId="21">
    <w:abstractNumId w:val="8"/>
  </w:num>
  <w:num w:numId="22">
    <w:abstractNumId w:val="19"/>
  </w:num>
  <w:num w:numId="23">
    <w:abstractNumId w:val="30"/>
  </w:num>
  <w:num w:numId="24">
    <w:abstractNumId w:val="25"/>
  </w:num>
  <w:num w:numId="25">
    <w:abstractNumId w:val="11"/>
  </w:num>
  <w:num w:numId="26">
    <w:abstractNumId w:val="29"/>
  </w:num>
  <w:num w:numId="27">
    <w:abstractNumId w:val="15"/>
  </w:num>
  <w:num w:numId="28">
    <w:abstractNumId w:val="12"/>
  </w:num>
  <w:num w:numId="29">
    <w:abstractNumId w:val="6"/>
  </w:num>
  <w:num w:numId="30">
    <w:abstractNumId w:val="5"/>
  </w:num>
  <w:num w:numId="31">
    <w:abstractNumId w:val="31"/>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CAB"/>
    <w:rsid w:val="00007DE7"/>
    <w:rsid w:val="000261E9"/>
    <w:rsid w:val="00031F18"/>
    <w:rsid w:val="0003278D"/>
    <w:rsid w:val="000345C4"/>
    <w:rsid w:val="00037F0D"/>
    <w:rsid w:val="0004170A"/>
    <w:rsid w:val="00044E04"/>
    <w:rsid w:val="00046ECE"/>
    <w:rsid w:val="00047C81"/>
    <w:rsid w:val="00047CD2"/>
    <w:rsid w:val="00047D2F"/>
    <w:rsid w:val="00061B7D"/>
    <w:rsid w:val="0006209D"/>
    <w:rsid w:val="0006227C"/>
    <w:rsid w:val="00074AB3"/>
    <w:rsid w:val="00077861"/>
    <w:rsid w:val="00080E79"/>
    <w:rsid w:val="00084680"/>
    <w:rsid w:val="0009000C"/>
    <w:rsid w:val="0009085C"/>
    <w:rsid w:val="00090DE1"/>
    <w:rsid w:val="00092020"/>
    <w:rsid w:val="000951F4"/>
    <w:rsid w:val="00097BE8"/>
    <w:rsid w:val="000A00AE"/>
    <w:rsid w:val="000A407B"/>
    <w:rsid w:val="000A429C"/>
    <w:rsid w:val="000A447E"/>
    <w:rsid w:val="000A5252"/>
    <w:rsid w:val="000A56C1"/>
    <w:rsid w:val="000C24C7"/>
    <w:rsid w:val="000D0EF1"/>
    <w:rsid w:val="000E2B6F"/>
    <w:rsid w:val="00102536"/>
    <w:rsid w:val="001041A5"/>
    <w:rsid w:val="00104D33"/>
    <w:rsid w:val="00122A95"/>
    <w:rsid w:val="0013779D"/>
    <w:rsid w:val="0015356E"/>
    <w:rsid w:val="001554A0"/>
    <w:rsid w:val="001605B4"/>
    <w:rsid w:val="001621BF"/>
    <w:rsid w:val="0016449C"/>
    <w:rsid w:val="00170281"/>
    <w:rsid w:val="00171172"/>
    <w:rsid w:val="001712E0"/>
    <w:rsid w:val="00175AA6"/>
    <w:rsid w:val="00184F56"/>
    <w:rsid w:val="00184F73"/>
    <w:rsid w:val="00197C14"/>
    <w:rsid w:val="001B0EDE"/>
    <w:rsid w:val="001B19FC"/>
    <w:rsid w:val="001B7A87"/>
    <w:rsid w:val="001C5D48"/>
    <w:rsid w:val="001D4524"/>
    <w:rsid w:val="001D4E98"/>
    <w:rsid w:val="001E00D4"/>
    <w:rsid w:val="001F0A3A"/>
    <w:rsid w:val="001F1760"/>
    <w:rsid w:val="00203824"/>
    <w:rsid w:val="002263C6"/>
    <w:rsid w:val="00226721"/>
    <w:rsid w:val="00231363"/>
    <w:rsid w:val="0023756B"/>
    <w:rsid w:val="00237B71"/>
    <w:rsid w:val="00240DFD"/>
    <w:rsid w:val="00252632"/>
    <w:rsid w:val="00255A97"/>
    <w:rsid w:val="00255BB4"/>
    <w:rsid w:val="002657F4"/>
    <w:rsid w:val="002660FC"/>
    <w:rsid w:val="002670C6"/>
    <w:rsid w:val="00274B25"/>
    <w:rsid w:val="00275039"/>
    <w:rsid w:val="00275446"/>
    <w:rsid w:val="002817FB"/>
    <w:rsid w:val="00290587"/>
    <w:rsid w:val="00291B1A"/>
    <w:rsid w:val="002951C3"/>
    <w:rsid w:val="002A3193"/>
    <w:rsid w:val="002B4D95"/>
    <w:rsid w:val="002E5D8A"/>
    <w:rsid w:val="002E6FC5"/>
    <w:rsid w:val="002F150E"/>
    <w:rsid w:val="002F21F7"/>
    <w:rsid w:val="00305BCE"/>
    <w:rsid w:val="00326037"/>
    <w:rsid w:val="003360A8"/>
    <w:rsid w:val="003400B8"/>
    <w:rsid w:val="00340C8B"/>
    <w:rsid w:val="0034193B"/>
    <w:rsid w:val="00351D6D"/>
    <w:rsid w:val="0035218C"/>
    <w:rsid w:val="00353FC8"/>
    <w:rsid w:val="00354A80"/>
    <w:rsid w:val="00360A3A"/>
    <w:rsid w:val="003705CE"/>
    <w:rsid w:val="0037122D"/>
    <w:rsid w:val="00377CDF"/>
    <w:rsid w:val="00382CDA"/>
    <w:rsid w:val="003872EE"/>
    <w:rsid w:val="00395FA0"/>
    <w:rsid w:val="00396966"/>
    <w:rsid w:val="00397F72"/>
    <w:rsid w:val="003A35E5"/>
    <w:rsid w:val="003B0CA9"/>
    <w:rsid w:val="003C6BA1"/>
    <w:rsid w:val="003D0E83"/>
    <w:rsid w:val="003D1C1D"/>
    <w:rsid w:val="003D5AD4"/>
    <w:rsid w:val="003E4034"/>
    <w:rsid w:val="003F3F91"/>
    <w:rsid w:val="003F591D"/>
    <w:rsid w:val="0041723A"/>
    <w:rsid w:val="00420DEF"/>
    <w:rsid w:val="004336D3"/>
    <w:rsid w:val="004441F5"/>
    <w:rsid w:val="00447827"/>
    <w:rsid w:val="00447C7C"/>
    <w:rsid w:val="00455F73"/>
    <w:rsid w:val="0046061B"/>
    <w:rsid w:val="00470138"/>
    <w:rsid w:val="00484234"/>
    <w:rsid w:val="004923D1"/>
    <w:rsid w:val="004967DF"/>
    <w:rsid w:val="004A0633"/>
    <w:rsid w:val="004A0E9B"/>
    <w:rsid w:val="004A6D8B"/>
    <w:rsid w:val="004C6957"/>
    <w:rsid w:val="004D2D8F"/>
    <w:rsid w:val="004E1800"/>
    <w:rsid w:val="004F21C0"/>
    <w:rsid w:val="004F6F02"/>
    <w:rsid w:val="0050353F"/>
    <w:rsid w:val="005056DA"/>
    <w:rsid w:val="0051172B"/>
    <w:rsid w:val="005144B1"/>
    <w:rsid w:val="005266A9"/>
    <w:rsid w:val="00547287"/>
    <w:rsid w:val="00551816"/>
    <w:rsid w:val="00557D9F"/>
    <w:rsid w:val="00561DC2"/>
    <w:rsid w:val="00566F6A"/>
    <w:rsid w:val="00567AE8"/>
    <w:rsid w:val="00570571"/>
    <w:rsid w:val="00570FF9"/>
    <w:rsid w:val="00580629"/>
    <w:rsid w:val="0058480E"/>
    <w:rsid w:val="005865A9"/>
    <w:rsid w:val="00586BC5"/>
    <w:rsid w:val="005A45B1"/>
    <w:rsid w:val="005A575F"/>
    <w:rsid w:val="005A73B7"/>
    <w:rsid w:val="005B0AE5"/>
    <w:rsid w:val="005C645F"/>
    <w:rsid w:val="005C6DAE"/>
    <w:rsid w:val="005D03E5"/>
    <w:rsid w:val="005D333F"/>
    <w:rsid w:val="005D3702"/>
    <w:rsid w:val="005D5803"/>
    <w:rsid w:val="005D797A"/>
    <w:rsid w:val="005E483B"/>
    <w:rsid w:val="005E525B"/>
    <w:rsid w:val="00612827"/>
    <w:rsid w:val="0061328E"/>
    <w:rsid w:val="00615675"/>
    <w:rsid w:val="006318FA"/>
    <w:rsid w:val="006338B9"/>
    <w:rsid w:val="00634E08"/>
    <w:rsid w:val="00637305"/>
    <w:rsid w:val="00643C8B"/>
    <w:rsid w:val="006577A2"/>
    <w:rsid w:val="006622D7"/>
    <w:rsid w:val="00674A5F"/>
    <w:rsid w:val="0068027E"/>
    <w:rsid w:val="006823BA"/>
    <w:rsid w:val="006826B9"/>
    <w:rsid w:val="006870A9"/>
    <w:rsid w:val="006926A9"/>
    <w:rsid w:val="006A35DA"/>
    <w:rsid w:val="006A44DF"/>
    <w:rsid w:val="006A5BDB"/>
    <w:rsid w:val="006B33A7"/>
    <w:rsid w:val="006C226F"/>
    <w:rsid w:val="006D21D0"/>
    <w:rsid w:val="006D5FB1"/>
    <w:rsid w:val="006D7185"/>
    <w:rsid w:val="006E007E"/>
    <w:rsid w:val="006E2160"/>
    <w:rsid w:val="006E4A3A"/>
    <w:rsid w:val="006E722D"/>
    <w:rsid w:val="006F2A94"/>
    <w:rsid w:val="006F2CD9"/>
    <w:rsid w:val="00706834"/>
    <w:rsid w:val="007070B3"/>
    <w:rsid w:val="00707105"/>
    <w:rsid w:val="007120D5"/>
    <w:rsid w:val="007201CC"/>
    <w:rsid w:val="00720A4C"/>
    <w:rsid w:val="007214C0"/>
    <w:rsid w:val="00722946"/>
    <w:rsid w:val="007230A4"/>
    <w:rsid w:val="0072563D"/>
    <w:rsid w:val="00727073"/>
    <w:rsid w:val="00742118"/>
    <w:rsid w:val="00750C2D"/>
    <w:rsid w:val="00772D72"/>
    <w:rsid w:val="00786BB8"/>
    <w:rsid w:val="00790613"/>
    <w:rsid w:val="007A2989"/>
    <w:rsid w:val="007A4618"/>
    <w:rsid w:val="007A6DEF"/>
    <w:rsid w:val="007B24CD"/>
    <w:rsid w:val="007C204C"/>
    <w:rsid w:val="007C7454"/>
    <w:rsid w:val="007D0144"/>
    <w:rsid w:val="007D2EF2"/>
    <w:rsid w:val="007D4E40"/>
    <w:rsid w:val="007D5CCC"/>
    <w:rsid w:val="007D6DF0"/>
    <w:rsid w:val="007E123D"/>
    <w:rsid w:val="007F27A3"/>
    <w:rsid w:val="00812242"/>
    <w:rsid w:val="00822D10"/>
    <w:rsid w:val="00824DFB"/>
    <w:rsid w:val="00835159"/>
    <w:rsid w:val="00842B13"/>
    <w:rsid w:val="008445AD"/>
    <w:rsid w:val="00845420"/>
    <w:rsid w:val="00865B16"/>
    <w:rsid w:val="00867B33"/>
    <w:rsid w:val="0087462D"/>
    <w:rsid w:val="00882A8E"/>
    <w:rsid w:val="0088707C"/>
    <w:rsid w:val="00896AEB"/>
    <w:rsid w:val="008A0473"/>
    <w:rsid w:val="008A2292"/>
    <w:rsid w:val="008A2C71"/>
    <w:rsid w:val="008C1982"/>
    <w:rsid w:val="008C1C65"/>
    <w:rsid w:val="008D5EA4"/>
    <w:rsid w:val="008E74E4"/>
    <w:rsid w:val="008E7B5B"/>
    <w:rsid w:val="008F258C"/>
    <w:rsid w:val="008F3EE1"/>
    <w:rsid w:val="008F40E0"/>
    <w:rsid w:val="0090396C"/>
    <w:rsid w:val="009050BF"/>
    <w:rsid w:val="00905837"/>
    <w:rsid w:val="0091388C"/>
    <w:rsid w:val="00923276"/>
    <w:rsid w:val="009322E8"/>
    <w:rsid w:val="00946FE9"/>
    <w:rsid w:val="00955824"/>
    <w:rsid w:val="00955BCB"/>
    <w:rsid w:val="00955D5E"/>
    <w:rsid w:val="00960BA6"/>
    <w:rsid w:val="00962F88"/>
    <w:rsid w:val="00964FC1"/>
    <w:rsid w:val="00970F70"/>
    <w:rsid w:val="009846E7"/>
    <w:rsid w:val="0098595E"/>
    <w:rsid w:val="00987B8F"/>
    <w:rsid w:val="009A586A"/>
    <w:rsid w:val="009A7B26"/>
    <w:rsid w:val="009B1ADF"/>
    <w:rsid w:val="009B6B85"/>
    <w:rsid w:val="009C0BAB"/>
    <w:rsid w:val="009C4FCF"/>
    <w:rsid w:val="009C502C"/>
    <w:rsid w:val="009C7086"/>
    <w:rsid w:val="009D0C26"/>
    <w:rsid w:val="009D21EF"/>
    <w:rsid w:val="009D3CF4"/>
    <w:rsid w:val="009D41A6"/>
    <w:rsid w:val="009E10EF"/>
    <w:rsid w:val="009E3B3D"/>
    <w:rsid w:val="009F36A2"/>
    <w:rsid w:val="009F372B"/>
    <w:rsid w:val="009F414E"/>
    <w:rsid w:val="009F534A"/>
    <w:rsid w:val="00A10100"/>
    <w:rsid w:val="00A17D70"/>
    <w:rsid w:val="00A2012D"/>
    <w:rsid w:val="00A256CA"/>
    <w:rsid w:val="00A25C2C"/>
    <w:rsid w:val="00A4288C"/>
    <w:rsid w:val="00A45CBC"/>
    <w:rsid w:val="00A47F28"/>
    <w:rsid w:val="00A55819"/>
    <w:rsid w:val="00A65820"/>
    <w:rsid w:val="00A65A94"/>
    <w:rsid w:val="00A6609B"/>
    <w:rsid w:val="00A7130A"/>
    <w:rsid w:val="00A718D9"/>
    <w:rsid w:val="00A90917"/>
    <w:rsid w:val="00AA1907"/>
    <w:rsid w:val="00AB0F85"/>
    <w:rsid w:val="00AB1AA7"/>
    <w:rsid w:val="00AC3B86"/>
    <w:rsid w:val="00AE5249"/>
    <w:rsid w:val="00AF6CB8"/>
    <w:rsid w:val="00B0116C"/>
    <w:rsid w:val="00B12E1A"/>
    <w:rsid w:val="00B27ECA"/>
    <w:rsid w:val="00B30F7D"/>
    <w:rsid w:val="00B31B3D"/>
    <w:rsid w:val="00B37780"/>
    <w:rsid w:val="00B55568"/>
    <w:rsid w:val="00B563C0"/>
    <w:rsid w:val="00B56D08"/>
    <w:rsid w:val="00B70D25"/>
    <w:rsid w:val="00B84BDC"/>
    <w:rsid w:val="00B93085"/>
    <w:rsid w:val="00BB7347"/>
    <w:rsid w:val="00BC5230"/>
    <w:rsid w:val="00BC58FD"/>
    <w:rsid w:val="00BE1CD6"/>
    <w:rsid w:val="00BE73C5"/>
    <w:rsid w:val="00BF07B8"/>
    <w:rsid w:val="00BF30BC"/>
    <w:rsid w:val="00C00745"/>
    <w:rsid w:val="00C00823"/>
    <w:rsid w:val="00C105EC"/>
    <w:rsid w:val="00C1657D"/>
    <w:rsid w:val="00C22525"/>
    <w:rsid w:val="00C265CF"/>
    <w:rsid w:val="00C27E12"/>
    <w:rsid w:val="00C43340"/>
    <w:rsid w:val="00C47117"/>
    <w:rsid w:val="00C668F3"/>
    <w:rsid w:val="00C92590"/>
    <w:rsid w:val="00CA03C3"/>
    <w:rsid w:val="00CA6AF8"/>
    <w:rsid w:val="00CB3219"/>
    <w:rsid w:val="00CC1607"/>
    <w:rsid w:val="00CE3238"/>
    <w:rsid w:val="00CF2CCE"/>
    <w:rsid w:val="00CF5E44"/>
    <w:rsid w:val="00CF6651"/>
    <w:rsid w:val="00D03E6D"/>
    <w:rsid w:val="00D078DF"/>
    <w:rsid w:val="00D1036E"/>
    <w:rsid w:val="00D11110"/>
    <w:rsid w:val="00D229A9"/>
    <w:rsid w:val="00D25D1D"/>
    <w:rsid w:val="00D27FF4"/>
    <w:rsid w:val="00D30654"/>
    <w:rsid w:val="00D3521D"/>
    <w:rsid w:val="00D46C4A"/>
    <w:rsid w:val="00D52134"/>
    <w:rsid w:val="00D563AC"/>
    <w:rsid w:val="00D63975"/>
    <w:rsid w:val="00D667CD"/>
    <w:rsid w:val="00D75BCB"/>
    <w:rsid w:val="00D82938"/>
    <w:rsid w:val="00D84C99"/>
    <w:rsid w:val="00D9563D"/>
    <w:rsid w:val="00D9716E"/>
    <w:rsid w:val="00D97C76"/>
    <w:rsid w:val="00DA0C25"/>
    <w:rsid w:val="00DA67C6"/>
    <w:rsid w:val="00DB0203"/>
    <w:rsid w:val="00DB6AF1"/>
    <w:rsid w:val="00DC4FC8"/>
    <w:rsid w:val="00DC51E5"/>
    <w:rsid w:val="00DD189F"/>
    <w:rsid w:val="00DD358A"/>
    <w:rsid w:val="00DD4667"/>
    <w:rsid w:val="00DD7D67"/>
    <w:rsid w:val="00DE0F7D"/>
    <w:rsid w:val="00DE406C"/>
    <w:rsid w:val="00DE63A0"/>
    <w:rsid w:val="00DF1125"/>
    <w:rsid w:val="00DF475B"/>
    <w:rsid w:val="00E0548C"/>
    <w:rsid w:val="00E15348"/>
    <w:rsid w:val="00E21C05"/>
    <w:rsid w:val="00E378EE"/>
    <w:rsid w:val="00E440CA"/>
    <w:rsid w:val="00E47787"/>
    <w:rsid w:val="00E51AFA"/>
    <w:rsid w:val="00E52C71"/>
    <w:rsid w:val="00E54D2F"/>
    <w:rsid w:val="00E672F4"/>
    <w:rsid w:val="00E84165"/>
    <w:rsid w:val="00E91C81"/>
    <w:rsid w:val="00E9620E"/>
    <w:rsid w:val="00EA3011"/>
    <w:rsid w:val="00EA3D13"/>
    <w:rsid w:val="00EA5F45"/>
    <w:rsid w:val="00EB0BEF"/>
    <w:rsid w:val="00EC15C4"/>
    <w:rsid w:val="00EC4995"/>
    <w:rsid w:val="00ED3EDD"/>
    <w:rsid w:val="00ED500C"/>
    <w:rsid w:val="00EE755D"/>
    <w:rsid w:val="00EF1FAC"/>
    <w:rsid w:val="00EF3F2B"/>
    <w:rsid w:val="00F00F7A"/>
    <w:rsid w:val="00F041CB"/>
    <w:rsid w:val="00F04565"/>
    <w:rsid w:val="00F0659E"/>
    <w:rsid w:val="00F13AD7"/>
    <w:rsid w:val="00F14912"/>
    <w:rsid w:val="00F153DA"/>
    <w:rsid w:val="00F31215"/>
    <w:rsid w:val="00F3486C"/>
    <w:rsid w:val="00F37B1B"/>
    <w:rsid w:val="00F41914"/>
    <w:rsid w:val="00F420A6"/>
    <w:rsid w:val="00F44B4E"/>
    <w:rsid w:val="00F457E0"/>
    <w:rsid w:val="00F71AE5"/>
    <w:rsid w:val="00F752E5"/>
    <w:rsid w:val="00F76CF7"/>
    <w:rsid w:val="00F81399"/>
    <w:rsid w:val="00F82DAB"/>
    <w:rsid w:val="00F8322E"/>
    <w:rsid w:val="00F863C6"/>
    <w:rsid w:val="00F875DD"/>
    <w:rsid w:val="00F9215D"/>
    <w:rsid w:val="00FA090D"/>
    <w:rsid w:val="00FB167A"/>
    <w:rsid w:val="00FC3B47"/>
    <w:rsid w:val="00FD14E4"/>
    <w:rsid w:val="00FD2E02"/>
    <w:rsid w:val="00FE157D"/>
    <w:rsid w:val="00FE2826"/>
    <w:rsid w:val="00FE6173"/>
    <w:rsid w:val="00FF320E"/>
    <w:rsid w:val="00FF5E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4C6957"/>
    <w:pPr>
      <w:keepNext/>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basedOn w:val="a"/>
    <w:link w:val="Char0"/>
    <w:uiPriority w:val="99"/>
    <w:unhideWhenUsed/>
    <w:rsid w:val="00D30654"/>
    <w:pPr>
      <w:tabs>
        <w:tab w:val="center" w:pos="4513"/>
        <w:tab w:val="right" w:pos="9026"/>
      </w:tabs>
      <w:snapToGrid w:val="0"/>
    </w:pPr>
  </w:style>
  <w:style w:type="character" w:customStyle="1" w:styleId="Char0">
    <w:name w:val="머리글 Char"/>
    <w:basedOn w:val="a0"/>
    <w:link w:val="a4"/>
    <w:uiPriority w:val="99"/>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4C6957"/>
    <w:rPr>
      <w:rFonts w:ascii="Times New Roman" w:eastAsia="Times New Roman" w:hAnsi="Times New Roman" w:cs="Times New Roman"/>
      <w:b/>
      <w:sz w:val="24"/>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04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389D1-E69D-4E19-8E09-91BA19F90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5</Pages>
  <Words>1677</Words>
  <Characters>9559</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Jiwon Kang (LGE)</cp:lastModifiedBy>
  <cp:revision>162</cp:revision>
  <dcterms:created xsi:type="dcterms:W3CDTF">2019-02-15T05:01:00Z</dcterms:created>
  <dcterms:modified xsi:type="dcterms:W3CDTF">2019-05-03T07:14:00Z</dcterms:modified>
</cp:coreProperties>
</file>