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7C9" w:rsidRDefault="00902D20">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 xml:space="preserve">#97                                                              </w:t>
      </w:r>
      <w:r>
        <w:rPr>
          <w:rFonts w:cs="Arial" w:hint="eastAsia"/>
          <w:bCs/>
          <w:sz w:val="22"/>
          <w:szCs w:val="22"/>
          <w:lang w:eastAsia="zh-CN"/>
        </w:rPr>
        <w:t xml:space="preserve">                      R1-1906417</w:t>
      </w:r>
    </w:p>
    <w:bookmarkEnd w:id="0"/>
    <w:p w:rsidR="00C117C9" w:rsidRDefault="00902D20">
      <w:pPr>
        <w:pStyle w:val="ae"/>
        <w:snapToGrid w:val="0"/>
        <w:spacing w:afterLines="50" w:after="180" w:line="240" w:lineRule="auto"/>
        <w:rPr>
          <w:sz w:val="20"/>
          <w:szCs w:val="22"/>
          <w:lang w:eastAsia="ja-JP"/>
        </w:rPr>
      </w:pPr>
      <w:r>
        <w:rPr>
          <w:rFonts w:hint="eastAsia"/>
          <w:sz w:val="20"/>
          <w:szCs w:val="22"/>
          <w:lang w:eastAsia="ja-JP"/>
        </w:rPr>
        <w:t>Reno, USA, May 13</w:t>
      </w:r>
      <w:r>
        <w:rPr>
          <w:rFonts w:hint="eastAsia"/>
          <w:sz w:val="20"/>
          <w:szCs w:val="22"/>
          <w:vertAlign w:val="superscript"/>
          <w:lang w:eastAsia="ja-JP"/>
        </w:rPr>
        <w:t>th</w:t>
      </w:r>
      <w:r>
        <w:rPr>
          <w:rFonts w:hint="eastAsia"/>
          <w:sz w:val="20"/>
          <w:szCs w:val="22"/>
          <w:lang w:eastAsia="ja-JP"/>
        </w:rPr>
        <w:t xml:space="preserve"> – 17</w:t>
      </w:r>
      <w:r>
        <w:rPr>
          <w:rFonts w:hint="eastAsia"/>
          <w:sz w:val="20"/>
          <w:szCs w:val="22"/>
          <w:vertAlign w:val="superscript"/>
          <w:lang w:eastAsia="ja-JP"/>
        </w:rPr>
        <w:t>th</w:t>
      </w:r>
      <w:r>
        <w:rPr>
          <w:rFonts w:hint="eastAsia"/>
          <w:sz w:val="20"/>
          <w:szCs w:val="22"/>
          <w:lang w:eastAsia="ja-JP"/>
        </w:rPr>
        <w:t>, 2019</w:t>
      </w:r>
    </w:p>
    <w:p w:rsidR="00C117C9" w:rsidRDefault="00902D20">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C117C9" w:rsidRDefault="00902D20">
      <w:pPr>
        <w:pStyle w:val="ae"/>
        <w:snapToGrid w:val="0"/>
        <w:spacing w:after="0" w:line="240" w:lineRule="auto"/>
        <w:ind w:left="1405" w:hangingChars="700" w:hanging="1405"/>
        <w:rPr>
          <w:rFonts w:eastAsiaTheme="minorEastAsia"/>
          <w:sz w:val="20"/>
          <w:lang w:eastAsia="zh-CN"/>
        </w:rPr>
      </w:pPr>
      <w:r>
        <w:rPr>
          <w:sz w:val="20"/>
        </w:rPr>
        <w:t>Title:</w:t>
      </w:r>
      <w:r>
        <w:rPr>
          <w:rFonts w:eastAsiaTheme="minorEastAsia" w:hint="eastAsia"/>
          <w:sz w:val="20"/>
          <w:lang w:eastAsia="zh-CN"/>
        </w:rPr>
        <w:t xml:space="preserve">                 Discussion on RAN2 LS on SPS/CG for IIoT</w:t>
      </w:r>
    </w:p>
    <w:p w:rsidR="00C117C9" w:rsidRDefault="00902D20">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7.2.6.7</w:t>
      </w:r>
    </w:p>
    <w:p w:rsidR="00C117C9" w:rsidRDefault="00902D20">
      <w:pPr>
        <w:pStyle w:val="ae"/>
        <w:snapToGrid w:val="0"/>
        <w:spacing w:afterLines="50" w:after="180" w:line="240" w:lineRule="auto"/>
        <w:rPr>
          <w:sz w:val="20"/>
        </w:rPr>
      </w:pPr>
      <w:r>
        <w:rPr>
          <w:sz w:val="20"/>
        </w:rPr>
        <w:t>Document for:  Discussion and Decision</w:t>
      </w:r>
      <w:bookmarkEnd w:id="1"/>
    </w:p>
    <w:p w:rsidR="00C117C9" w:rsidRDefault="00902D20">
      <w:pPr>
        <w:pStyle w:val="1"/>
        <w:snapToGrid w:val="0"/>
        <w:spacing w:beforeLines="0" w:afterLines="50" w:after="180"/>
      </w:pPr>
      <w:r>
        <w:t>I</w:t>
      </w:r>
      <w:r>
        <w:rPr>
          <w:rFonts w:hint="eastAsia"/>
        </w:rPr>
        <w:t>ntroduction</w:t>
      </w:r>
    </w:p>
    <w:p w:rsidR="00C117C9" w:rsidRDefault="00902D20">
      <w:pPr>
        <w:snapToGrid w:val="0"/>
        <w:spacing w:beforeLines="50" w:before="180" w:after="120"/>
        <w:rPr>
          <w:rFonts w:eastAsia="宋体"/>
          <w:lang w:val="en-US" w:eastAsia="zh-CN"/>
        </w:rPr>
      </w:pPr>
      <w:r>
        <w:rPr>
          <w:rFonts w:eastAsia="宋体" w:hint="eastAsia"/>
          <w:szCs w:val="21"/>
          <w:lang w:val="en-US" w:eastAsia="zh-CN"/>
        </w:rPr>
        <w:t>In RAN2#105BIS meeting, a RAN2 L</w:t>
      </w:r>
      <w:r>
        <w:rPr>
          <w:rFonts w:eastAsia="宋体" w:hint="eastAsia"/>
          <w:lang w:val="en-US" w:eastAsia="zh-CN"/>
        </w:rPr>
        <w:t xml:space="preserve">S in </w:t>
      </w:r>
      <w:r>
        <w:rPr>
          <w:rFonts w:eastAsia="宋体" w:hint="eastAsia"/>
          <w:lang w:val="en-US" w:eastAsia="zh-CN"/>
        </w:rPr>
        <w:t>R2-190</w:t>
      </w:r>
      <w:r>
        <w:rPr>
          <w:rFonts w:eastAsia="宋体" w:hint="eastAsia"/>
          <w:lang w:val="en-US" w:eastAsia="ja-JP"/>
        </w:rPr>
        <w:t>5473</w:t>
      </w:r>
      <w:r>
        <w:rPr>
          <w:rFonts w:eastAsia="宋体" w:cs="Arial" w:hint="eastAsia"/>
          <w:b/>
          <w:lang w:val="en-US" w:eastAsia="zh-CN"/>
        </w:rPr>
        <w:t xml:space="preserve"> </w:t>
      </w:r>
      <w:r>
        <w:rPr>
          <w:rFonts w:eastAsia="宋体" w:hint="eastAsia"/>
          <w:lang w:val="en-US" w:eastAsia="zh-CN"/>
        </w:rPr>
        <w:t>was a</w:t>
      </w:r>
      <w:r>
        <w:rPr>
          <w:rFonts w:eastAsia="宋体" w:hint="eastAsia"/>
          <w:szCs w:val="21"/>
          <w:lang w:val="en-US" w:eastAsia="zh-CN"/>
        </w:rPr>
        <w:t xml:space="preserve">pproved for SPS/CG configurations for IIOT[1]. </w:t>
      </w:r>
      <w:r>
        <w:rPr>
          <w:rFonts w:eastAsia="宋体" w:hint="eastAsia"/>
          <w:lang w:val="en-US" w:eastAsia="zh-CN"/>
        </w:rPr>
        <w:t>In this contribution, we mainly provide our views on the questions raised in the LS.</w:t>
      </w:r>
    </w:p>
    <w:p w:rsidR="00C117C9" w:rsidRDefault="00902D20">
      <w:pPr>
        <w:pStyle w:val="1"/>
        <w:spacing w:before="180"/>
        <w:rPr>
          <w:lang w:val="en-US"/>
        </w:rPr>
      </w:pPr>
      <w:r>
        <w:rPr>
          <w:rFonts w:hint="eastAsia"/>
          <w:lang w:val="en-US"/>
        </w:rPr>
        <w:t>Discussion</w:t>
      </w:r>
    </w:p>
    <w:p w:rsidR="00C117C9" w:rsidRDefault="00902D20">
      <w:pPr>
        <w:snapToGrid w:val="0"/>
        <w:spacing w:beforeLines="50" w:before="180" w:after="120"/>
        <w:rPr>
          <w:rFonts w:eastAsia="宋体"/>
          <w:lang w:val="en-US" w:eastAsia="zh-CN"/>
        </w:rPr>
      </w:pPr>
      <w:r>
        <w:rPr>
          <w:rFonts w:eastAsia="宋体" w:hint="eastAsia"/>
          <w:lang w:val="en-US" w:eastAsia="zh-CN"/>
        </w:rPr>
        <w:t>RAN2 has discussed some aspects of supporting multiple active SPS/CG configuration and shorter SP</w:t>
      </w:r>
      <w:r>
        <w:rPr>
          <w:rFonts w:eastAsia="宋体" w:hint="eastAsia"/>
          <w:lang w:val="en-US" w:eastAsia="zh-CN"/>
        </w:rPr>
        <w:t>S periodicities and has reached the following agreements: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4"/>
      </w:tblGrid>
      <w:tr w:rsidR="00C117C9">
        <w:trPr>
          <w:trHeight w:val="3384"/>
          <w:jc w:val="center"/>
        </w:trPr>
        <w:tc>
          <w:tcPr>
            <w:tcW w:w="9384" w:type="dxa"/>
            <w:shd w:val="clear" w:color="auto" w:fill="auto"/>
          </w:tcPr>
          <w:p w:rsidR="00C117C9" w:rsidRDefault="00902D20">
            <w:pPr>
              <w:pStyle w:val="Agreement"/>
              <w:rPr>
                <w:rFonts w:ascii="Times New Roman" w:hAnsi="Times New Roman"/>
                <w:b w:val="0"/>
                <w:bCs/>
              </w:rPr>
            </w:pPr>
            <w:r>
              <w:rPr>
                <w:rFonts w:ascii="Times New Roman" w:hAnsi="Times New Roman"/>
                <w:b w:val="0"/>
                <w:bCs/>
              </w:rPr>
              <w:t>R2 assumes that the maximum number of active SPS configurations for a given BWP of a serving cell in the specification is 8 or 16 (FFS).</w:t>
            </w:r>
          </w:p>
          <w:p w:rsidR="00C117C9" w:rsidRDefault="00902D20">
            <w:pPr>
              <w:pStyle w:val="Agreement"/>
              <w:rPr>
                <w:rFonts w:ascii="Times New Roman" w:hAnsi="Times New Roman"/>
                <w:b w:val="0"/>
                <w:bCs/>
              </w:rPr>
            </w:pPr>
            <w:r>
              <w:rPr>
                <w:rFonts w:ascii="Times New Roman" w:hAnsi="Times New Roman"/>
                <w:b w:val="0"/>
                <w:bCs/>
              </w:rPr>
              <w:t xml:space="preserve">R2 assumes short SPS/CG periodicities and/or multiple SPS/CG </w:t>
            </w:r>
            <w:r>
              <w:rPr>
                <w:rFonts w:ascii="Times New Roman" w:hAnsi="Times New Roman"/>
                <w:b w:val="0"/>
                <w:bCs/>
              </w:rPr>
              <w:t xml:space="preserve">configurations and/or combination thereof could be used to mitigate the periodicity misalignment between the TSN periodicity and CG/SPS periodicity. Other solutions not precluded, e.g. to address resource consumption. </w:t>
            </w:r>
          </w:p>
          <w:p w:rsidR="00C117C9" w:rsidRDefault="00902D20">
            <w:pPr>
              <w:pStyle w:val="Agreement"/>
              <w:rPr>
                <w:rFonts w:ascii="Times New Roman" w:hAnsi="Times New Roman"/>
                <w:b w:val="0"/>
                <w:bCs/>
              </w:rPr>
            </w:pPr>
            <w:r>
              <w:rPr>
                <w:rFonts w:ascii="Times New Roman" w:hAnsi="Times New Roman"/>
                <w:b w:val="0"/>
                <w:bCs/>
              </w:rPr>
              <w:t>Will support “short” SPS periodicitie</w:t>
            </w:r>
            <w:r>
              <w:rPr>
                <w:rFonts w:ascii="Times New Roman" w:hAnsi="Times New Roman"/>
                <w:b w:val="0"/>
                <w:bCs/>
              </w:rPr>
              <w:t>s, at least down to 0.5ms</w:t>
            </w:r>
          </w:p>
          <w:p w:rsidR="00C117C9" w:rsidRDefault="00902D20">
            <w:pPr>
              <w:pStyle w:val="Agreement"/>
              <w:rPr>
                <w:rFonts w:ascii="Times New Roman" w:hAnsi="Times New Roman"/>
                <w:b w:val="0"/>
                <w:bCs/>
              </w:rPr>
            </w:pPr>
            <w:r>
              <w:rPr>
                <w:rFonts w:ascii="Times New Roman" w:hAnsi="Times New Roman"/>
                <w:b w:val="0"/>
                <w:bCs/>
              </w:rPr>
              <w:t xml:space="preserve">Ask R1 on feasibility, and additionally the feasibility to go down to even lower values, e.g. 2 symb.  </w:t>
            </w:r>
          </w:p>
          <w:p w:rsidR="00C117C9" w:rsidRDefault="00902D20">
            <w:pPr>
              <w:pStyle w:val="Agreement"/>
              <w:rPr>
                <w:rFonts w:ascii="Times New Roman" w:hAnsi="Times New Roman"/>
                <w:b w:val="0"/>
                <w:bCs/>
              </w:rPr>
            </w:pPr>
            <w:r>
              <w:rPr>
                <w:rFonts w:ascii="Times New Roman" w:hAnsi="Times New Roman"/>
                <w:b w:val="0"/>
                <w:bCs/>
              </w:rPr>
              <w:t xml:space="preserve">R2 assumes that activation/deactivation is done by DCI. </w:t>
            </w:r>
          </w:p>
          <w:p w:rsidR="00C117C9" w:rsidRDefault="00902D20">
            <w:pPr>
              <w:pStyle w:val="Agreement"/>
              <w:rPr>
                <w:rFonts w:ascii="Times New Roman" w:hAnsi="Times New Roman"/>
                <w:b w:val="0"/>
                <w:bCs/>
              </w:rPr>
            </w:pPr>
            <w:r>
              <w:rPr>
                <w:rFonts w:ascii="Times New Roman" w:hAnsi="Times New Roman"/>
                <w:b w:val="0"/>
                <w:bCs/>
              </w:rPr>
              <w:t>RAN1 should address activation/deactivation DCIs related with configu</w:t>
            </w:r>
            <w:r>
              <w:rPr>
                <w:rFonts w:ascii="Times New Roman" w:hAnsi="Times New Roman"/>
                <w:b w:val="0"/>
                <w:bCs/>
              </w:rPr>
              <w:t>red grant Type 2 and SPS in the case of multiple configurations</w:t>
            </w:r>
          </w:p>
          <w:p w:rsidR="00C117C9" w:rsidRDefault="00902D20">
            <w:pPr>
              <w:pStyle w:val="Agreement"/>
            </w:pPr>
            <w:r>
              <w:rPr>
                <w:rFonts w:ascii="Times New Roman" w:hAnsi="Times New Roman"/>
                <w:b w:val="0"/>
                <w:bCs/>
              </w:rPr>
              <w:t>When multiple UL CG or DL SPS configurations is configured, an offset for each configuration is needed for the calculation of the HARQ process ID</w:t>
            </w:r>
          </w:p>
        </w:tc>
      </w:tr>
    </w:tbl>
    <w:p w:rsidR="00C117C9" w:rsidRDefault="00902D20">
      <w:pPr>
        <w:snapToGrid w:val="0"/>
        <w:spacing w:beforeLines="50" w:before="180" w:after="120"/>
        <w:rPr>
          <w:rFonts w:eastAsia="宋体"/>
          <w:lang w:val="en-US" w:eastAsia="zh-CN"/>
        </w:rPr>
      </w:pPr>
      <w:r>
        <w:rPr>
          <w:rFonts w:eastAsia="宋体" w:hint="eastAsia"/>
          <w:lang w:val="en-US" w:eastAsia="zh-CN"/>
        </w:rPr>
        <w:t xml:space="preserve">Based on the above, RAN2 raised three </w:t>
      </w:r>
      <w:r>
        <w:rPr>
          <w:rFonts w:eastAsia="宋体" w:hint="eastAsia"/>
          <w:lang w:val="en-US" w:eastAsia="zh-CN"/>
        </w:rPr>
        <w:t>questions for RAN1. In the following, we provide our views on these questions.</w:t>
      </w:r>
    </w:p>
    <w:p w:rsidR="00C117C9" w:rsidRDefault="00902D20">
      <w:pPr>
        <w:snapToGrid w:val="0"/>
        <w:spacing w:beforeLines="50" w:before="180" w:after="120"/>
        <w:rPr>
          <w:rFonts w:eastAsia="宋体"/>
          <w:b/>
          <w:bCs/>
          <w:u w:val="single"/>
          <w:lang w:val="en-US" w:eastAsia="zh-CN"/>
        </w:rPr>
      </w:pPr>
      <w:r>
        <w:rPr>
          <w:rFonts w:eastAsia="宋体" w:hint="eastAsia"/>
          <w:b/>
          <w:bCs/>
          <w:u w:val="single"/>
          <w:lang w:val="en-US" w:eastAsia="zh-CN"/>
        </w:rPr>
        <w:t>Discussion on Question 1</w:t>
      </w:r>
    </w:p>
    <w:tbl>
      <w:tblPr>
        <w:tblStyle w:val="af7"/>
        <w:tblW w:w="9350" w:type="dxa"/>
        <w:jc w:val="center"/>
        <w:tblLayout w:type="fixed"/>
        <w:tblLook w:val="04A0" w:firstRow="1" w:lastRow="0" w:firstColumn="1" w:lastColumn="0" w:noHBand="0" w:noVBand="1"/>
      </w:tblPr>
      <w:tblGrid>
        <w:gridCol w:w="9350"/>
      </w:tblGrid>
      <w:tr w:rsidR="00C117C9">
        <w:trPr>
          <w:jc w:val="center"/>
        </w:trPr>
        <w:tc>
          <w:tcPr>
            <w:tcW w:w="9350" w:type="dxa"/>
          </w:tcPr>
          <w:p w:rsidR="00C117C9" w:rsidRDefault="00902D20">
            <w:pPr>
              <w:rPr>
                <w:rFonts w:eastAsia="MS Mincho"/>
                <w:lang w:eastAsia="ja-JP"/>
              </w:rPr>
            </w:pPr>
            <w:r>
              <w:rPr>
                <w:rFonts w:eastAsia="MS Mincho"/>
                <w:lang w:eastAsia="ja-JP"/>
              </w:rPr>
              <w:t>RAN2 agreed that the maximum number of active SPS configurations for a given BWP of a serving cell should be either 8 or 16, but could not reach a final</w:t>
            </w:r>
            <w:r>
              <w:rPr>
                <w:rFonts w:eastAsia="MS Mincho"/>
                <w:lang w:eastAsia="ja-JP"/>
              </w:rPr>
              <w:t xml:space="preserve"> conclusion. From RAN2 perspective 8 was proposed as it seems to be sufficient for current TSC requirements. On the other hand, the current maximum number of simultaneous HARQ processes in the UE is 16, so this is why this number was proposed. </w:t>
            </w:r>
          </w:p>
          <w:p w:rsidR="00C117C9" w:rsidRDefault="00902D20">
            <w:pPr>
              <w:rPr>
                <w:rFonts w:eastAsia="宋体"/>
                <w:lang w:val="en-US" w:eastAsia="zh-CN"/>
              </w:rPr>
            </w:pPr>
            <w:r>
              <w:rPr>
                <w:rFonts w:eastAsia="MS Mincho"/>
                <w:b/>
                <w:lang w:eastAsia="ja-JP"/>
              </w:rPr>
              <w:t>Q1</w:t>
            </w:r>
            <w:r>
              <w:rPr>
                <w:rFonts w:eastAsia="MS Mincho"/>
                <w:lang w:eastAsia="ja-JP"/>
              </w:rPr>
              <w:t xml:space="preserve">: RAN2 </w:t>
            </w:r>
            <w:r>
              <w:rPr>
                <w:rFonts w:eastAsia="MS Mincho"/>
                <w:lang w:eastAsia="ja-JP"/>
              </w:rPr>
              <w:t>would like to kindly ask RAN1 whether from PHY layer perspective there is a difference or preference, e.g. in terms of complexity to, to support 8 or 16 configurations.</w:t>
            </w:r>
          </w:p>
        </w:tc>
      </w:tr>
    </w:tbl>
    <w:p w:rsidR="00C117C9" w:rsidRDefault="00902D20">
      <w:pPr>
        <w:pStyle w:val="Doc-text2"/>
        <w:snapToGrid w:val="0"/>
        <w:spacing w:beforeLines="50" w:before="180" w:afterLines="50" w:after="180"/>
        <w:ind w:left="0" w:firstLine="0"/>
        <w:rPr>
          <w:rFonts w:ascii="Times New Roman" w:eastAsia="宋体" w:hAnsi="Times New Roman"/>
          <w:szCs w:val="20"/>
          <w:lang w:val="en-US" w:eastAsia="zh-CN"/>
        </w:rPr>
      </w:pPr>
      <w:r>
        <w:rPr>
          <w:rFonts w:ascii="Times New Roman" w:eastAsia="宋体" w:hAnsi="Times New Roman"/>
          <w:szCs w:val="20"/>
          <w:lang w:val="en-US" w:eastAsia="zh-CN"/>
        </w:rPr>
        <w:t>As discussed in our companion contribution[2], there at least two use cases for multip</w:t>
      </w:r>
      <w:r>
        <w:rPr>
          <w:rFonts w:ascii="Times New Roman" w:eastAsia="宋体" w:hAnsi="Times New Roman"/>
          <w:szCs w:val="20"/>
          <w:lang w:val="en-US" w:eastAsia="zh-CN"/>
        </w:rPr>
        <w:t>le DL SPS configurations, i.e., support of multiple service types and support of TSC message periodicities with non-integer multiple of NR supported SPS periodicities</w:t>
      </w:r>
      <w:r>
        <w:rPr>
          <w:rFonts w:ascii="Times New Roman" w:eastAsia="宋体" w:hAnsi="Times New Roman" w:hint="eastAsia"/>
          <w:szCs w:val="20"/>
          <w:lang w:val="en-US" w:eastAsia="zh-CN"/>
        </w:rPr>
        <w:t>.</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W</w:t>
      </w:r>
      <w:r>
        <w:rPr>
          <w:rFonts w:ascii="Times New Roman" w:eastAsia="宋体" w:hAnsi="Times New Roman"/>
          <w:szCs w:val="20"/>
          <w:lang w:val="en-US" w:eastAsia="zh-CN"/>
        </w:rPr>
        <w:t xml:space="preserve">e slightly prefer to support maximum 16 SPS configurations. </w:t>
      </w:r>
      <w:r>
        <w:rPr>
          <w:rFonts w:ascii="Times New Roman" w:eastAsia="宋体" w:hAnsi="Times New Roman" w:hint="eastAsia"/>
          <w:szCs w:val="20"/>
          <w:lang w:val="en-US" w:eastAsia="zh-CN"/>
        </w:rPr>
        <w:t>Because t</w:t>
      </w:r>
      <w:r>
        <w:rPr>
          <w:rFonts w:ascii="Times New Roman" w:eastAsia="宋体" w:hAnsi="Times New Roman"/>
          <w:szCs w:val="20"/>
          <w:lang w:val="en-US" w:eastAsia="zh-CN"/>
        </w:rPr>
        <w:t>here is no need to</w:t>
      </w:r>
      <w:r>
        <w:rPr>
          <w:rFonts w:ascii="Times New Roman" w:eastAsia="宋体" w:hAnsi="Times New Roman"/>
          <w:szCs w:val="20"/>
          <w:lang w:val="en-US" w:eastAsia="zh-CN"/>
        </w:rPr>
        <w:t xml:space="preserve"> limit the flexibility of network for some potential use cases, e.g., there could be simultaneous 3 traffic flows, and each flow has different non-integer periodicities which means multiple SPS configurations are required for each flow.</w:t>
      </w:r>
      <w:r>
        <w:rPr>
          <w:rFonts w:ascii="Times New Roman" w:eastAsia="宋体" w:hAnsi="Times New Roman" w:hint="eastAsia"/>
          <w:szCs w:val="20"/>
          <w:lang w:val="en-US" w:eastAsia="zh-CN"/>
        </w:rPr>
        <w:t xml:space="preserve"> In addition</w:t>
      </w:r>
      <w:r>
        <w:rPr>
          <w:rFonts w:ascii="Times New Roman" w:eastAsia="宋体" w:hAnsi="Times New Roman"/>
          <w:szCs w:val="20"/>
          <w:lang w:val="en-US" w:eastAsia="zh-CN"/>
        </w:rPr>
        <w:t>, t</w:t>
      </w:r>
      <w:r>
        <w:rPr>
          <w:rFonts w:ascii="Times New Roman" w:eastAsia="宋体" w:hAnsi="Times New Roman"/>
          <w:szCs w:val="20"/>
          <w:lang w:val="en-US" w:eastAsia="en-US"/>
        </w:rPr>
        <w:t>he cu</w:t>
      </w:r>
      <w:r>
        <w:rPr>
          <w:rFonts w:ascii="Times New Roman" w:eastAsia="宋体" w:hAnsi="Times New Roman"/>
          <w:szCs w:val="20"/>
          <w:lang w:val="en-US" w:eastAsia="en-US"/>
        </w:rPr>
        <w:t>rrent maximum number of simultaneous HA</w:t>
      </w:r>
      <w:r>
        <w:rPr>
          <w:rFonts w:ascii="Times New Roman" w:eastAsia="Times New Roman" w:hAnsi="Times New Roman"/>
          <w:szCs w:val="20"/>
          <w:lang w:val="en-US" w:eastAsia="en-US"/>
        </w:rPr>
        <w:t>RQ processes in the UE is 16</w:t>
      </w:r>
      <w:r>
        <w:rPr>
          <w:rFonts w:ascii="Times New Roman" w:eastAsia="宋体" w:hAnsi="Times New Roman"/>
          <w:szCs w:val="20"/>
          <w:lang w:val="en-US" w:eastAsia="zh-CN"/>
        </w:rPr>
        <w:t xml:space="preserve">, it means it will not increase UE </w:t>
      </w:r>
      <w:r>
        <w:rPr>
          <w:rFonts w:ascii="Times New Roman" w:eastAsia="宋体" w:hAnsi="Times New Roman"/>
          <w:szCs w:val="20"/>
          <w:lang w:val="en-US" w:eastAsia="zh-CN"/>
        </w:rPr>
        <w:lastRenderedPageBreak/>
        <w:t xml:space="preserve">complexity if support 16 configurations and each configuration with one HARQ process. </w:t>
      </w:r>
      <w:r>
        <w:rPr>
          <w:rFonts w:ascii="Times New Roman" w:eastAsia="宋体" w:hAnsi="Times New Roman" w:hint="eastAsia"/>
          <w:szCs w:val="20"/>
          <w:lang w:val="en-US" w:eastAsia="zh-CN"/>
        </w:rPr>
        <w:t>Therefore, we prefer to answer the question like follows.</w:t>
      </w:r>
    </w:p>
    <w:p w:rsidR="00C117C9" w:rsidRDefault="00902D20">
      <w:pPr>
        <w:widowControl w:val="0"/>
        <w:snapToGrid w:val="0"/>
        <w:spacing w:afterLines="50"/>
        <w:rPr>
          <w:rFonts w:eastAsia="宋体"/>
          <w:i/>
          <w:iCs/>
          <w:kern w:val="2"/>
          <w:lang w:val="en-US" w:eastAsia="zh-CN"/>
        </w:rPr>
      </w:pPr>
      <w:r>
        <w:rPr>
          <w:rFonts w:eastAsia="宋体"/>
          <w:b/>
          <w:i/>
          <w:iCs/>
          <w:lang w:val="en-US" w:eastAsia="zh-CN"/>
        </w:rPr>
        <w:t>Answer</w:t>
      </w:r>
      <w:r>
        <w:rPr>
          <w:rFonts w:eastAsia="MS Mincho"/>
          <w:b/>
          <w:i/>
          <w:iCs/>
          <w:lang w:eastAsia="ja-JP"/>
        </w:rPr>
        <w:t>1</w:t>
      </w:r>
      <w:r>
        <w:rPr>
          <w:rFonts w:eastAsia="宋体"/>
          <w:b/>
          <w:bCs/>
          <w:i/>
          <w:iCs/>
          <w:lang w:val="en-US"/>
        </w:rPr>
        <w:t>:</w:t>
      </w:r>
      <w:r>
        <w:rPr>
          <w:rFonts w:eastAsia="宋体"/>
          <w:b/>
          <w:bCs/>
          <w:lang w:val="en-US"/>
        </w:rPr>
        <w:t xml:space="preserve"> </w:t>
      </w:r>
      <w:r>
        <w:rPr>
          <w:rFonts w:eastAsia="宋体"/>
          <w:i/>
          <w:iCs/>
          <w:lang w:val="en-US" w:eastAsia="zh-CN"/>
        </w:rPr>
        <w:t xml:space="preserve">From RAN1 perspective, </w:t>
      </w:r>
      <w:r>
        <w:rPr>
          <w:rFonts w:eastAsia="宋体"/>
          <w:i/>
          <w:iCs/>
          <w:lang w:val="en-US" w:eastAsia="ja-JP"/>
        </w:rPr>
        <w:t>the maximum number of active SPS configurations for a given BWP of a serving cell</w:t>
      </w:r>
      <w:r>
        <w:rPr>
          <w:rFonts w:eastAsia="宋体"/>
          <w:i/>
          <w:iCs/>
          <w:lang w:val="en-US" w:eastAsia="zh-CN"/>
        </w:rPr>
        <w:t xml:space="preserve"> is 16. </w:t>
      </w:r>
    </w:p>
    <w:p w:rsidR="00C117C9" w:rsidRDefault="00902D20">
      <w:pPr>
        <w:snapToGrid w:val="0"/>
        <w:spacing w:beforeLines="50" w:before="180" w:after="120"/>
        <w:rPr>
          <w:rFonts w:eastAsia="宋体"/>
          <w:b/>
          <w:bCs/>
          <w:u w:val="single"/>
          <w:lang w:val="en-US" w:eastAsia="zh-CN"/>
        </w:rPr>
      </w:pPr>
      <w:r>
        <w:rPr>
          <w:rFonts w:eastAsia="宋体" w:hint="eastAsia"/>
          <w:b/>
          <w:bCs/>
          <w:u w:val="single"/>
          <w:lang w:val="en-US" w:eastAsia="zh-CN"/>
        </w:rPr>
        <w:t>Discussion on Question 2</w:t>
      </w:r>
    </w:p>
    <w:tbl>
      <w:tblPr>
        <w:tblStyle w:val="af7"/>
        <w:tblW w:w="9350" w:type="dxa"/>
        <w:jc w:val="center"/>
        <w:tblLayout w:type="fixed"/>
        <w:tblLook w:val="04A0" w:firstRow="1" w:lastRow="0" w:firstColumn="1" w:lastColumn="0" w:noHBand="0" w:noVBand="1"/>
      </w:tblPr>
      <w:tblGrid>
        <w:gridCol w:w="9350"/>
      </w:tblGrid>
      <w:tr w:rsidR="00C117C9">
        <w:trPr>
          <w:jc w:val="center"/>
        </w:trPr>
        <w:tc>
          <w:tcPr>
            <w:tcW w:w="9350" w:type="dxa"/>
          </w:tcPr>
          <w:p w:rsidR="00C117C9" w:rsidRDefault="00902D20">
            <w:pPr>
              <w:rPr>
                <w:lang w:eastAsia="zh-CN"/>
              </w:rPr>
            </w:pPr>
            <w:r>
              <w:rPr>
                <w:lang w:eastAsia="zh-CN"/>
              </w:rPr>
              <w:t xml:space="preserve">From RAN2 point of view, </w:t>
            </w:r>
            <w:r>
              <w:rPr>
                <w:rFonts w:eastAsia="MS Mincho"/>
                <w:lang w:eastAsia="ja-JP"/>
              </w:rPr>
              <w:t>supporting short periodicity at least down to 0.5 ms is required. Support of even shorter per</w:t>
            </w:r>
            <w:r>
              <w:rPr>
                <w:rFonts w:eastAsia="MS Mincho"/>
                <w:lang w:eastAsia="ja-JP"/>
              </w:rPr>
              <w:t>iodicities (e.g. down to 2 symbols) could be useful for support of TSC traffic patterns with periodicities non-aligned with NR frame structure, i.e. periodicities which are not multiple of NR slot or symbol period, which are used to configure CG/SPS period</w:t>
            </w:r>
            <w:r>
              <w:rPr>
                <w:rFonts w:eastAsia="MS Mincho"/>
                <w:lang w:eastAsia="ja-JP"/>
              </w:rPr>
              <w:t>icity. On the other hand, some companies indicated that the same issue can be addressed by providing the UE with multiple active SPS configurations and there was no consensus on how to address issue.</w:t>
            </w:r>
          </w:p>
          <w:p w:rsidR="00C117C9" w:rsidRDefault="00902D20">
            <w:pPr>
              <w:rPr>
                <w:lang w:eastAsia="zh-CN"/>
              </w:rPr>
            </w:pPr>
            <w:r>
              <w:rPr>
                <w:rFonts w:eastAsia="MS Mincho"/>
                <w:b/>
                <w:lang w:eastAsia="ja-JP"/>
              </w:rPr>
              <w:t>Q2</w:t>
            </w:r>
            <w:r>
              <w:rPr>
                <w:rFonts w:eastAsia="MS Mincho"/>
                <w:lang w:eastAsia="ja-JP"/>
              </w:rPr>
              <w:t xml:space="preserve">: </w:t>
            </w:r>
            <w:r>
              <w:rPr>
                <w:lang w:eastAsia="zh-CN"/>
              </w:rPr>
              <w:t>RAN2 would like to kindly ask RAN1 about:</w:t>
            </w:r>
          </w:p>
          <w:p w:rsidR="00C117C9" w:rsidRDefault="00902D20">
            <w:pPr>
              <w:numPr>
                <w:ilvl w:val="0"/>
                <w:numId w:val="3"/>
              </w:numPr>
              <w:snapToGrid w:val="0"/>
              <w:spacing w:after="120"/>
              <w:ind w:left="380" w:hanging="363"/>
              <w:rPr>
                <w:lang w:eastAsia="zh-CN"/>
              </w:rPr>
            </w:pPr>
            <w:r>
              <w:rPr>
                <w:lang w:eastAsia="zh-CN"/>
              </w:rPr>
              <w:t xml:space="preserve">the </w:t>
            </w:r>
            <w:r>
              <w:rPr>
                <w:lang w:eastAsia="zh-CN"/>
              </w:rPr>
              <w:t>feasibility to support SPS periodicities of at least 0.5 ms</w:t>
            </w:r>
          </w:p>
          <w:p w:rsidR="00C117C9" w:rsidRDefault="00902D20">
            <w:pPr>
              <w:numPr>
                <w:ilvl w:val="0"/>
                <w:numId w:val="3"/>
              </w:numPr>
              <w:snapToGrid w:val="0"/>
              <w:spacing w:after="120"/>
              <w:ind w:left="380" w:hanging="363"/>
              <w:rPr>
                <w:lang w:eastAsia="zh-CN"/>
              </w:rPr>
            </w:pPr>
            <w:r>
              <w:rPr>
                <w:lang w:eastAsia="zh-CN"/>
              </w:rPr>
              <w:t>the feasibility to support SPS periodicities shorter than 0.5 ms, e.g. down to 2 symbols</w:t>
            </w:r>
          </w:p>
          <w:p w:rsidR="00C117C9" w:rsidRDefault="00902D20">
            <w:pPr>
              <w:numPr>
                <w:ilvl w:val="0"/>
                <w:numId w:val="3"/>
              </w:numPr>
              <w:snapToGrid w:val="0"/>
              <w:spacing w:after="120"/>
              <w:ind w:left="380" w:hanging="363"/>
              <w:rPr>
                <w:rFonts w:eastAsia="宋体"/>
                <w:sz w:val="21"/>
                <w:szCs w:val="21"/>
                <w:lang w:val="en-US" w:eastAsia="zh-CN"/>
              </w:rPr>
            </w:pPr>
            <w:r>
              <w:rPr>
                <w:lang w:eastAsia="zh-CN"/>
              </w:rPr>
              <w:t>any additional limitations for the above e.g. in terms of supported SCS</w:t>
            </w:r>
            <w:r>
              <w:rPr>
                <w:rFonts w:eastAsia="MS Mincho"/>
                <w:lang w:eastAsia="ja-JP"/>
              </w:rPr>
              <w:t>, HARQ-ACK feedback</w:t>
            </w:r>
          </w:p>
        </w:tc>
      </w:tr>
    </w:tbl>
    <w:p w:rsidR="00C117C9" w:rsidRDefault="00902D20">
      <w:pPr>
        <w:pStyle w:val="Doc-text2"/>
        <w:snapToGrid w:val="0"/>
        <w:spacing w:beforeLines="50" w:before="180" w:afterLines="50" w:after="180"/>
        <w:ind w:left="0" w:firstLine="0"/>
        <w:rPr>
          <w:rFonts w:ascii="Times New Roman" w:eastAsia="Times New Roman" w:hAnsi="Times New Roman"/>
          <w:color w:val="000000" w:themeColor="text1"/>
          <w:szCs w:val="21"/>
          <w:lang w:val="en-US" w:eastAsia="zh-CN"/>
        </w:rPr>
      </w:pPr>
      <w:r>
        <w:rPr>
          <w:rFonts w:ascii="Times New Roman" w:eastAsia="Times New Roman" w:hAnsi="Times New Roman" w:hint="eastAsia"/>
          <w:color w:val="000000" w:themeColor="text1"/>
          <w:szCs w:val="21"/>
          <w:lang w:val="en-US" w:eastAsia="zh-CN"/>
        </w:rPr>
        <w:t xml:space="preserve">Currently, </w:t>
      </w:r>
      <w:r w:rsidR="0075480A">
        <w:rPr>
          <w:rFonts w:ascii="Times New Roman" w:eastAsia="Times New Roman" w:hAnsi="Times New Roman" w:hint="eastAsia"/>
          <w:color w:val="000000" w:themeColor="text1"/>
          <w:szCs w:val="21"/>
          <w:lang w:val="en-US" w:eastAsia="zh-CN"/>
        </w:rPr>
        <w:t>a</w:t>
      </w:r>
      <w:r w:rsidR="0075480A">
        <w:rPr>
          <w:rFonts w:ascii="Times New Roman" w:eastAsia="Times New Roman" w:hAnsi="Times New Roman"/>
          <w:color w:val="000000" w:themeColor="text1"/>
          <w:szCs w:val="21"/>
          <w:lang w:val="en-US" w:eastAsia="zh-CN"/>
        </w:rPr>
        <w:t xml:space="preserve"> </w:t>
      </w:r>
      <w:r>
        <w:rPr>
          <w:rFonts w:ascii="Times New Roman" w:eastAsia="Times New Roman" w:hAnsi="Times New Roman" w:hint="eastAsia"/>
          <w:color w:val="000000" w:themeColor="text1"/>
          <w:szCs w:val="21"/>
          <w:lang w:val="en-US" w:eastAsia="zh-CN"/>
        </w:rPr>
        <w:t>UE needs to feed back HARQ-ACK for every SPS occasion. If shorter SPS periodicities, e.g. 2 symbol, are introduced, 7 PUCCH transmission occasions per slot are needed and PUCCH overhead for DL SPS HARQ-ACK would be too high. In addition, current</w:t>
      </w:r>
      <w:r>
        <w:rPr>
          <w:rFonts w:ascii="Times New Roman" w:eastAsia="Times New Roman" w:hAnsi="Times New Roman" w:hint="eastAsia"/>
          <w:color w:val="000000" w:themeColor="text1"/>
          <w:szCs w:val="21"/>
          <w:lang w:val="en-US" w:eastAsia="zh-CN"/>
        </w:rPr>
        <w:t xml:space="preserve"> HARQ-ACK codebook only allows one HARQ-ACK feedback for one SPS occasion in one codebook window, which limits gNB SPS scheduling and not suitable for shorter SPS </w:t>
      </w:r>
      <w:r>
        <w:rPr>
          <w:rFonts w:ascii="Times New Roman" w:eastAsia="Times New Roman" w:hAnsi="Times New Roman" w:hint="eastAsia"/>
          <w:color w:val="000000" w:themeColor="text1"/>
          <w:szCs w:val="21"/>
          <w:lang w:val="en-US" w:eastAsia="zh-CN"/>
        </w:rPr>
        <w:t xml:space="preserve">periodicities.  </w:t>
      </w:r>
    </w:p>
    <w:p w:rsidR="00C117C9" w:rsidRDefault="00902D20">
      <w:pPr>
        <w:snapToGrid w:val="0"/>
        <w:spacing w:after="120"/>
        <w:rPr>
          <w:color w:val="000000" w:themeColor="text1"/>
          <w:szCs w:val="21"/>
          <w:lang w:val="en-US" w:eastAsia="zh-CN"/>
        </w:rPr>
      </w:pPr>
      <w:r>
        <w:rPr>
          <w:rFonts w:hint="eastAsia"/>
          <w:color w:val="000000" w:themeColor="text1"/>
          <w:szCs w:val="21"/>
          <w:lang w:val="en-US" w:eastAsia="zh-CN"/>
        </w:rPr>
        <w:t>Considering above beneficial use cases, if time allows, it is better to solv</w:t>
      </w:r>
      <w:r>
        <w:rPr>
          <w:rFonts w:hint="eastAsia"/>
          <w:color w:val="000000" w:themeColor="text1"/>
          <w:szCs w:val="21"/>
          <w:lang w:val="en-US" w:eastAsia="zh-CN"/>
        </w:rPr>
        <w:t>e the HARQ-ACK issues to support shorter SPS periodicities down to 2 symbol. As a starting point, UL configured grant periodicities could be reused. On the other hand, if no enough time for this topic, multiple SPS configurations could be used as an altern</w:t>
      </w:r>
      <w:r>
        <w:rPr>
          <w:rFonts w:hint="eastAsia"/>
          <w:color w:val="000000" w:themeColor="text1"/>
          <w:szCs w:val="21"/>
          <w:lang w:val="en-US" w:eastAsia="zh-CN"/>
        </w:rPr>
        <w:t xml:space="preserve">ative solution for TSC traffic patterns with non-integer periodicities. </w:t>
      </w:r>
    </w:p>
    <w:p w:rsidR="00C117C9" w:rsidRDefault="0075480A">
      <w:pPr>
        <w:snapToGrid w:val="0"/>
        <w:spacing w:after="120"/>
        <w:rPr>
          <w:color w:val="000000" w:themeColor="text1"/>
          <w:lang w:val="en-US" w:eastAsia="zh-CN"/>
        </w:rPr>
      </w:pPr>
      <w:r>
        <w:rPr>
          <w:rFonts w:hint="eastAsia"/>
          <w:color w:val="000000" w:themeColor="text1"/>
          <w:lang w:val="en-US" w:eastAsia="zh-CN"/>
        </w:rPr>
        <w:t>In our views,</w:t>
      </w:r>
      <w:r w:rsidR="00902D20">
        <w:rPr>
          <w:lang w:eastAsia="zh-CN"/>
        </w:rPr>
        <w:t xml:space="preserve"> </w:t>
      </w:r>
      <w:r w:rsidR="00902D20">
        <w:rPr>
          <w:rFonts w:hint="eastAsia"/>
          <w:lang w:val="en-US" w:eastAsia="zh-CN"/>
        </w:rPr>
        <w:t xml:space="preserve">above issues are not severe for </w:t>
      </w:r>
      <w:r w:rsidR="00902D20">
        <w:rPr>
          <w:lang w:eastAsia="zh-CN"/>
        </w:rPr>
        <w:t>0.5</w:t>
      </w:r>
      <w:r w:rsidR="00902D20">
        <w:rPr>
          <w:lang w:eastAsia="zh-CN"/>
        </w:rPr>
        <w:t>ms</w:t>
      </w:r>
      <w:r w:rsidR="00902D20">
        <w:rPr>
          <w:rFonts w:hint="eastAsia"/>
          <w:lang w:val="en-US" w:eastAsia="zh-CN"/>
        </w:rPr>
        <w:t xml:space="preserve"> </w:t>
      </w:r>
      <w:r w:rsidR="00902D20">
        <w:rPr>
          <w:lang w:eastAsia="zh-CN"/>
        </w:rPr>
        <w:t>SPS period</w:t>
      </w:r>
      <w:r w:rsidR="00902D20">
        <w:rPr>
          <w:rFonts w:hint="eastAsia"/>
          <w:lang w:val="en-US" w:eastAsia="zh-CN"/>
        </w:rPr>
        <w:t xml:space="preserve">, and </w:t>
      </w:r>
      <w:r w:rsidR="00902D20">
        <w:rPr>
          <w:rFonts w:hint="eastAsia"/>
          <w:color w:val="000000" w:themeColor="text1"/>
          <w:lang w:val="en-US" w:eastAsia="zh-CN"/>
        </w:rPr>
        <w:t>it is feasible t</w:t>
      </w:r>
      <w:r w:rsidR="00902D20">
        <w:rPr>
          <w:lang w:eastAsia="zh-CN"/>
        </w:rPr>
        <w:t xml:space="preserve">o support </w:t>
      </w:r>
      <w:r w:rsidR="00902D20">
        <w:rPr>
          <w:rFonts w:hint="eastAsia"/>
          <w:lang w:val="en-US" w:eastAsia="zh-CN"/>
        </w:rPr>
        <w:t xml:space="preserve">0.5ms </w:t>
      </w:r>
      <w:r w:rsidR="00902D20">
        <w:rPr>
          <w:lang w:eastAsia="zh-CN"/>
        </w:rPr>
        <w:t xml:space="preserve">SPS period </w:t>
      </w:r>
      <w:r w:rsidR="00902D20">
        <w:rPr>
          <w:rFonts w:hint="eastAsia"/>
          <w:color w:val="000000" w:themeColor="text1"/>
          <w:szCs w:val="21"/>
          <w:lang w:val="en-US" w:eastAsia="zh-CN"/>
        </w:rPr>
        <w:t>for all SCS. The agreed sub-slot-based HARQ-ACK feedback procedure defined in UCI agenda could be reused in cas</w:t>
      </w:r>
      <w:r>
        <w:rPr>
          <w:rFonts w:hint="eastAsia"/>
          <w:color w:val="000000" w:themeColor="text1"/>
          <w:szCs w:val="21"/>
          <w:lang w:val="en-US" w:eastAsia="zh-CN"/>
        </w:rPr>
        <w:t>e of 0.5ms SPS period at SCS</w:t>
      </w:r>
      <w:r>
        <w:rPr>
          <w:color w:val="000000" w:themeColor="text1"/>
          <w:szCs w:val="21"/>
          <w:lang w:val="en-US" w:eastAsia="zh-CN"/>
        </w:rPr>
        <w:t xml:space="preserve"> </w:t>
      </w:r>
      <w:r>
        <w:rPr>
          <w:rFonts w:hint="eastAsia"/>
          <w:color w:val="000000" w:themeColor="text1"/>
          <w:szCs w:val="21"/>
          <w:lang w:val="en-US" w:eastAsia="zh-CN"/>
        </w:rPr>
        <w:t>=</w:t>
      </w:r>
      <w:r>
        <w:rPr>
          <w:color w:val="000000" w:themeColor="text1"/>
          <w:szCs w:val="21"/>
          <w:lang w:val="en-US" w:eastAsia="zh-CN"/>
        </w:rPr>
        <w:t xml:space="preserve"> </w:t>
      </w:r>
      <w:bookmarkStart w:id="2" w:name="_GoBack"/>
      <w:bookmarkEnd w:id="2"/>
      <w:r>
        <w:rPr>
          <w:rFonts w:hint="eastAsia"/>
          <w:color w:val="000000" w:themeColor="text1"/>
          <w:szCs w:val="21"/>
          <w:lang w:val="en-US" w:eastAsia="zh-CN"/>
        </w:rPr>
        <w:t>15</w:t>
      </w:r>
      <w:r>
        <w:rPr>
          <w:color w:val="000000" w:themeColor="text1"/>
          <w:szCs w:val="21"/>
          <w:lang w:val="en-US" w:eastAsia="zh-CN"/>
        </w:rPr>
        <w:t xml:space="preserve"> K</w:t>
      </w:r>
      <w:r w:rsidR="00902D20">
        <w:rPr>
          <w:rFonts w:hint="eastAsia"/>
          <w:color w:val="000000" w:themeColor="text1"/>
          <w:szCs w:val="21"/>
          <w:lang w:val="en-US" w:eastAsia="zh-CN"/>
        </w:rPr>
        <w:t xml:space="preserve">Hz. </w:t>
      </w:r>
      <w:r w:rsidR="00902D20">
        <w:rPr>
          <w:rFonts w:hint="eastAsia"/>
          <w:lang w:val="en-US" w:eastAsia="zh-CN"/>
        </w:rPr>
        <w:t xml:space="preserve">For </w:t>
      </w:r>
      <w:r w:rsidR="00902D20">
        <w:rPr>
          <w:rFonts w:hint="eastAsia"/>
          <w:color w:val="000000" w:themeColor="text1"/>
          <w:lang w:val="en-US" w:eastAsia="zh-CN"/>
        </w:rPr>
        <w:t xml:space="preserve">support of shorter </w:t>
      </w:r>
      <w:r w:rsidR="00902D20">
        <w:rPr>
          <w:color w:val="000000" w:themeColor="text1"/>
          <w:lang w:val="en-US" w:eastAsia="zh-CN"/>
        </w:rPr>
        <w:t>periodicities</w:t>
      </w:r>
      <w:r w:rsidR="00902D20">
        <w:rPr>
          <w:rFonts w:hint="eastAsia"/>
          <w:color w:val="000000" w:themeColor="text1"/>
          <w:lang w:val="en-US" w:eastAsia="zh-CN"/>
        </w:rPr>
        <w:t xml:space="preserve"> than 0.5ms, it could be treated at low priority. RAN1/2 should first foc</w:t>
      </w:r>
      <w:r w:rsidR="00902D20">
        <w:rPr>
          <w:rFonts w:hint="eastAsia"/>
          <w:color w:val="000000" w:themeColor="text1"/>
          <w:lang w:val="en-US" w:eastAsia="zh-CN"/>
        </w:rPr>
        <w:t xml:space="preserve">us on multiple SPS configurations to solve the non-integer </w:t>
      </w:r>
      <w:r w:rsidR="00902D20">
        <w:rPr>
          <w:color w:val="000000" w:themeColor="text1"/>
          <w:lang w:val="en-US" w:eastAsia="zh-CN"/>
        </w:rPr>
        <w:t>periodicities</w:t>
      </w:r>
      <w:r w:rsidR="00902D20">
        <w:rPr>
          <w:rFonts w:hint="eastAsia"/>
          <w:color w:val="000000" w:themeColor="text1"/>
          <w:lang w:val="en-US" w:eastAsia="zh-CN"/>
        </w:rPr>
        <w:t xml:space="preserve"> issue. </w:t>
      </w:r>
    </w:p>
    <w:p w:rsidR="00C117C9" w:rsidRDefault="00902D20">
      <w:pPr>
        <w:snapToGrid w:val="0"/>
        <w:spacing w:after="120"/>
        <w:rPr>
          <w:color w:val="000000" w:themeColor="text1"/>
          <w:lang w:val="en-US" w:eastAsia="zh-CN"/>
        </w:rPr>
      </w:pPr>
      <w:r>
        <w:rPr>
          <w:rFonts w:eastAsia="宋体"/>
          <w:b/>
          <w:i/>
          <w:iCs/>
          <w:lang w:val="en-US" w:eastAsia="zh-CN"/>
        </w:rPr>
        <w:t>Answer</w:t>
      </w:r>
      <w:r>
        <w:rPr>
          <w:rFonts w:eastAsia="宋体" w:hint="eastAsia"/>
          <w:b/>
          <w:i/>
          <w:iCs/>
          <w:lang w:val="en-US" w:eastAsia="zh-CN"/>
        </w:rPr>
        <w:t>2</w:t>
      </w:r>
      <w:r>
        <w:rPr>
          <w:rFonts w:eastAsia="宋体"/>
          <w:b/>
          <w:bCs/>
          <w:i/>
          <w:iCs/>
          <w:lang w:val="en-US"/>
        </w:rPr>
        <w:t>:</w:t>
      </w:r>
      <w:r>
        <w:rPr>
          <w:rFonts w:eastAsia="宋体"/>
          <w:b/>
          <w:bCs/>
          <w:lang w:val="en-US"/>
        </w:rPr>
        <w:t xml:space="preserve"> </w:t>
      </w:r>
      <w:r>
        <w:rPr>
          <w:rFonts w:eastAsia="宋体"/>
          <w:i/>
          <w:iCs/>
          <w:lang w:val="en-US" w:eastAsia="zh-CN"/>
        </w:rPr>
        <w:t>From RAN1 perspective</w:t>
      </w:r>
      <w:r>
        <w:rPr>
          <w:rFonts w:eastAsia="宋体" w:hint="eastAsia"/>
          <w:i/>
          <w:iCs/>
          <w:lang w:val="en-US" w:eastAsia="zh-CN"/>
        </w:rPr>
        <w:t xml:space="preserve">, </w:t>
      </w:r>
      <w:r>
        <w:rPr>
          <w:rFonts w:hint="eastAsia"/>
          <w:i/>
          <w:iCs/>
          <w:color w:val="000000" w:themeColor="text1"/>
          <w:lang w:val="en-US" w:eastAsia="zh-CN"/>
        </w:rPr>
        <w:t>it is feasible t</w:t>
      </w:r>
      <w:r>
        <w:rPr>
          <w:i/>
          <w:iCs/>
          <w:lang w:eastAsia="zh-CN"/>
        </w:rPr>
        <w:t xml:space="preserve">o support </w:t>
      </w:r>
      <w:r>
        <w:rPr>
          <w:rFonts w:hint="eastAsia"/>
          <w:i/>
          <w:iCs/>
          <w:lang w:val="en-US" w:eastAsia="zh-CN"/>
        </w:rPr>
        <w:t xml:space="preserve">0.5ms </w:t>
      </w:r>
      <w:r>
        <w:rPr>
          <w:i/>
          <w:iCs/>
          <w:lang w:eastAsia="zh-CN"/>
        </w:rPr>
        <w:t>SPS period</w:t>
      </w:r>
      <w:r>
        <w:rPr>
          <w:rFonts w:hint="eastAsia"/>
          <w:i/>
          <w:iCs/>
          <w:lang w:val="en-US" w:eastAsia="zh-CN"/>
        </w:rPr>
        <w:t xml:space="preserve"> for all SCS, while </w:t>
      </w:r>
      <w:r>
        <w:rPr>
          <w:rFonts w:hint="eastAsia"/>
          <w:i/>
          <w:iCs/>
          <w:color w:val="000000" w:themeColor="text1"/>
          <w:lang w:val="en-US" w:eastAsia="zh-CN"/>
        </w:rPr>
        <w:t xml:space="preserve">support of shorter </w:t>
      </w:r>
      <w:r>
        <w:rPr>
          <w:i/>
          <w:iCs/>
          <w:color w:val="000000" w:themeColor="text1"/>
          <w:lang w:val="en-US" w:eastAsia="zh-CN"/>
        </w:rPr>
        <w:t>periodicities</w:t>
      </w:r>
      <w:r>
        <w:rPr>
          <w:rFonts w:hint="eastAsia"/>
          <w:i/>
          <w:iCs/>
          <w:color w:val="000000" w:themeColor="text1"/>
          <w:lang w:val="en-US" w:eastAsia="zh-CN"/>
        </w:rPr>
        <w:t xml:space="preserve"> than 0.5ms would have HARQ-ACK issues which is supposed to be handled at low priority in RAN1. </w:t>
      </w:r>
    </w:p>
    <w:p w:rsidR="00C117C9" w:rsidRDefault="00902D20">
      <w:pPr>
        <w:snapToGrid w:val="0"/>
        <w:spacing w:beforeLines="50" w:before="180" w:after="120"/>
        <w:rPr>
          <w:rFonts w:eastAsia="宋体"/>
          <w:b/>
          <w:bCs/>
          <w:u w:val="single"/>
          <w:lang w:val="en-US" w:eastAsia="zh-CN"/>
        </w:rPr>
      </w:pPr>
      <w:r>
        <w:rPr>
          <w:rFonts w:eastAsia="宋体" w:hint="eastAsia"/>
          <w:b/>
          <w:bCs/>
          <w:u w:val="single"/>
          <w:lang w:val="en-US" w:eastAsia="zh-CN"/>
        </w:rPr>
        <w:t>Discussion on Question 3</w:t>
      </w:r>
    </w:p>
    <w:tbl>
      <w:tblPr>
        <w:tblStyle w:val="af7"/>
        <w:tblW w:w="9350" w:type="dxa"/>
        <w:jc w:val="center"/>
        <w:tblLayout w:type="fixed"/>
        <w:tblLook w:val="04A0" w:firstRow="1" w:lastRow="0" w:firstColumn="1" w:lastColumn="0" w:noHBand="0" w:noVBand="1"/>
      </w:tblPr>
      <w:tblGrid>
        <w:gridCol w:w="9350"/>
      </w:tblGrid>
      <w:tr w:rsidR="00C117C9">
        <w:trPr>
          <w:jc w:val="center"/>
        </w:trPr>
        <w:tc>
          <w:tcPr>
            <w:tcW w:w="9350" w:type="dxa"/>
          </w:tcPr>
          <w:p w:rsidR="00C117C9" w:rsidRDefault="00902D20">
            <w:pPr>
              <w:rPr>
                <w:rFonts w:eastAsia="MS Mincho"/>
                <w:lang w:eastAsia="ja-JP"/>
              </w:rPr>
            </w:pPr>
            <w:r>
              <w:rPr>
                <w:rFonts w:eastAsia="MS Mincho"/>
                <w:lang w:eastAsia="ja-JP"/>
              </w:rPr>
              <w:t xml:space="preserve">RAN2 assumes that activation/deactivation of multiple SPS/CG configurations is done by DCI. </w:t>
            </w:r>
            <w:r>
              <w:rPr>
                <w:lang w:eastAsia="zh-CN"/>
              </w:rPr>
              <w:t>T</w:t>
            </w:r>
            <w:r>
              <w:rPr>
                <w:rFonts w:eastAsia="MS Mincho"/>
                <w:lang w:eastAsia="ja-JP"/>
              </w:rPr>
              <w:t xml:space="preserve">here is no consensus in RAN2 on </w:t>
            </w:r>
            <w:r>
              <w:rPr>
                <w:rFonts w:eastAsia="MS Mincho"/>
                <w:lang w:eastAsia="ja-JP"/>
              </w:rPr>
              <w:t>activation/deactivation of multiple SPS/CG configurations to be done by one DCI for multiple configuration</w:t>
            </w:r>
            <w:r>
              <w:rPr>
                <w:rFonts w:eastAsia="MS Mincho"/>
                <w:lang w:val="en-US" w:eastAsia="ja-JP"/>
              </w:rPr>
              <w:t>s</w:t>
            </w:r>
            <w:r>
              <w:rPr>
                <w:rFonts w:eastAsia="MS Mincho"/>
                <w:lang w:eastAsia="ja-JP"/>
              </w:rPr>
              <w:t xml:space="preserve"> or by one DCI per configuration (as in LTE rel-15).</w:t>
            </w:r>
          </w:p>
          <w:p w:rsidR="00C117C9" w:rsidRDefault="00902D20">
            <w:pPr>
              <w:rPr>
                <w:rFonts w:eastAsia="宋体"/>
                <w:sz w:val="21"/>
                <w:szCs w:val="21"/>
                <w:lang w:val="en-US" w:eastAsia="zh-CN"/>
              </w:rPr>
            </w:pPr>
            <w:r>
              <w:rPr>
                <w:rFonts w:eastAsia="MS Mincho"/>
                <w:b/>
                <w:lang w:eastAsia="ja-JP"/>
              </w:rPr>
              <w:t>Q3</w:t>
            </w:r>
            <w:r>
              <w:rPr>
                <w:rFonts w:eastAsia="MS Mincho"/>
                <w:lang w:eastAsia="ja-JP"/>
              </w:rPr>
              <w:t>: RAN2 would like to kindly ask RAN1 the feasibility of activation/deactivation of multiple SP</w:t>
            </w:r>
            <w:r>
              <w:rPr>
                <w:rFonts w:eastAsia="MS Mincho"/>
                <w:lang w:eastAsia="ja-JP"/>
              </w:rPr>
              <w:t xml:space="preserve">S/CG configurations via DCI signalling. </w:t>
            </w:r>
          </w:p>
        </w:tc>
      </w:tr>
    </w:tbl>
    <w:p w:rsidR="00C117C9" w:rsidRDefault="00902D20">
      <w:pPr>
        <w:pStyle w:val="Doc-text2"/>
        <w:snapToGrid w:val="0"/>
        <w:spacing w:beforeLines="50" w:before="180" w:afterLines="50" w:after="180"/>
        <w:ind w:left="0" w:firstLine="0"/>
        <w:rPr>
          <w:rFonts w:ascii="Times New Roman" w:eastAsia="宋体" w:hAnsi="Times New Roman"/>
          <w:lang w:val="en-US" w:eastAsia="zh-CN"/>
        </w:rPr>
      </w:pPr>
      <w:r>
        <w:rPr>
          <w:rFonts w:ascii="Times New Roman" w:eastAsia="宋体" w:hAnsi="Times New Roman"/>
          <w:szCs w:val="20"/>
          <w:lang w:val="en-US" w:eastAsia="zh-CN"/>
        </w:rPr>
        <w:t>As discussed in our companion contribution</w:t>
      </w:r>
      <w:r w:rsidR="0075480A">
        <w:rPr>
          <w:rFonts w:ascii="Times New Roman" w:eastAsia="宋体" w:hAnsi="Times New Roman"/>
          <w:szCs w:val="20"/>
          <w:lang w:val="en-US" w:eastAsia="zh-CN"/>
        </w:rPr>
        <w:t xml:space="preserve"> </w:t>
      </w:r>
      <w:r>
        <w:rPr>
          <w:rFonts w:ascii="Times New Roman" w:eastAsia="宋体" w:hAnsi="Times New Roman"/>
          <w:szCs w:val="20"/>
          <w:lang w:val="en-US" w:eastAsia="zh-CN"/>
        </w:rPr>
        <w:t>[2]</w:t>
      </w:r>
      <w:r>
        <w:rPr>
          <w:rFonts w:ascii="Times New Roman" w:eastAsia="宋体" w:hAnsi="Times New Roman" w:hint="eastAsia"/>
          <w:szCs w:val="20"/>
          <w:lang w:val="en-US" w:eastAsia="zh-CN"/>
        </w:rPr>
        <w:t>[3]</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it is desirable to reduce the alignment delay for both SPS and CG configurations for one service type. In such cases, most of the parameters like period, time domai</w:t>
      </w:r>
      <w:r>
        <w:rPr>
          <w:rFonts w:ascii="Times New Roman" w:eastAsia="宋体" w:hAnsi="Times New Roman" w:hint="eastAsia"/>
          <w:szCs w:val="20"/>
          <w:lang w:val="en-US" w:eastAsia="zh-CN"/>
        </w:rPr>
        <w:t xml:space="preserve">n/frequency domain resource size within a period, MCS, etc., are common among different configurations. It is feasible and beneficial to support one DCI to activate/deactivate </w:t>
      </w:r>
      <w:r>
        <w:rPr>
          <w:rFonts w:ascii="Times New Roman" w:hAnsi="Times New Roman"/>
          <w:lang w:eastAsia="ja-JP"/>
        </w:rPr>
        <w:t>multiple SPS/CG configurations</w:t>
      </w:r>
      <w:r w:rsidR="0075480A">
        <w:rPr>
          <w:rFonts w:ascii="Times New Roman" w:hAnsi="Times New Roman"/>
          <w:lang w:eastAsia="ja-JP"/>
        </w:rPr>
        <w:t xml:space="preserve"> </w:t>
      </w:r>
      <w:r>
        <w:rPr>
          <w:rFonts w:ascii="Times New Roman" w:eastAsia="宋体" w:hAnsi="Times New Roman" w:hint="eastAsia"/>
          <w:lang w:val="en-US" w:eastAsia="zh-CN"/>
        </w:rPr>
        <w:t xml:space="preserve">[2][3]. </w:t>
      </w:r>
    </w:p>
    <w:p w:rsidR="00C117C9" w:rsidRDefault="00902D20">
      <w:pPr>
        <w:pStyle w:val="Doc-text2"/>
        <w:snapToGrid w:val="0"/>
        <w:spacing w:afterLines="50" w:after="180"/>
        <w:ind w:left="0" w:firstLine="0"/>
        <w:rPr>
          <w:rFonts w:ascii="Times New Roman" w:eastAsia="宋体" w:hAnsi="Times New Roman"/>
          <w:szCs w:val="20"/>
          <w:lang w:val="en-US" w:eastAsia="zh-CN"/>
        </w:rPr>
      </w:pPr>
      <w:r>
        <w:rPr>
          <w:rFonts w:ascii="Times New Roman" w:eastAsia="宋体" w:hAnsi="Times New Roman"/>
          <w:b/>
          <w:i/>
          <w:iCs/>
          <w:szCs w:val="20"/>
          <w:lang w:val="en-US" w:eastAsia="zh-CN"/>
        </w:rPr>
        <w:t>Answer</w:t>
      </w:r>
      <w:r>
        <w:rPr>
          <w:rFonts w:ascii="Times New Roman" w:eastAsia="宋体" w:hAnsi="Times New Roman" w:hint="eastAsia"/>
          <w:b/>
          <w:i/>
          <w:iCs/>
          <w:szCs w:val="20"/>
          <w:lang w:val="en-US" w:eastAsia="zh-CN"/>
        </w:rPr>
        <w:t>3</w:t>
      </w:r>
      <w:r>
        <w:rPr>
          <w:rFonts w:ascii="Times New Roman" w:eastAsia="宋体" w:hAnsi="Times New Roman"/>
          <w:b/>
          <w:bCs/>
          <w:i/>
          <w:iCs/>
          <w:szCs w:val="20"/>
          <w:lang w:val="en-US"/>
        </w:rPr>
        <w:t>:</w:t>
      </w:r>
      <w:r>
        <w:rPr>
          <w:rFonts w:ascii="Times New Roman" w:eastAsia="宋体" w:hAnsi="Times New Roman"/>
          <w:b/>
          <w:bCs/>
          <w:szCs w:val="20"/>
          <w:lang w:val="en-US"/>
        </w:rPr>
        <w:t xml:space="preserve"> </w:t>
      </w:r>
      <w:r>
        <w:rPr>
          <w:rFonts w:ascii="Times New Roman" w:eastAsia="宋体" w:hAnsi="Times New Roman"/>
          <w:i/>
          <w:iCs/>
          <w:szCs w:val="20"/>
          <w:lang w:val="en-US" w:eastAsia="zh-CN"/>
        </w:rPr>
        <w:t xml:space="preserve">From RAN1 perspective, </w:t>
      </w:r>
      <w:r>
        <w:rPr>
          <w:rFonts w:ascii="Times New Roman" w:eastAsia="宋体" w:hAnsi="Times New Roman" w:hint="eastAsia"/>
          <w:i/>
          <w:iCs/>
          <w:szCs w:val="20"/>
          <w:lang w:val="en-US" w:eastAsia="zh-CN"/>
        </w:rPr>
        <w:t xml:space="preserve">it is feasible and beneficial to support one DCI to activate/deactivate </w:t>
      </w:r>
      <w:r>
        <w:rPr>
          <w:rFonts w:ascii="Times New Roman" w:hAnsi="Times New Roman"/>
          <w:i/>
          <w:iCs/>
          <w:lang w:eastAsia="ja-JP"/>
        </w:rPr>
        <w:t>multiple SPS/CG configurations</w:t>
      </w:r>
      <w:r>
        <w:rPr>
          <w:rFonts w:ascii="Times New Roman" w:eastAsia="宋体" w:hAnsi="Times New Roman"/>
          <w:i/>
          <w:iCs/>
          <w:szCs w:val="20"/>
          <w:lang w:val="en-US" w:eastAsia="zh-CN"/>
        </w:rPr>
        <w:t xml:space="preserve">. </w:t>
      </w:r>
    </w:p>
    <w:p w:rsidR="00C117C9" w:rsidRDefault="00902D20">
      <w:pPr>
        <w:pStyle w:val="1"/>
        <w:snapToGrid w:val="0"/>
        <w:spacing w:beforeLines="0" w:afterLines="50" w:after="180"/>
      </w:pPr>
      <w:r>
        <w:rPr>
          <w:rFonts w:hint="eastAsia"/>
        </w:rPr>
        <w:lastRenderedPageBreak/>
        <w:t>Conclusion</w:t>
      </w:r>
    </w:p>
    <w:p w:rsidR="00C117C9" w:rsidRDefault="00902D20">
      <w:pPr>
        <w:snapToGrid w:val="0"/>
        <w:spacing w:after="120"/>
        <w:rPr>
          <w:rFonts w:eastAsia="宋体"/>
          <w:lang w:val="en-US" w:eastAsia="zh-CN"/>
        </w:rPr>
      </w:pPr>
      <w:r>
        <w:rPr>
          <w:rFonts w:eastAsia="宋体" w:hint="eastAsia"/>
          <w:lang w:val="en-US" w:eastAsia="zh-CN"/>
        </w:rPr>
        <w:t>According to the analysis given above, we propose to answer the RAN2 questions like follows.</w:t>
      </w:r>
    </w:p>
    <w:p w:rsidR="00C117C9" w:rsidRDefault="00902D20">
      <w:pPr>
        <w:widowControl w:val="0"/>
        <w:spacing w:after="0"/>
        <w:rPr>
          <w:rFonts w:eastAsia="宋体"/>
          <w:b/>
          <w:i/>
          <w:iCs/>
          <w:lang w:val="en-US" w:eastAsia="zh-CN"/>
        </w:rPr>
      </w:pPr>
      <w:r>
        <w:rPr>
          <w:rFonts w:eastAsia="宋体"/>
          <w:b/>
          <w:i/>
          <w:iCs/>
          <w:lang w:val="en-US" w:eastAsia="zh-CN"/>
        </w:rPr>
        <w:t>Answer</w:t>
      </w:r>
      <w:r>
        <w:rPr>
          <w:rFonts w:eastAsia="MS Mincho"/>
          <w:b/>
          <w:i/>
          <w:iCs/>
          <w:lang w:eastAsia="ja-JP"/>
        </w:rPr>
        <w:t>1</w:t>
      </w:r>
      <w:r>
        <w:rPr>
          <w:rFonts w:eastAsia="宋体"/>
          <w:b/>
          <w:bCs/>
          <w:i/>
          <w:iCs/>
          <w:lang w:val="en-US"/>
        </w:rPr>
        <w:t>:</w:t>
      </w:r>
      <w:r>
        <w:rPr>
          <w:rFonts w:eastAsia="宋体"/>
          <w:b/>
          <w:bCs/>
          <w:lang w:val="en-US"/>
        </w:rPr>
        <w:t xml:space="preserve"> </w:t>
      </w:r>
      <w:r>
        <w:rPr>
          <w:rFonts w:eastAsia="宋体"/>
          <w:i/>
          <w:iCs/>
          <w:lang w:val="en-US" w:eastAsia="zh-CN"/>
        </w:rPr>
        <w:t xml:space="preserve">From RAN1 perspective, </w:t>
      </w:r>
      <w:r>
        <w:rPr>
          <w:rFonts w:eastAsia="宋体"/>
          <w:i/>
          <w:iCs/>
          <w:lang w:val="en-US" w:eastAsia="ja-JP"/>
        </w:rPr>
        <w:t xml:space="preserve">the maximum </w:t>
      </w:r>
      <w:r>
        <w:rPr>
          <w:rFonts w:eastAsia="宋体"/>
          <w:i/>
          <w:iCs/>
          <w:lang w:val="en-US" w:eastAsia="ja-JP"/>
        </w:rPr>
        <w:t>number of active SPS configurations for a given BWP of a serving cell</w:t>
      </w:r>
      <w:r>
        <w:rPr>
          <w:rFonts w:eastAsia="宋体"/>
          <w:i/>
          <w:iCs/>
          <w:lang w:val="en-US" w:eastAsia="zh-CN"/>
        </w:rPr>
        <w:t xml:space="preserve"> is 16. </w:t>
      </w:r>
    </w:p>
    <w:p w:rsidR="00C117C9" w:rsidRDefault="00902D20">
      <w:pPr>
        <w:snapToGrid w:val="0"/>
        <w:spacing w:after="120"/>
        <w:rPr>
          <w:rFonts w:eastAsia="宋体"/>
          <w:b/>
          <w:i/>
          <w:iCs/>
          <w:lang w:val="en-US" w:eastAsia="zh-CN"/>
        </w:rPr>
      </w:pPr>
      <w:r>
        <w:rPr>
          <w:rFonts w:eastAsia="宋体"/>
          <w:b/>
          <w:i/>
          <w:iCs/>
          <w:lang w:val="en-US" w:eastAsia="zh-CN"/>
        </w:rPr>
        <w:t>Answer</w:t>
      </w:r>
      <w:r>
        <w:rPr>
          <w:rFonts w:eastAsia="宋体" w:hint="eastAsia"/>
          <w:b/>
          <w:i/>
          <w:iCs/>
          <w:lang w:val="en-US" w:eastAsia="zh-CN"/>
        </w:rPr>
        <w:t>2</w:t>
      </w:r>
      <w:r>
        <w:rPr>
          <w:rFonts w:eastAsia="宋体"/>
          <w:b/>
          <w:bCs/>
          <w:i/>
          <w:iCs/>
          <w:lang w:val="en-US"/>
        </w:rPr>
        <w:t>:</w:t>
      </w:r>
      <w:r>
        <w:rPr>
          <w:rFonts w:eastAsia="宋体"/>
          <w:b/>
          <w:bCs/>
          <w:lang w:val="en-US"/>
        </w:rPr>
        <w:t xml:space="preserve"> </w:t>
      </w:r>
      <w:r>
        <w:rPr>
          <w:rFonts w:eastAsia="宋体"/>
          <w:i/>
          <w:iCs/>
          <w:lang w:val="en-US" w:eastAsia="zh-CN"/>
        </w:rPr>
        <w:t>From RAN1 perspective</w:t>
      </w:r>
      <w:r>
        <w:rPr>
          <w:rFonts w:eastAsia="宋体" w:hint="eastAsia"/>
          <w:i/>
          <w:iCs/>
          <w:lang w:val="en-US" w:eastAsia="zh-CN"/>
        </w:rPr>
        <w:t xml:space="preserve">, </w:t>
      </w:r>
      <w:r>
        <w:rPr>
          <w:rFonts w:hint="eastAsia"/>
          <w:i/>
          <w:iCs/>
          <w:color w:val="000000" w:themeColor="text1"/>
          <w:lang w:val="en-US" w:eastAsia="zh-CN"/>
        </w:rPr>
        <w:t>it is feasible t</w:t>
      </w:r>
      <w:r>
        <w:rPr>
          <w:i/>
          <w:iCs/>
          <w:lang w:eastAsia="zh-CN"/>
        </w:rPr>
        <w:t xml:space="preserve">o support </w:t>
      </w:r>
      <w:r>
        <w:rPr>
          <w:rFonts w:hint="eastAsia"/>
          <w:i/>
          <w:iCs/>
          <w:lang w:val="en-US" w:eastAsia="zh-CN"/>
        </w:rPr>
        <w:t xml:space="preserve">0.5ms </w:t>
      </w:r>
      <w:r>
        <w:rPr>
          <w:i/>
          <w:iCs/>
          <w:lang w:eastAsia="zh-CN"/>
        </w:rPr>
        <w:t>SPS period</w:t>
      </w:r>
      <w:r>
        <w:rPr>
          <w:rFonts w:hint="eastAsia"/>
          <w:i/>
          <w:iCs/>
          <w:lang w:val="en-US" w:eastAsia="zh-CN"/>
        </w:rPr>
        <w:t xml:space="preserve"> for all SCS, while </w:t>
      </w:r>
      <w:r>
        <w:rPr>
          <w:rFonts w:hint="eastAsia"/>
          <w:i/>
          <w:iCs/>
          <w:color w:val="000000" w:themeColor="text1"/>
          <w:lang w:val="en-US" w:eastAsia="zh-CN"/>
        </w:rPr>
        <w:t xml:space="preserve">support of shorter </w:t>
      </w:r>
      <w:r>
        <w:rPr>
          <w:i/>
          <w:iCs/>
          <w:color w:val="000000" w:themeColor="text1"/>
          <w:lang w:val="en-US" w:eastAsia="zh-CN"/>
        </w:rPr>
        <w:t>periodicities</w:t>
      </w:r>
      <w:r>
        <w:rPr>
          <w:rFonts w:hint="eastAsia"/>
          <w:i/>
          <w:iCs/>
          <w:color w:val="000000" w:themeColor="text1"/>
          <w:lang w:val="en-US" w:eastAsia="zh-CN"/>
        </w:rPr>
        <w:t xml:space="preserve"> than 0.5ms would have HARQ-ACK issues which is supposed to be handled at low priority in RAN1. </w:t>
      </w:r>
    </w:p>
    <w:p w:rsidR="00C117C9" w:rsidRDefault="00902D20">
      <w:pPr>
        <w:pStyle w:val="Doc-text2"/>
        <w:snapToGrid w:val="0"/>
        <w:spacing w:beforeLines="50" w:before="180" w:afterLines="50" w:after="180"/>
        <w:ind w:left="0" w:firstLine="0"/>
        <w:rPr>
          <w:rFonts w:eastAsia="宋体"/>
          <w:lang w:val="en-US" w:eastAsia="zh-CN"/>
        </w:rPr>
      </w:pPr>
      <w:r>
        <w:rPr>
          <w:rFonts w:ascii="Times New Roman" w:eastAsia="宋体" w:hAnsi="Times New Roman"/>
          <w:b/>
          <w:i/>
          <w:iCs/>
          <w:szCs w:val="20"/>
          <w:lang w:val="en-US" w:eastAsia="zh-CN"/>
        </w:rPr>
        <w:t>Answer</w:t>
      </w:r>
      <w:r>
        <w:rPr>
          <w:rFonts w:ascii="Times New Roman" w:eastAsia="宋体" w:hAnsi="Times New Roman" w:hint="eastAsia"/>
          <w:b/>
          <w:i/>
          <w:iCs/>
          <w:szCs w:val="20"/>
          <w:lang w:val="en-US" w:eastAsia="zh-CN"/>
        </w:rPr>
        <w:t>3</w:t>
      </w:r>
      <w:r>
        <w:rPr>
          <w:rFonts w:ascii="Times New Roman" w:eastAsia="宋体" w:hAnsi="Times New Roman"/>
          <w:b/>
          <w:bCs/>
          <w:i/>
          <w:iCs/>
          <w:szCs w:val="20"/>
          <w:lang w:val="en-US"/>
        </w:rPr>
        <w:t>:</w:t>
      </w:r>
      <w:r>
        <w:rPr>
          <w:rFonts w:ascii="Times New Roman" w:eastAsia="宋体" w:hAnsi="Times New Roman"/>
          <w:b/>
          <w:bCs/>
          <w:szCs w:val="20"/>
          <w:lang w:val="en-US"/>
        </w:rPr>
        <w:t xml:space="preserve"> </w:t>
      </w:r>
      <w:r>
        <w:rPr>
          <w:rFonts w:ascii="Times New Roman" w:eastAsia="宋体" w:hAnsi="Times New Roman"/>
          <w:i/>
          <w:iCs/>
          <w:szCs w:val="20"/>
          <w:lang w:val="en-US" w:eastAsia="zh-CN"/>
        </w:rPr>
        <w:t xml:space="preserve">From RAN1 perspective, </w:t>
      </w:r>
      <w:r>
        <w:rPr>
          <w:rFonts w:ascii="Times New Roman" w:eastAsia="宋体" w:hAnsi="Times New Roman" w:hint="eastAsia"/>
          <w:i/>
          <w:iCs/>
          <w:szCs w:val="20"/>
          <w:lang w:val="en-US" w:eastAsia="zh-CN"/>
        </w:rPr>
        <w:t xml:space="preserve">it is feasible and beneficial to support one DCI to activate/deactivate </w:t>
      </w:r>
      <w:r>
        <w:rPr>
          <w:rFonts w:ascii="Times New Roman" w:hAnsi="Times New Roman"/>
          <w:i/>
          <w:iCs/>
          <w:lang w:eastAsia="ja-JP"/>
        </w:rPr>
        <w:t>multiple SPS/CG configurations</w:t>
      </w:r>
      <w:r>
        <w:rPr>
          <w:rFonts w:ascii="Times New Roman" w:eastAsia="宋体" w:hAnsi="Times New Roman"/>
          <w:i/>
          <w:iCs/>
          <w:szCs w:val="20"/>
          <w:lang w:val="en-US" w:eastAsia="zh-CN"/>
        </w:rPr>
        <w:t xml:space="preserve">. </w:t>
      </w:r>
    </w:p>
    <w:p w:rsidR="00C117C9" w:rsidRDefault="00902D20">
      <w:pPr>
        <w:pStyle w:val="1"/>
        <w:snapToGrid w:val="0"/>
        <w:spacing w:beforeLines="0" w:afterLines="50" w:after="180"/>
      </w:pPr>
      <w:r>
        <w:rPr>
          <w:rFonts w:hint="eastAsia"/>
        </w:rPr>
        <w:t>Reference</w:t>
      </w:r>
    </w:p>
    <w:p w:rsidR="00C117C9" w:rsidRDefault="00902D20">
      <w:pPr>
        <w:numPr>
          <w:ilvl w:val="0"/>
          <w:numId w:val="4"/>
        </w:numPr>
        <w:snapToGrid w:val="0"/>
        <w:spacing w:after="120"/>
        <w:rPr>
          <w:lang w:val="en-US" w:eastAsia="ja-JP"/>
        </w:rPr>
      </w:pPr>
      <w:r>
        <w:rPr>
          <w:lang w:val="en-US" w:eastAsia="zh-CN"/>
        </w:rPr>
        <w:t xml:space="preserve">3GPP </w:t>
      </w:r>
      <w:r>
        <w:rPr>
          <w:lang w:val="en-US" w:eastAsia="zh-CN"/>
        </w:rPr>
        <w:t>RAN2#105BIS meeting, R2-1905</w:t>
      </w:r>
      <w:r>
        <w:rPr>
          <w:rFonts w:hint="eastAsia"/>
          <w:lang w:val="en-US" w:eastAsia="zh-CN"/>
        </w:rPr>
        <w:t>473</w:t>
      </w:r>
      <w:r>
        <w:rPr>
          <w:lang w:val="en-US" w:eastAsia="zh-CN"/>
        </w:rPr>
        <w:t xml:space="preserve"> LS on SPS/CG for IIoT, </w:t>
      </w:r>
      <w:r>
        <w:rPr>
          <w:bCs/>
        </w:rPr>
        <w:t>NTT DOCOMO INC.</w:t>
      </w:r>
    </w:p>
    <w:p w:rsidR="00C117C9" w:rsidRDefault="00902D20">
      <w:pPr>
        <w:numPr>
          <w:ilvl w:val="0"/>
          <w:numId w:val="4"/>
        </w:numPr>
        <w:snapToGrid w:val="0"/>
        <w:spacing w:after="120"/>
        <w:rPr>
          <w:lang w:val="en-US" w:eastAsia="ja-JP"/>
        </w:rPr>
      </w:pPr>
      <w:r>
        <w:rPr>
          <w:rFonts w:hint="eastAsia"/>
          <w:lang w:val="en-US" w:eastAsia="zh-CN"/>
        </w:rPr>
        <w:t>3GPP, RAN1#96bis, R1-1906416, Enhancements for DL SPS configurations, ZTE.</w:t>
      </w:r>
    </w:p>
    <w:p w:rsidR="00C117C9" w:rsidRDefault="00902D20">
      <w:pPr>
        <w:numPr>
          <w:ilvl w:val="0"/>
          <w:numId w:val="4"/>
        </w:numPr>
        <w:snapToGrid w:val="0"/>
        <w:spacing w:after="120"/>
        <w:rPr>
          <w:lang w:val="en-US" w:eastAsia="ja-JP"/>
        </w:rPr>
      </w:pPr>
      <w:r>
        <w:rPr>
          <w:rFonts w:hint="eastAsia"/>
          <w:lang w:val="en-US" w:eastAsia="zh-CN"/>
        </w:rPr>
        <w:t>3GPP, RAN1#96bis, R1-1906414, Enhancements for UL grant-free transmissions, ZTE.</w:t>
      </w:r>
    </w:p>
    <w:sectPr w:rsidR="00C117C9">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D20" w:rsidRDefault="00902D20">
      <w:pPr>
        <w:spacing w:after="0"/>
      </w:pPr>
      <w:r>
        <w:separator/>
      </w:r>
    </w:p>
  </w:endnote>
  <w:endnote w:type="continuationSeparator" w:id="0">
    <w:p w:rsidR="00902D20" w:rsidRDefault="00902D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7C9" w:rsidRDefault="00902D20">
    <w:pPr>
      <w:pStyle w:val="ad"/>
      <w:jc w:val="center"/>
    </w:pPr>
    <w:r>
      <w:fldChar w:fldCharType="begin"/>
    </w:r>
    <w:r>
      <w:instrText xml:space="preserve"> PAGE   \* MERGEFORMAT </w:instrText>
    </w:r>
    <w:r>
      <w:fldChar w:fldCharType="separate"/>
    </w:r>
    <w:r w:rsidR="0075480A">
      <w:rPr>
        <w:noProof/>
        <w:lang w:eastAsia="zh-CN"/>
      </w:rPr>
      <w:t>2</w:t>
    </w:r>
    <w:r>
      <w:rPr>
        <w:lang w:eastAsia="zh-CN"/>
      </w:rPr>
      <w:fldChar w:fldCharType="end"/>
    </w:r>
  </w:p>
  <w:p w:rsidR="00C117C9" w:rsidRDefault="00C117C9">
    <w:pPr>
      <w:pStyle w:val="ad"/>
    </w:pPr>
  </w:p>
  <w:p w:rsidR="00C117C9" w:rsidRDefault="00C117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D20" w:rsidRDefault="00902D20">
      <w:pPr>
        <w:spacing w:after="0"/>
      </w:pPr>
      <w:r>
        <w:separator/>
      </w:r>
    </w:p>
  </w:footnote>
  <w:footnote w:type="continuationSeparator" w:id="0">
    <w:p w:rsidR="00902D20" w:rsidRDefault="00902D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2857A0B"/>
    <w:multiLevelType w:val="multilevel"/>
    <w:tmpl w:val="52857A0B"/>
    <w:lvl w:ilvl="0">
      <w:numFmt w:val="bullet"/>
      <w:lvlText w:val="-"/>
      <w:lvlJc w:val="left"/>
      <w:pPr>
        <w:ind w:left="1215" w:hanging="360"/>
      </w:pPr>
      <w:rPr>
        <w:rFonts w:ascii="Arial" w:eastAsia="宋体" w:hAnsi="Arial" w:cs="Arial" w:hint="default"/>
      </w:rPr>
    </w:lvl>
    <w:lvl w:ilvl="1">
      <w:start w:val="1"/>
      <w:numFmt w:val="bullet"/>
      <w:lvlText w:val="o"/>
      <w:lvlJc w:val="left"/>
      <w:pPr>
        <w:ind w:left="1935" w:hanging="360"/>
      </w:pPr>
      <w:rPr>
        <w:rFonts w:ascii="Courier New" w:hAnsi="Courier New" w:cs="Courier New" w:hint="default"/>
      </w:rPr>
    </w:lvl>
    <w:lvl w:ilvl="2">
      <w:start w:val="1"/>
      <w:numFmt w:val="bullet"/>
      <w:lvlText w:val=""/>
      <w:lvlJc w:val="left"/>
      <w:pPr>
        <w:ind w:left="2655" w:hanging="360"/>
      </w:pPr>
      <w:rPr>
        <w:rFonts w:ascii="Wingdings" w:hAnsi="Wingdings" w:hint="default"/>
      </w:rPr>
    </w:lvl>
    <w:lvl w:ilvl="3">
      <w:start w:val="1"/>
      <w:numFmt w:val="bullet"/>
      <w:lvlText w:val=""/>
      <w:lvlJc w:val="left"/>
      <w:pPr>
        <w:ind w:left="3375" w:hanging="360"/>
      </w:pPr>
      <w:rPr>
        <w:rFonts w:ascii="Symbol" w:hAnsi="Symbol" w:hint="default"/>
      </w:rPr>
    </w:lvl>
    <w:lvl w:ilvl="4">
      <w:start w:val="1"/>
      <w:numFmt w:val="bullet"/>
      <w:lvlText w:val="o"/>
      <w:lvlJc w:val="left"/>
      <w:pPr>
        <w:ind w:left="4095" w:hanging="360"/>
      </w:pPr>
      <w:rPr>
        <w:rFonts w:ascii="Courier New" w:hAnsi="Courier New" w:cs="Courier New" w:hint="default"/>
      </w:rPr>
    </w:lvl>
    <w:lvl w:ilvl="5">
      <w:start w:val="1"/>
      <w:numFmt w:val="bullet"/>
      <w:lvlText w:val=""/>
      <w:lvlJc w:val="left"/>
      <w:pPr>
        <w:ind w:left="4815" w:hanging="360"/>
      </w:pPr>
      <w:rPr>
        <w:rFonts w:ascii="Wingdings" w:hAnsi="Wingdings" w:hint="default"/>
      </w:rPr>
    </w:lvl>
    <w:lvl w:ilvl="6">
      <w:start w:val="1"/>
      <w:numFmt w:val="bullet"/>
      <w:lvlText w:val=""/>
      <w:lvlJc w:val="left"/>
      <w:pPr>
        <w:ind w:left="5535" w:hanging="360"/>
      </w:pPr>
      <w:rPr>
        <w:rFonts w:ascii="Symbol" w:hAnsi="Symbol" w:hint="default"/>
      </w:rPr>
    </w:lvl>
    <w:lvl w:ilvl="7">
      <w:start w:val="1"/>
      <w:numFmt w:val="bullet"/>
      <w:lvlText w:val="o"/>
      <w:lvlJc w:val="left"/>
      <w:pPr>
        <w:ind w:left="6255" w:hanging="360"/>
      </w:pPr>
      <w:rPr>
        <w:rFonts w:ascii="Courier New" w:hAnsi="Courier New" w:cs="Courier New" w:hint="default"/>
      </w:rPr>
    </w:lvl>
    <w:lvl w:ilvl="8">
      <w:start w:val="1"/>
      <w:numFmt w:val="bullet"/>
      <w:lvlText w:val=""/>
      <w:lvlJc w:val="left"/>
      <w:pPr>
        <w:ind w:left="6975" w:hanging="360"/>
      </w:pPr>
      <w:rPr>
        <w:rFonts w:ascii="Wingdings" w:hAnsi="Wingdings" w:hint="default"/>
      </w:rPr>
    </w:lvl>
  </w:abstractNum>
  <w:abstractNum w:abstractNumId="2">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4BB"/>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7B3"/>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480A"/>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C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5E97"/>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1EB9"/>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D20"/>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07F41"/>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6DD"/>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0B07"/>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56F7"/>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663"/>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A0B"/>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7C9"/>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5AB"/>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009"/>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41F"/>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7A"/>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D64D04"/>
    <w:rsid w:val="01E376C5"/>
    <w:rsid w:val="01F93655"/>
    <w:rsid w:val="024541E2"/>
    <w:rsid w:val="027A7D1B"/>
    <w:rsid w:val="028A4D94"/>
    <w:rsid w:val="028D6D68"/>
    <w:rsid w:val="02A67FEB"/>
    <w:rsid w:val="02A70250"/>
    <w:rsid w:val="02C27538"/>
    <w:rsid w:val="02CB42F3"/>
    <w:rsid w:val="02D95A87"/>
    <w:rsid w:val="02EB1A31"/>
    <w:rsid w:val="0306050F"/>
    <w:rsid w:val="0311359D"/>
    <w:rsid w:val="03316AFD"/>
    <w:rsid w:val="033A2E6B"/>
    <w:rsid w:val="034D5AD2"/>
    <w:rsid w:val="035A5D55"/>
    <w:rsid w:val="036E3564"/>
    <w:rsid w:val="03B73C22"/>
    <w:rsid w:val="03C85365"/>
    <w:rsid w:val="03D171A7"/>
    <w:rsid w:val="03DE7512"/>
    <w:rsid w:val="03E34961"/>
    <w:rsid w:val="040E4833"/>
    <w:rsid w:val="042F1002"/>
    <w:rsid w:val="04447C19"/>
    <w:rsid w:val="0469222B"/>
    <w:rsid w:val="04922E63"/>
    <w:rsid w:val="04B85375"/>
    <w:rsid w:val="04DF4462"/>
    <w:rsid w:val="04E954F9"/>
    <w:rsid w:val="05A1202C"/>
    <w:rsid w:val="05B40D99"/>
    <w:rsid w:val="060600E4"/>
    <w:rsid w:val="061864E1"/>
    <w:rsid w:val="0690732E"/>
    <w:rsid w:val="06D767B9"/>
    <w:rsid w:val="070F4251"/>
    <w:rsid w:val="076068DA"/>
    <w:rsid w:val="07744844"/>
    <w:rsid w:val="07811C6E"/>
    <w:rsid w:val="07AA5731"/>
    <w:rsid w:val="07D715B0"/>
    <w:rsid w:val="07E07F23"/>
    <w:rsid w:val="08121FA5"/>
    <w:rsid w:val="081656F0"/>
    <w:rsid w:val="08402E48"/>
    <w:rsid w:val="08436133"/>
    <w:rsid w:val="086B53B3"/>
    <w:rsid w:val="08B30835"/>
    <w:rsid w:val="09106BCA"/>
    <w:rsid w:val="09790BD3"/>
    <w:rsid w:val="09A64982"/>
    <w:rsid w:val="09CA74D8"/>
    <w:rsid w:val="09EE45D4"/>
    <w:rsid w:val="0A085DE9"/>
    <w:rsid w:val="0A1039CB"/>
    <w:rsid w:val="0A130914"/>
    <w:rsid w:val="0A284254"/>
    <w:rsid w:val="0A5A0CCD"/>
    <w:rsid w:val="0A5E0EA1"/>
    <w:rsid w:val="0A99506A"/>
    <w:rsid w:val="0B163208"/>
    <w:rsid w:val="0B1E4124"/>
    <w:rsid w:val="0B256DFA"/>
    <w:rsid w:val="0B816734"/>
    <w:rsid w:val="0B9E0B65"/>
    <w:rsid w:val="0BB35673"/>
    <w:rsid w:val="0BD74648"/>
    <w:rsid w:val="0BF4116D"/>
    <w:rsid w:val="0BFD0200"/>
    <w:rsid w:val="0C0D744B"/>
    <w:rsid w:val="0C171831"/>
    <w:rsid w:val="0C29592D"/>
    <w:rsid w:val="0C364FF6"/>
    <w:rsid w:val="0C591714"/>
    <w:rsid w:val="0C6319F4"/>
    <w:rsid w:val="0C8617D7"/>
    <w:rsid w:val="0CCC39BF"/>
    <w:rsid w:val="0CF70FFC"/>
    <w:rsid w:val="0D1D4BE2"/>
    <w:rsid w:val="0D217655"/>
    <w:rsid w:val="0D413B7B"/>
    <w:rsid w:val="0DA9162B"/>
    <w:rsid w:val="0DCB1A41"/>
    <w:rsid w:val="0DD52EFF"/>
    <w:rsid w:val="0DED3021"/>
    <w:rsid w:val="0DF57CAB"/>
    <w:rsid w:val="0DF76BBE"/>
    <w:rsid w:val="0E3F4D12"/>
    <w:rsid w:val="0E4004C4"/>
    <w:rsid w:val="0E41682F"/>
    <w:rsid w:val="0E605432"/>
    <w:rsid w:val="0E6F1D98"/>
    <w:rsid w:val="0E7273F9"/>
    <w:rsid w:val="0EBE79F1"/>
    <w:rsid w:val="0F0E0560"/>
    <w:rsid w:val="0F2135FB"/>
    <w:rsid w:val="0FD41D74"/>
    <w:rsid w:val="0FD60E0E"/>
    <w:rsid w:val="0FDB71CE"/>
    <w:rsid w:val="0FE353A5"/>
    <w:rsid w:val="105D13C1"/>
    <w:rsid w:val="10A91752"/>
    <w:rsid w:val="10B14313"/>
    <w:rsid w:val="10B776CF"/>
    <w:rsid w:val="10CB1ECA"/>
    <w:rsid w:val="10DB0B79"/>
    <w:rsid w:val="10E3136C"/>
    <w:rsid w:val="10E9119E"/>
    <w:rsid w:val="110B4ABA"/>
    <w:rsid w:val="1136212B"/>
    <w:rsid w:val="114617FE"/>
    <w:rsid w:val="117441B4"/>
    <w:rsid w:val="11835746"/>
    <w:rsid w:val="11C505C4"/>
    <w:rsid w:val="11C56239"/>
    <w:rsid w:val="11D972EE"/>
    <w:rsid w:val="11DF0F31"/>
    <w:rsid w:val="11DF4BC9"/>
    <w:rsid w:val="12155A83"/>
    <w:rsid w:val="123922F2"/>
    <w:rsid w:val="126A5861"/>
    <w:rsid w:val="126E7AEF"/>
    <w:rsid w:val="12BB6307"/>
    <w:rsid w:val="131277C6"/>
    <w:rsid w:val="132E115C"/>
    <w:rsid w:val="1343302E"/>
    <w:rsid w:val="1347637A"/>
    <w:rsid w:val="13580386"/>
    <w:rsid w:val="137C5099"/>
    <w:rsid w:val="13B50BBE"/>
    <w:rsid w:val="13B5681A"/>
    <w:rsid w:val="13DC2552"/>
    <w:rsid w:val="13F94A62"/>
    <w:rsid w:val="13FF1337"/>
    <w:rsid w:val="14112A54"/>
    <w:rsid w:val="14323EFF"/>
    <w:rsid w:val="146F1C00"/>
    <w:rsid w:val="14833DFA"/>
    <w:rsid w:val="14E36748"/>
    <w:rsid w:val="15306F04"/>
    <w:rsid w:val="15440AA4"/>
    <w:rsid w:val="15503B82"/>
    <w:rsid w:val="155A682E"/>
    <w:rsid w:val="157A3616"/>
    <w:rsid w:val="1583044A"/>
    <w:rsid w:val="15B84207"/>
    <w:rsid w:val="15CB01DE"/>
    <w:rsid w:val="15E36279"/>
    <w:rsid w:val="15F81A35"/>
    <w:rsid w:val="1681384E"/>
    <w:rsid w:val="16A24FA0"/>
    <w:rsid w:val="16C42867"/>
    <w:rsid w:val="16FA4184"/>
    <w:rsid w:val="17095D97"/>
    <w:rsid w:val="170C14B3"/>
    <w:rsid w:val="170C52EF"/>
    <w:rsid w:val="17367017"/>
    <w:rsid w:val="17433979"/>
    <w:rsid w:val="1768135A"/>
    <w:rsid w:val="17B34E39"/>
    <w:rsid w:val="17C51AC9"/>
    <w:rsid w:val="17CB4230"/>
    <w:rsid w:val="17E04D27"/>
    <w:rsid w:val="17EC3BE7"/>
    <w:rsid w:val="18691045"/>
    <w:rsid w:val="188B2739"/>
    <w:rsid w:val="18C85181"/>
    <w:rsid w:val="18D844AF"/>
    <w:rsid w:val="18E87A5D"/>
    <w:rsid w:val="19080A5A"/>
    <w:rsid w:val="190B0D87"/>
    <w:rsid w:val="19476ACE"/>
    <w:rsid w:val="194948A0"/>
    <w:rsid w:val="195651BA"/>
    <w:rsid w:val="198F45DD"/>
    <w:rsid w:val="1A0A0B65"/>
    <w:rsid w:val="1A107C4B"/>
    <w:rsid w:val="1A5D6488"/>
    <w:rsid w:val="1AA26902"/>
    <w:rsid w:val="1AB00207"/>
    <w:rsid w:val="1ABE7D37"/>
    <w:rsid w:val="1AC1475C"/>
    <w:rsid w:val="1AE802A2"/>
    <w:rsid w:val="1B0C0AEB"/>
    <w:rsid w:val="1B1073A7"/>
    <w:rsid w:val="1B1B27AF"/>
    <w:rsid w:val="1B707E98"/>
    <w:rsid w:val="1B725A0B"/>
    <w:rsid w:val="1B81329F"/>
    <w:rsid w:val="1B9C1B7E"/>
    <w:rsid w:val="1C0E6C08"/>
    <w:rsid w:val="1C114AF8"/>
    <w:rsid w:val="1C215368"/>
    <w:rsid w:val="1C496310"/>
    <w:rsid w:val="1C4F2D2B"/>
    <w:rsid w:val="1C5D4224"/>
    <w:rsid w:val="1C634E9E"/>
    <w:rsid w:val="1C7A1A02"/>
    <w:rsid w:val="1CA42BA9"/>
    <w:rsid w:val="1CB42CAD"/>
    <w:rsid w:val="1CC649DE"/>
    <w:rsid w:val="1D815C8A"/>
    <w:rsid w:val="1D861073"/>
    <w:rsid w:val="1E2A42AF"/>
    <w:rsid w:val="1E2F6AB6"/>
    <w:rsid w:val="1E6F3B06"/>
    <w:rsid w:val="1E7B2BA0"/>
    <w:rsid w:val="1E844BA6"/>
    <w:rsid w:val="1E8B087E"/>
    <w:rsid w:val="1EA36749"/>
    <w:rsid w:val="1EFB1085"/>
    <w:rsid w:val="1F3D2A51"/>
    <w:rsid w:val="1F3E3733"/>
    <w:rsid w:val="1F5E4FF4"/>
    <w:rsid w:val="1F7173CD"/>
    <w:rsid w:val="1F7F1019"/>
    <w:rsid w:val="1F8459E6"/>
    <w:rsid w:val="1F9675F9"/>
    <w:rsid w:val="1FB27655"/>
    <w:rsid w:val="1FBD7732"/>
    <w:rsid w:val="1FEA1845"/>
    <w:rsid w:val="1FF037A6"/>
    <w:rsid w:val="203E6B7C"/>
    <w:rsid w:val="20410913"/>
    <w:rsid w:val="2045604F"/>
    <w:rsid w:val="20540158"/>
    <w:rsid w:val="205516BE"/>
    <w:rsid w:val="207D64D7"/>
    <w:rsid w:val="208166FD"/>
    <w:rsid w:val="20880EF9"/>
    <w:rsid w:val="20924364"/>
    <w:rsid w:val="209E0CEA"/>
    <w:rsid w:val="20DF5A58"/>
    <w:rsid w:val="21056ADC"/>
    <w:rsid w:val="2128250B"/>
    <w:rsid w:val="216D33DF"/>
    <w:rsid w:val="2174526F"/>
    <w:rsid w:val="21A60C78"/>
    <w:rsid w:val="21C65751"/>
    <w:rsid w:val="21C65F78"/>
    <w:rsid w:val="21E23CAE"/>
    <w:rsid w:val="222909F9"/>
    <w:rsid w:val="224D2EBB"/>
    <w:rsid w:val="22A129F3"/>
    <w:rsid w:val="22CE1F32"/>
    <w:rsid w:val="22FC0047"/>
    <w:rsid w:val="23164D24"/>
    <w:rsid w:val="234B62FA"/>
    <w:rsid w:val="237960DC"/>
    <w:rsid w:val="23A15217"/>
    <w:rsid w:val="23AD60D7"/>
    <w:rsid w:val="23BA4644"/>
    <w:rsid w:val="23C12F43"/>
    <w:rsid w:val="24255C43"/>
    <w:rsid w:val="24287D79"/>
    <w:rsid w:val="245743B5"/>
    <w:rsid w:val="247373FE"/>
    <w:rsid w:val="247513E0"/>
    <w:rsid w:val="24CD4542"/>
    <w:rsid w:val="251657BB"/>
    <w:rsid w:val="25425ADC"/>
    <w:rsid w:val="25AC0F0B"/>
    <w:rsid w:val="25B81417"/>
    <w:rsid w:val="25BB704A"/>
    <w:rsid w:val="25FE407C"/>
    <w:rsid w:val="26434C04"/>
    <w:rsid w:val="264A7883"/>
    <w:rsid w:val="265D3699"/>
    <w:rsid w:val="26894387"/>
    <w:rsid w:val="26AE7FB2"/>
    <w:rsid w:val="26D4632B"/>
    <w:rsid w:val="26DF0CF8"/>
    <w:rsid w:val="275470A4"/>
    <w:rsid w:val="27B3313C"/>
    <w:rsid w:val="27C719BF"/>
    <w:rsid w:val="27FB14E9"/>
    <w:rsid w:val="27FF4502"/>
    <w:rsid w:val="28222F45"/>
    <w:rsid w:val="28425FD1"/>
    <w:rsid w:val="286354F2"/>
    <w:rsid w:val="28650795"/>
    <w:rsid w:val="28782C39"/>
    <w:rsid w:val="28840AAD"/>
    <w:rsid w:val="28904541"/>
    <w:rsid w:val="28954ED3"/>
    <w:rsid w:val="28B52071"/>
    <w:rsid w:val="28D054EE"/>
    <w:rsid w:val="28D31AE7"/>
    <w:rsid w:val="29064877"/>
    <w:rsid w:val="29216FE3"/>
    <w:rsid w:val="292D3D2F"/>
    <w:rsid w:val="29654FEE"/>
    <w:rsid w:val="29937C67"/>
    <w:rsid w:val="2998777C"/>
    <w:rsid w:val="29C36304"/>
    <w:rsid w:val="29E03EE8"/>
    <w:rsid w:val="2A12193D"/>
    <w:rsid w:val="2A1C742C"/>
    <w:rsid w:val="2A714F67"/>
    <w:rsid w:val="2A7E150C"/>
    <w:rsid w:val="2AC22FA2"/>
    <w:rsid w:val="2ADA009F"/>
    <w:rsid w:val="2ADD1527"/>
    <w:rsid w:val="2AE06BC0"/>
    <w:rsid w:val="2AE33FB8"/>
    <w:rsid w:val="2AEB310F"/>
    <w:rsid w:val="2B0428DA"/>
    <w:rsid w:val="2B09698D"/>
    <w:rsid w:val="2B5C01FD"/>
    <w:rsid w:val="2B7111A7"/>
    <w:rsid w:val="2B9E2D01"/>
    <w:rsid w:val="2BA6029F"/>
    <w:rsid w:val="2BB52FB9"/>
    <w:rsid w:val="2BBD31DA"/>
    <w:rsid w:val="2BC44501"/>
    <w:rsid w:val="2BE0439F"/>
    <w:rsid w:val="2BEC7D02"/>
    <w:rsid w:val="2BFE4200"/>
    <w:rsid w:val="2C1A1823"/>
    <w:rsid w:val="2C2A6227"/>
    <w:rsid w:val="2C344DF0"/>
    <w:rsid w:val="2C3459DF"/>
    <w:rsid w:val="2C380D85"/>
    <w:rsid w:val="2C575271"/>
    <w:rsid w:val="2C693C27"/>
    <w:rsid w:val="2C823DCA"/>
    <w:rsid w:val="2CF5031E"/>
    <w:rsid w:val="2CF76F05"/>
    <w:rsid w:val="2D093C9F"/>
    <w:rsid w:val="2D3B7916"/>
    <w:rsid w:val="2D3C3CD7"/>
    <w:rsid w:val="2D4B4DCC"/>
    <w:rsid w:val="2DA35B4E"/>
    <w:rsid w:val="2DB600C3"/>
    <w:rsid w:val="2DE87A40"/>
    <w:rsid w:val="2E173F56"/>
    <w:rsid w:val="2E29079C"/>
    <w:rsid w:val="2E48670E"/>
    <w:rsid w:val="2E6C00D1"/>
    <w:rsid w:val="2E6C5330"/>
    <w:rsid w:val="2E750D5C"/>
    <w:rsid w:val="2E8C015A"/>
    <w:rsid w:val="2E9D2F33"/>
    <w:rsid w:val="2EA5491E"/>
    <w:rsid w:val="2ED315FA"/>
    <w:rsid w:val="2EF2578E"/>
    <w:rsid w:val="2EFE63B5"/>
    <w:rsid w:val="2F086F58"/>
    <w:rsid w:val="2F341996"/>
    <w:rsid w:val="2F4128D8"/>
    <w:rsid w:val="2FA97745"/>
    <w:rsid w:val="2FAC5FF8"/>
    <w:rsid w:val="2FC33C8C"/>
    <w:rsid w:val="2FE333E0"/>
    <w:rsid w:val="30367EDF"/>
    <w:rsid w:val="304A4945"/>
    <w:rsid w:val="3058440F"/>
    <w:rsid w:val="30B06699"/>
    <w:rsid w:val="30B55279"/>
    <w:rsid w:val="30C1634B"/>
    <w:rsid w:val="30D01C69"/>
    <w:rsid w:val="30D26145"/>
    <w:rsid w:val="30EC4B0C"/>
    <w:rsid w:val="30ED594E"/>
    <w:rsid w:val="30F53179"/>
    <w:rsid w:val="3129011E"/>
    <w:rsid w:val="312C0CAE"/>
    <w:rsid w:val="315B0AD4"/>
    <w:rsid w:val="316E4C3B"/>
    <w:rsid w:val="31A506BA"/>
    <w:rsid w:val="31BC417F"/>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517A0"/>
    <w:rsid w:val="33C662A1"/>
    <w:rsid w:val="341D3E0C"/>
    <w:rsid w:val="3443070C"/>
    <w:rsid w:val="34443420"/>
    <w:rsid w:val="34561EE4"/>
    <w:rsid w:val="348C273F"/>
    <w:rsid w:val="34942631"/>
    <w:rsid w:val="34A47250"/>
    <w:rsid w:val="34C31F31"/>
    <w:rsid w:val="352152DB"/>
    <w:rsid w:val="3522430E"/>
    <w:rsid w:val="352E0F08"/>
    <w:rsid w:val="353C0C6F"/>
    <w:rsid w:val="354B6D1C"/>
    <w:rsid w:val="35A21866"/>
    <w:rsid w:val="35DE6C72"/>
    <w:rsid w:val="35F43BC7"/>
    <w:rsid w:val="35F72C7E"/>
    <w:rsid w:val="35FF1ADE"/>
    <w:rsid w:val="360258DD"/>
    <w:rsid w:val="361A4245"/>
    <w:rsid w:val="3643680D"/>
    <w:rsid w:val="365E6D3E"/>
    <w:rsid w:val="366C1501"/>
    <w:rsid w:val="36781F4D"/>
    <w:rsid w:val="36A4320C"/>
    <w:rsid w:val="36D46797"/>
    <w:rsid w:val="36D53214"/>
    <w:rsid w:val="36E771D1"/>
    <w:rsid w:val="36FC3614"/>
    <w:rsid w:val="371D4752"/>
    <w:rsid w:val="372B16AC"/>
    <w:rsid w:val="3769201C"/>
    <w:rsid w:val="378D3916"/>
    <w:rsid w:val="379363C0"/>
    <w:rsid w:val="37B72410"/>
    <w:rsid w:val="37E272A3"/>
    <w:rsid w:val="37F95AB0"/>
    <w:rsid w:val="386E6B29"/>
    <w:rsid w:val="38AD2A2D"/>
    <w:rsid w:val="38D830AC"/>
    <w:rsid w:val="38FB73E9"/>
    <w:rsid w:val="38FC0D9E"/>
    <w:rsid w:val="38FD1938"/>
    <w:rsid w:val="39011B8F"/>
    <w:rsid w:val="39296BEE"/>
    <w:rsid w:val="39315B32"/>
    <w:rsid w:val="39483619"/>
    <w:rsid w:val="398F207C"/>
    <w:rsid w:val="39CB278C"/>
    <w:rsid w:val="3A2071EB"/>
    <w:rsid w:val="3A347336"/>
    <w:rsid w:val="3A3834F5"/>
    <w:rsid w:val="3A442C0B"/>
    <w:rsid w:val="3A567FBF"/>
    <w:rsid w:val="3A6D38A3"/>
    <w:rsid w:val="3A7D46D4"/>
    <w:rsid w:val="3A9B4893"/>
    <w:rsid w:val="3A9E48B4"/>
    <w:rsid w:val="3ABD6A14"/>
    <w:rsid w:val="3AD3506F"/>
    <w:rsid w:val="3B0555C5"/>
    <w:rsid w:val="3B0C3BD9"/>
    <w:rsid w:val="3B233B40"/>
    <w:rsid w:val="3B3165C4"/>
    <w:rsid w:val="3B6B0E42"/>
    <w:rsid w:val="3B8B4B46"/>
    <w:rsid w:val="3BA751CD"/>
    <w:rsid w:val="3BE15BDA"/>
    <w:rsid w:val="3C3D72C4"/>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E574425"/>
    <w:rsid w:val="3ED13DA7"/>
    <w:rsid w:val="3F2A4F31"/>
    <w:rsid w:val="3F2E70C2"/>
    <w:rsid w:val="3F334234"/>
    <w:rsid w:val="3F731EBD"/>
    <w:rsid w:val="3F752A89"/>
    <w:rsid w:val="3FCA54FF"/>
    <w:rsid w:val="3FD96821"/>
    <w:rsid w:val="3FDB75E6"/>
    <w:rsid w:val="40053AEF"/>
    <w:rsid w:val="40197CA3"/>
    <w:rsid w:val="405A5EA8"/>
    <w:rsid w:val="406B2D42"/>
    <w:rsid w:val="406F7959"/>
    <w:rsid w:val="4084317D"/>
    <w:rsid w:val="40B1111B"/>
    <w:rsid w:val="40C8546D"/>
    <w:rsid w:val="40E83FEB"/>
    <w:rsid w:val="40FA2CD5"/>
    <w:rsid w:val="41245CF6"/>
    <w:rsid w:val="41451745"/>
    <w:rsid w:val="41841BEB"/>
    <w:rsid w:val="419068A2"/>
    <w:rsid w:val="4192041B"/>
    <w:rsid w:val="41A50E7A"/>
    <w:rsid w:val="41BD02EC"/>
    <w:rsid w:val="41D3372D"/>
    <w:rsid w:val="42185649"/>
    <w:rsid w:val="42313309"/>
    <w:rsid w:val="424E280C"/>
    <w:rsid w:val="428201C1"/>
    <w:rsid w:val="42910D65"/>
    <w:rsid w:val="429E3367"/>
    <w:rsid w:val="43040CF6"/>
    <w:rsid w:val="432B5BF3"/>
    <w:rsid w:val="433C66CA"/>
    <w:rsid w:val="43401CC6"/>
    <w:rsid w:val="439D11D5"/>
    <w:rsid w:val="43A632D7"/>
    <w:rsid w:val="43B70849"/>
    <w:rsid w:val="43D21251"/>
    <w:rsid w:val="43F15ABD"/>
    <w:rsid w:val="43FC7EC1"/>
    <w:rsid w:val="443505A1"/>
    <w:rsid w:val="444C31D1"/>
    <w:rsid w:val="445D31CC"/>
    <w:rsid w:val="4462219F"/>
    <w:rsid w:val="44691C85"/>
    <w:rsid w:val="44B454F4"/>
    <w:rsid w:val="44C21817"/>
    <w:rsid w:val="45BF55D6"/>
    <w:rsid w:val="46020947"/>
    <w:rsid w:val="46114315"/>
    <w:rsid w:val="46261E01"/>
    <w:rsid w:val="463150DD"/>
    <w:rsid w:val="464F4194"/>
    <w:rsid w:val="4672228B"/>
    <w:rsid w:val="468E7879"/>
    <w:rsid w:val="46A27788"/>
    <w:rsid w:val="46AD6449"/>
    <w:rsid w:val="46CD27B0"/>
    <w:rsid w:val="46E52D55"/>
    <w:rsid w:val="470A789B"/>
    <w:rsid w:val="472C66F7"/>
    <w:rsid w:val="47BF2FE6"/>
    <w:rsid w:val="47E97C9A"/>
    <w:rsid w:val="482800B2"/>
    <w:rsid w:val="48363D2A"/>
    <w:rsid w:val="483B17B0"/>
    <w:rsid w:val="48592A69"/>
    <w:rsid w:val="486B6B3D"/>
    <w:rsid w:val="487D7356"/>
    <w:rsid w:val="49124BD8"/>
    <w:rsid w:val="498440C7"/>
    <w:rsid w:val="499326ED"/>
    <w:rsid w:val="49AD07BA"/>
    <w:rsid w:val="4A2328EA"/>
    <w:rsid w:val="4AA5779F"/>
    <w:rsid w:val="4ADB3001"/>
    <w:rsid w:val="4AF828ED"/>
    <w:rsid w:val="4AFE1D6F"/>
    <w:rsid w:val="4B0A7ACA"/>
    <w:rsid w:val="4B1701F7"/>
    <w:rsid w:val="4B341871"/>
    <w:rsid w:val="4B573495"/>
    <w:rsid w:val="4B5A3F42"/>
    <w:rsid w:val="4B7307B3"/>
    <w:rsid w:val="4B801B9C"/>
    <w:rsid w:val="4BCB580F"/>
    <w:rsid w:val="4BD923A6"/>
    <w:rsid w:val="4BDF40A9"/>
    <w:rsid w:val="4BE61521"/>
    <w:rsid w:val="4C02716A"/>
    <w:rsid w:val="4C1D24E0"/>
    <w:rsid w:val="4C2653D5"/>
    <w:rsid w:val="4C520794"/>
    <w:rsid w:val="4C645E36"/>
    <w:rsid w:val="4CE664D2"/>
    <w:rsid w:val="4D064DC8"/>
    <w:rsid w:val="4D202572"/>
    <w:rsid w:val="4D3277B8"/>
    <w:rsid w:val="4D347ED8"/>
    <w:rsid w:val="4D3D2039"/>
    <w:rsid w:val="4D4C1002"/>
    <w:rsid w:val="4D6F1420"/>
    <w:rsid w:val="4D716000"/>
    <w:rsid w:val="4D774226"/>
    <w:rsid w:val="4D9C630C"/>
    <w:rsid w:val="4DE0763A"/>
    <w:rsid w:val="4DE93845"/>
    <w:rsid w:val="4DF7667D"/>
    <w:rsid w:val="4E1478B0"/>
    <w:rsid w:val="4E7B36E9"/>
    <w:rsid w:val="4ED4056B"/>
    <w:rsid w:val="4EE771E5"/>
    <w:rsid w:val="4F1D371F"/>
    <w:rsid w:val="4F3B31A2"/>
    <w:rsid w:val="4F4B57AF"/>
    <w:rsid w:val="4F572D9B"/>
    <w:rsid w:val="4F703A80"/>
    <w:rsid w:val="4F7E07F7"/>
    <w:rsid w:val="4F8D46D4"/>
    <w:rsid w:val="4F8F6452"/>
    <w:rsid w:val="4FC37AD4"/>
    <w:rsid w:val="4FC61082"/>
    <w:rsid w:val="4FD51F57"/>
    <w:rsid w:val="501628A8"/>
    <w:rsid w:val="50564DDA"/>
    <w:rsid w:val="50666688"/>
    <w:rsid w:val="50D85FFE"/>
    <w:rsid w:val="50DA2806"/>
    <w:rsid w:val="50E21BB2"/>
    <w:rsid w:val="50FC4636"/>
    <w:rsid w:val="51513E56"/>
    <w:rsid w:val="515A1CDE"/>
    <w:rsid w:val="515F5700"/>
    <w:rsid w:val="51650323"/>
    <w:rsid w:val="518A0516"/>
    <w:rsid w:val="51E31E4C"/>
    <w:rsid w:val="51ED7CD0"/>
    <w:rsid w:val="522C75C4"/>
    <w:rsid w:val="523315CA"/>
    <w:rsid w:val="52582D49"/>
    <w:rsid w:val="526651A4"/>
    <w:rsid w:val="526A12AF"/>
    <w:rsid w:val="526C1D2D"/>
    <w:rsid w:val="5277759D"/>
    <w:rsid w:val="52FB303E"/>
    <w:rsid w:val="5321588C"/>
    <w:rsid w:val="532D457B"/>
    <w:rsid w:val="533E38EB"/>
    <w:rsid w:val="537A528C"/>
    <w:rsid w:val="53C10A13"/>
    <w:rsid w:val="5424586C"/>
    <w:rsid w:val="54377E46"/>
    <w:rsid w:val="54397784"/>
    <w:rsid w:val="547E77C6"/>
    <w:rsid w:val="54AC7E8C"/>
    <w:rsid w:val="550831C7"/>
    <w:rsid w:val="553E44A0"/>
    <w:rsid w:val="554124AE"/>
    <w:rsid w:val="558448A1"/>
    <w:rsid w:val="55855731"/>
    <w:rsid w:val="55906DDC"/>
    <w:rsid w:val="559737DA"/>
    <w:rsid w:val="55C915A1"/>
    <w:rsid w:val="55DA3793"/>
    <w:rsid w:val="55F91953"/>
    <w:rsid w:val="561B16B1"/>
    <w:rsid w:val="56441C00"/>
    <w:rsid w:val="565C5CE0"/>
    <w:rsid w:val="56636EF2"/>
    <w:rsid w:val="56882DA7"/>
    <w:rsid w:val="56F41F92"/>
    <w:rsid w:val="57613F84"/>
    <w:rsid w:val="576630FD"/>
    <w:rsid w:val="57960862"/>
    <w:rsid w:val="57BC4C9C"/>
    <w:rsid w:val="57C83F96"/>
    <w:rsid w:val="57CA25F9"/>
    <w:rsid w:val="57D2683A"/>
    <w:rsid w:val="57D41B1A"/>
    <w:rsid w:val="57DF0946"/>
    <w:rsid w:val="57E463F1"/>
    <w:rsid w:val="58250857"/>
    <w:rsid w:val="583341E1"/>
    <w:rsid w:val="583B50EA"/>
    <w:rsid w:val="583E160B"/>
    <w:rsid w:val="589A414C"/>
    <w:rsid w:val="589F63E3"/>
    <w:rsid w:val="58C401AC"/>
    <w:rsid w:val="591C7ADE"/>
    <w:rsid w:val="592E48B0"/>
    <w:rsid w:val="596C4A2A"/>
    <w:rsid w:val="5993415C"/>
    <w:rsid w:val="59CB7C78"/>
    <w:rsid w:val="59D20B82"/>
    <w:rsid w:val="59FF6944"/>
    <w:rsid w:val="5A315FC3"/>
    <w:rsid w:val="5A4F3A6A"/>
    <w:rsid w:val="5A901CFA"/>
    <w:rsid w:val="5A9F4265"/>
    <w:rsid w:val="5AC04993"/>
    <w:rsid w:val="5AC703B1"/>
    <w:rsid w:val="5ADB6FB9"/>
    <w:rsid w:val="5B712259"/>
    <w:rsid w:val="5BAF2CF5"/>
    <w:rsid w:val="5BB721DA"/>
    <w:rsid w:val="5BC773EA"/>
    <w:rsid w:val="5BE744EF"/>
    <w:rsid w:val="5C173C1A"/>
    <w:rsid w:val="5C593289"/>
    <w:rsid w:val="5C5D579A"/>
    <w:rsid w:val="5CA2296A"/>
    <w:rsid w:val="5CCC426D"/>
    <w:rsid w:val="5CE50C89"/>
    <w:rsid w:val="5CE63B5B"/>
    <w:rsid w:val="5CF365AE"/>
    <w:rsid w:val="5D0513F5"/>
    <w:rsid w:val="5D170CD5"/>
    <w:rsid w:val="5D1A5393"/>
    <w:rsid w:val="5DE2255B"/>
    <w:rsid w:val="5DF9398D"/>
    <w:rsid w:val="5E095FD6"/>
    <w:rsid w:val="5E181629"/>
    <w:rsid w:val="5E395BAE"/>
    <w:rsid w:val="5E5C6B0E"/>
    <w:rsid w:val="5E5D258D"/>
    <w:rsid w:val="5E6F7D5B"/>
    <w:rsid w:val="5E7334C3"/>
    <w:rsid w:val="5EA5212B"/>
    <w:rsid w:val="5ED07993"/>
    <w:rsid w:val="5F1F5FAD"/>
    <w:rsid w:val="5F25133A"/>
    <w:rsid w:val="5F304912"/>
    <w:rsid w:val="5F3F19E2"/>
    <w:rsid w:val="5F456BB3"/>
    <w:rsid w:val="5F681BAB"/>
    <w:rsid w:val="5F726C0E"/>
    <w:rsid w:val="5F7306A0"/>
    <w:rsid w:val="5F7A458B"/>
    <w:rsid w:val="5FCE51B0"/>
    <w:rsid w:val="60401604"/>
    <w:rsid w:val="60545A7A"/>
    <w:rsid w:val="60626619"/>
    <w:rsid w:val="60B1775A"/>
    <w:rsid w:val="60E174E9"/>
    <w:rsid w:val="60E75D3C"/>
    <w:rsid w:val="611D5016"/>
    <w:rsid w:val="61415E1E"/>
    <w:rsid w:val="615B7FD8"/>
    <w:rsid w:val="616D3845"/>
    <w:rsid w:val="619706BD"/>
    <w:rsid w:val="6197282A"/>
    <w:rsid w:val="61CA7F79"/>
    <w:rsid w:val="61FF6957"/>
    <w:rsid w:val="62095C8A"/>
    <w:rsid w:val="6274710F"/>
    <w:rsid w:val="62A26D46"/>
    <w:rsid w:val="62B266B5"/>
    <w:rsid w:val="62D40767"/>
    <w:rsid w:val="62D7016C"/>
    <w:rsid w:val="62F52B28"/>
    <w:rsid w:val="633356A8"/>
    <w:rsid w:val="63397929"/>
    <w:rsid w:val="63CF193B"/>
    <w:rsid w:val="6403179D"/>
    <w:rsid w:val="640B2346"/>
    <w:rsid w:val="643108F6"/>
    <w:rsid w:val="644A2B3A"/>
    <w:rsid w:val="647B6382"/>
    <w:rsid w:val="64A248D7"/>
    <w:rsid w:val="64C76A7A"/>
    <w:rsid w:val="64CA19AF"/>
    <w:rsid w:val="64F05EEF"/>
    <w:rsid w:val="64F83A87"/>
    <w:rsid w:val="6591582E"/>
    <w:rsid w:val="65A27A58"/>
    <w:rsid w:val="65CA1D62"/>
    <w:rsid w:val="65D67111"/>
    <w:rsid w:val="65FE6E74"/>
    <w:rsid w:val="662F3307"/>
    <w:rsid w:val="665D09A0"/>
    <w:rsid w:val="665D146A"/>
    <w:rsid w:val="66AA76F2"/>
    <w:rsid w:val="66B7682F"/>
    <w:rsid w:val="66D3237B"/>
    <w:rsid w:val="67166EC5"/>
    <w:rsid w:val="67210094"/>
    <w:rsid w:val="67336828"/>
    <w:rsid w:val="673D5433"/>
    <w:rsid w:val="673F1301"/>
    <w:rsid w:val="674F376A"/>
    <w:rsid w:val="675E1C55"/>
    <w:rsid w:val="676A31F2"/>
    <w:rsid w:val="67795A76"/>
    <w:rsid w:val="67E24F32"/>
    <w:rsid w:val="67EC2A68"/>
    <w:rsid w:val="67FE4DA3"/>
    <w:rsid w:val="68357404"/>
    <w:rsid w:val="685F5681"/>
    <w:rsid w:val="686167C2"/>
    <w:rsid w:val="68C107A0"/>
    <w:rsid w:val="68E2188C"/>
    <w:rsid w:val="68E432F2"/>
    <w:rsid w:val="690A6585"/>
    <w:rsid w:val="692320B4"/>
    <w:rsid w:val="6951732D"/>
    <w:rsid w:val="69545358"/>
    <w:rsid w:val="698A76FD"/>
    <w:rsid w:val="699C0BAA"/>
    <w:rsid w:val="69AB07D2"/>
    <w:rsid w:val="69D31D91"/>
    <w:rsid w:val="69D54202"/>
    <w:rsid w:val="6A6E6E60"/>
    <w:rsid w:val="6AD5034D"/>
    <w:rsid w:val="6B294C84"/>
    <w:rsid w:val="6B2B4795"/>
    <w:rsid w:val="6B474827"/>
    <w:rsid w:val="6B7211DE"/>
    <w:rsid w:val="6BAC63E0"/>
    <w:rsid w:val="6BBF64CC"/>
    <w:rsid w:val="6C395DBF"/>
    <w:rsid w:val="6CA2751B"/>
    <w:rsid w:val="6CCC097C"/>
    <w:rsid w:val="6CD723CB"/>
    <w:rsid w:val="6CF40EAB"/>
    <w:rsid w:val="6D1839B1"/>
    <w:rsid w:val="6DB93105"/>
    <w:rsid w:val="6DDD0342"/>
    <w:rsid w:val="6DE727F2"/>
    <w:rsid w:val="6E000C11"/>
    <w:rsid w:val="6E33758F"/>
    <w:rsid w:val="6E4173E2"/>
    <w:rsid w:val="6E655319"/>
    <w:rsid w:val="6EA93624"/>
    <w:rsid w:val="6ECE201A"/>
    <w:rsid w:val="6EE558A8"/>
    <w:rsid w:val="6F0C0585"/>
    <w:rsid w:val="6F1079AE"/>
    <w:rsid w:val="6F182133"/>
    <w:rsid w:val="6F3D5920"/>
    <w:rsid w:val="6F452D87"/>
    <w:rsid w:val="6F7B76F7"/>
    <w:rsid w:val="6F853818"/>
    <w:rsid w:val="6F893B1E"/>
    <w:rsid w:val="6FC7184E"/>
    <w:rsid w:val="6FD02075"/>
    <w:rsid w:val="701D287D"/>
    <w:rsid w:val="70322864"/>
    <w:rsid w:val="703B3BFC"/>
    <w:rsid w:val="70456902"/>
    <w:rsid w:val="70696109"/>
    <w:rsid w:val="707F5B9B"/>
    <w:rsid w:val="708C26A4"/>
    <w:rsid w:val="70942EA5"/>
    <w:rsid w:val="70997CB9"/>
    <w:rsid w:val="70E9766E"/>
    <w:rsid w:val="70F06181"/>
    <w:rsid w:val="71503F78"/>
    <w:rsid w:val="715E244A"/>
    <w:rsid w:val="71A11124"/>
    <w:rsid w:val="71A81171"/>
    <w:rsid w:val="72313C64"/>
    <w:rsid w:val="729D42B4"/>
    <w:rsid w:val="72CC087A"/>
    <w:rsid w:val="72D808DC"/>
    <w:rsid w:val="731B2E62"/>
    <w:rsid w:val="735B2D62"/>
    <w:rsid w:val="736969CB"/>
    <w:rsid w:val="73797A10"/>
    <w:rsid w:val="739F00D5"/>
    <w:rsid w:val="73A355B8"/>
    <w:rsid w:val="73BD0467"/>
    <w:rsid w:val="73D44786"/>
    <w:rsid w:val="73E0248E"/>
    <w:rsid w:val="7413358A"/>
    <w:rsid w:val="748337FF"/>
    <w:rsid w:val="74963132"/>
    <w:rsid w:val="74E124F8"/>
    <w:rsid w:val="750220D2"/>
    <w:rsid w:val="75102A61"/>
    <w:rsid w:val="75245482"/>
    <w:rsid w:val="755066F9"/>
    <w:rsid w:val="75666FB1"/>
    <w:rsid w:val="756C3793"/>
    <w:rsid w:val="757C4F73"/>
    <w:rsid w:val="75971F2A"/>
    <w:rsid w:val="75B13B9E"/>
    <w:rsid w:val="75B26173"/>
    <w:rsid w:val="75FB40F8"/>
    <w:rsid w:val="761927E9"/>
    <w:rsid w:val="761B08E3"/>
    <w:rsid w:val="76375C3E"/>
    <w:rsid w:val="763A59F3"/>
    <w:rsid w:val="765A0925"/>
    <w:rsid w:val="76617C75"/>
    <w:rsid w:val="767E34F8"/>
    <w:rsid w:val="770463F7"/>
    <w:rsid w:val="77200316"/>
    <w:rsid w:val="772E1233"/>
    <w:rsid w:val="77787755"/>
    <w:rsid w:val="77816447"/>
    <w:rsid w:val="778F473E"/>
    <w:rsid w:val="779F0FD7"/>
    <w:rsid w:val="77D902D4"/>
    <w:rsid w:val="77F705F6"/>
    <w:rsid w:val="784A29E9"/>
    <w:rsid w:val="78890874"/>
    <w:rsid w:val="78A969EB"/>
    <w:rsid w:val="78BD5B14"/>
    <w:rsid w:val="78C54FC9"/>
    <w:rsid w:val="78E17D27"/>
    <w:rsid w:val="78E439FC"/>
    <w:rsid w:val="78FB4529"/>
    <w:rsid w:val="790C3730"/>
    <w:rsid w:val="79100A4F"/>
    <w:rsid w:val="791453EC"/>
    <w:rsid w:val="791C2FC9"/>
    <w:rsid w:val="794021C2"/>
    <w:rsid w:val="79B5163A"/>
    <w:rsid w:val="79DC517B"/>
    <w:rsid w:val="7A072E1B"/>
    <w:rsid w:val="7A0F12E6"/>
    <w:rsid w:val="7A443267"/>
    <w:rsid w:val="7A824C3A"/>
    <w:rsid w:val="7A927674"/>
    <w:rsid w:val="7A995079"/>
    <w:rsid w:val="7ABB5362"/>
    <w:rsid w:val="7AD756EB"/>
    <w:rsid w:val="7B022868"/>
    <w:rsid w:val="7B14763E"/>
    <w:rsid w:val="7B2F0261"/>
    <w:rsid w:val="7B3103E1"/>
    <w:rsid w:val="7B7E01AB"/>
    <w:rsid w:val="7BA638DF"/>
    <w:rsid w:val="7BC7231A"/>
    <w:rsid w:val="7BD70B50"/>
    <w:rsid w:val="7BE26258"/>
    <w:rsid w:val="7BEA7F06"/>
    <w:rsid w:val="7C1576DC"/>
    <w:rsid w:val="7C461BA7"/>
    <w:rsid w:val="7C5255D7"/>
    <w:rsid w:val="7C6B706E"/>
    <w:rsid w:val="7C6F7A0C"/>
    <w:rsid w:val="7C730D95"/>
    <w:rsid w:val="7C811ABB"/>
    <w:rsid w:val="7C8A703A"/>
    <w:rsid w:val="7CAE04F0"/>
    <w:rsid w:val="7D064E42"/>
    <w:rsid w:val="7D6E5376"/>
    <w:rsid w:val="7D885D6B"/>
    <w:rsid w:val="7D9E0355"/>
    <w:rsid w:val="7DAE272E"/>
    <w:rsid w:val="7DC51FB6"/>
    <w:rsid w:val="7DE03C2C"/>
    <w:rsid w:val="7E167F46"/>
    <w:rsid w:val="7E3C48CF"/>
    <w:rsid w:val="7E43770C"/>
    <w:rsid w:val="7E5F19A2"/>
    <w:rsid w:val="7E6B77EA"/>
    <w:rsid w:val="7EC218D0"/>
    <w:rsid w:val="7F0021E6"/>
    <w:rsid w:val="7F3044F1"/>
    <w:rsid w:val="7F337095"/>
    <w:rsid w:val="7F397243"/>
    <w:rsid w:val="7F4026D6"/>
    <w:rsid w:val="7F423106"/>
    <w:rsid w:val="7F4F219D"/>
    <w:rsid w:val="7F526AB1"/>
    <w:rsid w:val="7F6F091B"/>
    <w:rsid w:val="7F72403E"/>
    <w:rsid w:val="7F734F41"/>
    <w:rsid w:val="7F847158"/>
    <w:rsid w:val="7FB65DC2"/>
    <w:rsid w:val="7FD02FDC"/>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BDEF41-77F0-4F45-8EFF-4E71B9F58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e"/>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f"/>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styleId="af9">
    <w:name w:val="List Paragraph"/>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FCD8D-0E90-4844-8B53-72DEB26B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1145</Words>
  <Characters>6532</Characters>
  <Application>Microsoft Office Word</Application>
  <DocSecurity>0</DocSecurity>
  <Lines>54</Lines>
  <Paragraphs>15</Paragraphs>
  <ScaleCrop>false</ScaleCrop>
  <Company>ZTE</Company>
  <LinksUpToDate>false</LinksUpToDate>
  <CharactersWithSpaces>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cp:lastPrinted>2011-10-28T07:16:00Z</cp:lastPrinted>
  <dcterms:created xsi:type="dcterms:W3CDTF">2019-02-14T09:05:00Z</dcterms:created>
  <dcterms:modified xsi:type="dcterms:W3CDTF">2019-05-03T08:50:00Z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