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81B31" w14:textId="549B8F41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AB6BEF">
        <w:rPr>
          <w:rFonts w:ascii="Arial" w:hAnsi="Arial" w:cs="Arial"/>
          <w:b/>
          <w:sz w:val="24"/>
          <w:szCs w:val="24"/>
        </w:rPr>
        <w:t>9</w:t>
      </w:r>
      <w:r w:rsidR="00BC1ABC">
        <w:rPr>
          <w:rFonts w:ascii="Arial" w:hAnsi="Arial" w:cs="Arial"/>
          <w:b/>
          <w:sz w:val="24"/>
          <w:szCs w:val="24"/>
        </w:rPr>
        <w:t>2</w:t>
      </w:r>
      <w:r w:rsidR="00CC1C88">
        <w:rPr>
          <w:rFonts w:ascii="Arial" w:hAnsi="Arial" w:cs="Arial"/>
          <w:b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556F3D" w:rsidRPr="00556F3D">
        <w:rPr>
          <w:rFonts w:ascii="Arial" w:hAnsi="Arial" w:cs="Arial"/>
          <w:b/>
          <w:sz w:val="24"/>
          <w:szCs w:val="24"/>
        </w:rPr>
        <w:t>R1-</w:t>
      </w:r>
      <w:r w:rsidR="005648A0" w:rsidRPr="005648A0">
        <w:rPr>
          <w:rFonts w:ascii="Arial" w:hAnsi="Arial" w:cs="Arial"/>
          <w:b/>
          <w:sz w:val="24"/>
          <w:szCs w:val="24"/>
        </w:rPr>
        <w:t>1</w:t>
      </w:r>
      <w:r w:rsidR="00BC1ABC">
        <w:rPr>
          <w:rFonts w:ascii="Arial" w:hAnsi="Arial" w:cs="Arial"/>
          <w:b/>
          <w:sz w:val="24"/>
          <w:szCs w:val="24"/>
        </w:rPr>
        <w:t>80</w:t>
      </w:r>
      <w:r w:rsidR="002514CA">
        <w:rPr>
          <w:rFonts w:ascii="Arial" w:hAnsi="Arial" w:cs="Arial"/>
          <w:b/>
          <w:sz w:val="24"/>
          <w:szCs w:val="24"/>
        </w:rPr>
        <w:t>4931</w:t>
      </w:r>
    </w:p>
    <w:p w14:paraId="254CE727" w14:textId="77777777" w:rsidR="00CC1C88" w:rsidRDefault="00CC1C88" w:rsidP="00CC1C8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 16</w:t>
      </w:r>
      <w:r w:rsidRPr="004C78B0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</w:t>
      </w:r>
      <w:r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20</w:t>
      </w:r>
      <w:r w:rsidRPr="008D1133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2018</w:t>
      </w:r>
    </w:p>
    <w:p w14:paraId="1866D85A" w14:textId="124C7A51" w:rsidR="009611DA" w:rsidRPr="00FD021C" w:rsidRDefault="00CC1C88" w:rsidP="00CC1C8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Sanya</w:t>
      </w:r>
      <w:proofErr w:type="spellEnd"/>
      <w:r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2754A0BD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1D1843">
        <w:rPr>
          <w:rFonts w:ascii="Arial" w:hAnsi="Arial"/>
          <w:sz w:val="24"/>
        </w:rPr>
        <w:t>6</w:t>
      </w:r>
      <w:r w:rsidR="009A1DC8" w:rsidRPr="009A1DC8">
        <w:rPr>
          <w:rFonts w:ascii="Arial" w:hAnsi="Arial"/>
          <w:sz w:val="24"/>
        </w:rPr>
        <w:t>.2.</w:t>
      </w:r>
      <w:r w:rsidR="00CC1C88">
        <w:rPr>
          <w:rFonts w:ascii="Arial" w:hAnsi="Arial"/>
          <w:sz w:val="24"/>
        </w:rPr>
        <w:t>7</w:t>
      </w:r>
      <w:r w:rsidR="009A1DC8" w:rsidRPr="009A1DC8">
        <w:rPr>
          <w:rFonts w:ascii="Arial" w:hAnsi="Arial"/>
          <w:sz w:val="24"/>
        </w:rPr>
        <w:t>.</w:t>
      </w:r>
      <w:r w:rsidR="00BC1ABC">
        <w:rPr>
          <w:rFonts w:ascii="Arial" w:hAnsi="Arial"/>
          <w:sz w:val="24"/>
        </w:rPr>
        <w:t>6</w:t>
      </w:r>
      <w:r w:rsidR="00265BBD">
        <w:rPr>
          <w:rFonts w:ascii="Arial" w:hAnsi="Arial"/>
          <w:sz w:val="24"/>
        </w:rPr>
        <w:t>.3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5EED74B9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265BBD">
        <w:rPr>
          <w:rFonts w:ascii="Arial" w:hAnsi="Arial"/>
          <w:sz w:val="24"/>
        </w:rPr>
        <w:t>General consideration on TDD design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65FEFD91" w14:textId="40578E76" w:rsidR="00536814" w:rsidRDefault="001D1843" w:rsidP="00777CEC">
      <w:pPr>
        <w:pStyle w:val="ListParagraph"/>
        <w:spacing w:after="18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In RAN1#9</w:t>
      </w:r>
      <w:r w:rsidR="00CC1C88">
        <w:rPr>
          <w:rFonts w:ascii="Times New Roman" w:hAnsi="Times New Roman"/>
          <w:sz w:val="20"/>
          <w:szCs w:val="20"/>
          <w:lang w:val="en-GB"/>
        </w:rPr>
        <w:t>2</w:t>
      </w:r>
      <w:r>
        <w:rPr>
          <w:rFonts w:ascii="Times New Roman" w:hAnsi="Times New Roman"/>
          <w:sz w:val="20"/>
          <w:szCs w:val="20"/>
          <w:lang w:val="en-GB"/>
        </w:rPr>
        <w:t xml:space="preserve"> meeting, the general design principles for NB-IoT TDD were discussed with the following agreements</w:t>
      </w:r>
      <w:r w:rsidR="00A562AC">
        <w:rPr>
          <w:rFonts w:ascii="Times New Roman" w:hAnsi="Times New Roman"/>
          <w:sz w:val="20"/>
          <w:szCs w:val="20"/>
          <w:lang w:val="en-GB"/>
        </w:rPr>
        <w:t xml:space="preserve"> [1]</w:t>
      </w:r>
      <w:r>
        <w:rPr>
          <w:rFonts w:ascii="Times New Roman" w:hAnsi="Times New Roman"/>
          <w:sz w:val="20"/>
          <w:szCs w:val="20"/>
          <w:lang w:val="en-GB"/>
        </w:rPr>
        <w:t>:</w:t>
      </w:r>
    </w:p>
    <w:p w14:paraId="4CF10D94" w14:textId="77777777" w:rsidR="00CC1C88" w:rsidRPr="00F64E48" w:rsidRDefault="00CC1C88" w:rsidP="00CC1C88">
      <w:pPr>
        <w:rPr>
          <w:rFonts w:eastAsia="Yu Mincho"/>
          <w:lang w:eastAsia="ja-JP"/>
        </w:rPr>
      </w:pPr>
      <w:r w:rsidRPr="00F64E48">
        <w:rPr>
          <w:rFonts w:eastAsia="Yu Mincho"/>
          <w:highlight w:val="green"/>
          <w:lang w:eastAsia="ja-JP"/>
        </w:rPr>
        <w:t>Agreement</w:t>
      </w:r>
    </w:p>
    <w:p w14:paraId="56A2BAAF" w14:textId="77777777" w:rsidR="00CC1C88" w:rsidRPr="00CC1C88" w:rsidRDefault="00CC1C88" w:rsidP="00CC1C88">
      <w:pPr>
        <w:numPr>
          <w:ilvl w:val="0"/>
          <w:numId w:val="16"/>
        </w:numPr>
        <w:overflowPunct/>
        <w:autoSpaceDE/>
        <w:autoSpaceDN/>
        <w:adjustRightInd/>
        <w:spacing w:after="0"/>
        <w:ind w:left="714" w:hanging="357"/>
        <w:textAlignment w:val="auto"/>
      </w:pPr>
      <w:r w:rsidRPr="00CC1C88">
        <w:t>For standalone mode, at least the same UL/DL configurations as TDD NB-IoT in-band/guard-band are supported. FFS new UL/DL configurations in standalone.</w:t>
      </w:r>
    </w:p>
    <w:p w14:paraId="36BA8836" w14:textId="77777777" w:rsidR="00CC1C88" w:rsidRPr="00CC1C88" w:rsidRDefault="00CC1C88" w:rsidP="00CC1C88">
      <w:pPr>
        <w:spacing w:before="180"/>
        <w:rPr>
          <w:rFonts w:eastAsia="Yu Mincho"/>
          <w:highlight w:val="green"/>
          <w:lang w:eastAsia="ja-JP"/>
        </w:rPr>
      </w:pPr>
      <w:r w:rsidRPr="00F64E48">
        <w:rPr>
          <w:rFonts w:eastAsia="Yu Mincho"/>
          <w:highlight w:val="green"/>
          <w:lang w:eastAsia="ja-JP"/>
        </w:rPr>
        <w:t>Agreement</w:t>
      </w:r>
    </w:p>
    <w:p w14:paraId="2D08569C" w14:textId="386A9CEF" w:rsidR="00CC1C88" w:rsidRDefault="00CC1C88" w:rsidP="00CC1C88">
      <w:pPr>
        <w:numPr>
          <w:ilvl w:val="0"/>
          <w:numId w:val="16"/>
        </w:numPr>
        <w:overflowPunct/>
        <w:autoSpaceDE/>
        <w:autoSpaceDN/>
        <w:adjustRightInd/>
        <w:spacing w:after="0"/>
        <w:ind w:left="714" w:hanging="357"/>
        <w:textAlignment w:val="auto"/>
      </w:pPr>
      <w:r w:rsidRPr="00F0779C">
        <w:t>Confirm the following working assumption as agreement.</w:t>
      </w:r>
    </w:p>
    <w:p w14:paraId="33EF7417" w14:textId="77777777" w:rsidR="00CC1C88" w:rsidRPr="00F0779C" w:rsidRDefault="00CC1C88" w:rsidP="00CC1C88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</w:pPr>
      <w:r w:rsidRPr="00F0779C">
        <w:t>TDD NB-IoT will support all LTE special subframe configurations</w:t>
      </w:r>
    </w:p>
    <w:p w14:paraId="044572E5" w14:textId="7CF41176" w:rsidR="00CC1C88" w:rsidRPr="00F0779C" w:rsidRDefault="00CC1C88" w:rsidP="00CC1C88">
      <w:pPr>
        <w:numPr>
          <w:ilvl w:val="0"/>
          <w:numId w:val="16"/>
        </w:numPr>
        <w:overflowPunct/>
        <w:autoSpaceDE/>
        <w:autoSpaceDN/>
        <w:adjustRightInd/>
        <w:spacing w:after="0"/>
        <w:ind w:left="714" w:hanging="357"/>
        <w:textAlignment w:val="auto"/>
      </w:pPr>
      <w:r w:rsidRPr="00F0779C">
        <w:t xml:space="preserve">FFS CRS-less special subframe configuration 10 is supported </w:t>
      </w:r>
    </w:p>
    <w:p w14:paraId="77557B2D" w14:textId="77777777" w:rsidR="00CC1C88" w:rsidRPr="00F0779C" w:rsidRDefault="00CC1C88" w:rsidP="00CC1C88">
      <w:pPr>
        <w:numPr>
          <w:ilvl w:val="0"/>
          <w:numId w:val="16"/>
        </w:numPr>
        <w:overflowPunct/>
        <w:autoSpaceDE/>
        <w:autoSpaceDN/>
        <w:adjustRightInd/>
        <w:spacing w:after="0"/>
        <w:ind w:left="714" w:hanging="357"/>
        <w:textAlignment w:val="auto"/>
      </w:pPr>
      <w:r w:rsidRPr="00F0779C">
        <w:t>For in-band</w:t>
      </w:r>
    </w:p>
    <w:p w14:paraId="25637233" w14:textId="77777777" w:rsidR="00CC1C88" w:rsidRPr="00F0779C" w:rsidRDefault="00CC1C88" w:rsidP="00CC1C88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</w:pPr>
      <w:proofErr w:type="spellStart"/>
      <w:r w:rsidRPr="00F0779C">
        <w:t>UpPTS</w:t>
      </w:r>
      <w:proofErr w:type="spellEnd"/>
      <w:r w:rsidRPr="00F0779C">
        <w:t xml:space="preserve"> is not used for NPUSCH and NPRACH</w:t>
      </w:r>
    </w:p>
    <w:p w14:paraId="7320C3F3" w14:textId="77777777" w:rsidR="00CC1C88" w:rsidRPr="00F0779C" w:rsidRDefault="00CC1C88" w:rsidP="00CC1C88">
      <w:pPr>
        <w:numPr>
          <w:ilvl w:val="0"/>
          <w:numId w:val="16"/>
        </w:numPr>
        <w:overflowPunct/>
        <w:autoSpaceDE/>
        <w:autoSpaceDN/>
        <w:adjustRightInd/>
        <w:spacing w:after="0"/>
        <w:ind w:left="714" w:hanging="357"/>
        <w:textAlignment w:val="auto"/>
      </w:pPr>
      <w:r w:rsidRPr="00F0779C">
        <w:t>For standalone and guard-band</w:t>
      </w:r>
    </w:p>
    <w:p w14:paraId="4B0A2EAC" w14:textId="77777777" w:rsidR="00CC1C88" w:rsidRPr="00CC1C88" w:rsidRDefault="00CC1C88" w:rsidP="00CC1C88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</w:pPr>
      <w:r w:rsidRPr="00CC1C88">
        <w:t xml:space="preserve">In the LTE special subframe configurations, </w:t>
      </w:r>
      <w:proofErr w:type="spellStart"/>
      <w:r w:rsidRPr="00CC1C88">
        <w:t>UpPTS</w:t>
      </w:r>
      <w:proofErr w:type="spellEnd"/>
      <w:r w:rsidRPr="00CC1C88">
        <w:t xml:space="preserve"> </w:t>
      </w:r>
      <w:proofErr w:type="spellStart"/>
      <w:r w:rsidRPr="00CC1C88">
        <w:t>behaviour</w:t>
      </w:r>
      <w:proofErr w:type="spellEnd"/>
      <w:r w:rsidRPr="00CC1C88">
        <w:t xml:space="preserve"> is the same as in-band</w:t>
      </w:r>
    </w:p>
    <w:p w14:paraId="60AD5DD1" w14:textId="77777777" w:rsidR="00CC1C88" w:rsidRPr="00CC1C88" w:rsidRDefault="00CC1C88" w:rsidP="00CC1C88">
      <w:pPr>
        <w:numPr>
          <w:ilvl w:val="0"/>
          <w:numId w:val="16"/>
        </w:numPr>
        <w:overflowPunct/>
        <w:autoSpaceDE/>
        <w:autoSpaceDN/>
        <w:adjustRightInd/>
        <w:spacing w:after="0"/>
        <w:ind w:left="714" w:hanging="357"/>
        <w:textAlignment w:val="auto"/>
      </w:pPr>
      <w:r w:rsidRPr="00CC1C88">
        <w:t>For standalone</w:t>
      </w:r>
    </w:p>
    <w:p w14:paraId="75F4F2E3" w14:textId="77777777" w:rsidR="00CC1C88" w:rsidRPr="00CC1C88" w:rsidRDefault="00CC1C88" w:rsidP="00CC1C88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</w:pPr>
      <w:r w:rsidRPr="00CC1C88">
        <w:t>FFS if to introduce new special subframe configurations comprising ‘</w:t>
      </w:r>
      <w:proofErr w:type="spellStart"/>
      <w:r w:rsidRPr="00CC1C88">
        <w:t>DwPTS+GP</w:t>
      </w:r>
      <w:proofErr w:type="spellEnd"/>
      <w:r w:rsidRPr="00CC1C88">
        <w:t>’ and ‘</w:t>
      </w:r>
      <w:proofErr w:type="spellStart"/>
      <w:r w:rsidRPr="00CC1C88">
        <w:t>GP+UpPTS</w:t>
      </w:r>
      <w:proofErr w:type="spellEnd"/>
      <w:r w:rsidRPr="00CC1C88">
        <w:t xml:space="preserve">’, and FFS the use of </w:t>
      </w:r>
      <w:proofErr w:type="spellStart"/>
      <w:r w:rsidRPr="00CC1C88">
        <w:t>DwPTS</w:t>
      </w:r>
      <w:proofErr w:type="spellEnd"/>
      <w:r w:rsidRPr="00CC1C88">
        <w:t>/</w:t>
      </w:r>
      <w:proofErr w:type="spellStart"/>
      <w:r w:rsidRPr="00CC1C88">
        <w:t>UpPTS</w:t>
      </w:r>
      <w:proofErr w:type="spellEnd"/>
      <w:r w:rsidRPr="00CC1C88">
        <w:t xml:space="preserve"> in them</w:t>
      </w:r>
    </w:p>
    <w:p w14:paraId="79391792" w14:textId="77777777" w:rsidR="00CC1C88" w:rsidRPr="00A562AC" w:rsidRDefault="00CC1C88" w:rsidP="00A562AC">
      <w:pPr>
        <w:spacing w:before="180"/>
        <w:rPr>
          <w:rFonts w:eastAsia="Yu Mincho"/>
          <w:highlight w:val="green"/>
          <w:lang w:eastAsia="ja-JP"/>
        </w:rPr>
      </w:pPr>
      <w:r w:rsidRPr="00F64E48">
        <w:rPr>
          <w:rFonts w:eastAsia="Yu Mincho"/>
          <w:highlight w:val="green"/>
          <w:lang w:eastAsia="ja-JP"/>
        </w:rPr>
        <w:t>Agreement</w:t>
      </w:r>
    </w:p>
    <w:p w14:paraId="1E4A2E3B" w14:textId="77777777" w:rsidR="00CC1C88" w:rsidRPr="00CC1C88" w:rsidRDefault="00CC1C88" w:rsidP="00CC1C88">
      <w:pPr>
        <w:numPr>
          <w:ilvl w:val="0"/>
          <w:numId w:val="16"/>
        </w:numPr>
        <w:overflowPunct/>
        <w:autoSpaceDE/>
        <w:autoSpaceDN/>
        <w:adjustRightInd/>
        <w:spacing w:after="0"/>
        <w:ind w:left="714" w:hanging="357"/>
        <w:textAlignment w:val="auto"/>
      </w:pPr>
      <w:r w:rsidRPr="00CC1C88">
        <w:t>Supporting two HARQ processes is an optional UE capability in NB-IoT TDD system.</w:t>
      </w:r>
    </w:p>
    <w:p w14:paraId="1EDC6062" w14:textId="77777777" w:rsidR="00CC1C88" w:rsidRPr="007E6E99" w:rsidRDefault="00CC1C88" w:rsidP="00CC1C88">
      <w:pPr>
        <w:numPr>
          <w:ilvl w:val="0"/>
          <w:numId w:val="16"/>
        </w:numPr>
        <w:overflowPunct/>
        <w:autoSpaceDE/>
        <w:autoSpaceDN/>
        <w:adjustRightInd/>
        <w:spacing w:after="0"/>
        <w:ind w:left="714" w:hanging="357"/>
        <w:textAlignment w:val="auto"/>
      </w:pPr>
      <w:r w:rsidRPr="007E6E99">
        <w:t>A 2-HARQ capable UE configured with 2 HARQ processes can be scheduled to transmit in UL subframes that occur during a DL reception, and receive in DL subframes that occur during a UL transmission.</w:t>
      </w:r>
    </w:p>
    <w:p w14:paraId="130C42E6" w14:textId="77777777" w:rsidR="00CC1C88" w:rsidRPr="00A562AC" w:rsidRDefault="00CC1C88" w:rsidP="00A562AC">
      <w:pPr>
        <w:spacing w:before="180"/>
        <w:rPr>
          <w:rFonts w:eastAsia="Yu Mincho"/>
          <w:highlight w:val="green"/>
          <w:lang w:eastAsia="ja-JP"/>
        </w:rPr>
      </w:pPr>
      <w:r w:rsidRPr="00F64E48">
        <w:rPr>
          <w:rFonts w:eastAsia="Yu Mincho"/>
          <w:highlight w:val="green"/>
          <w:lang w:eastAsia="ja-JP"/>
        </w:rPr>
        <w:t>Agreement</w:t>
      </w:r>
    </w:p>
    <w:p w14:paraId="586F1D50" w14:textId="77777777" w:rsidR="00CC1C88" w:rsidRPr="00CC1C88" w:rsidRDefault="00CC1C88" w:rsidP="00CC1C88">
      <w:pPr>
        <w:numPr>
          <w:ilvl w:val="0"/>
          <w:numId w:val="16"/>
        </w:numPr>
        <w:overflowPunct/>
        <w:autoSpaceDE/>
        <w:autoSpaceDN/>
        <w:adjustRightInd/>
        <w:spacing w:after="0"/>
        <w:ind w:left="714" w:hanging="357"/>
        <w:textAlignment w:val="auto"/>
      </w:pPr>
      <w:r w:rsidRPr="00CC1C88">
        <w:t>Dynamic indication of scheduling delay in DCI is used for TDD NB-IoT.</w:t>
      </w:r>
    </w:p>
    <w:p w14:paraId="39C462E6" w14:textId="77777777" w:rsidR="00CC1C88" w:rsidRPr="00F64E48" w:rsidRDefault="00CC1C88" w:rsidP="0072131C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Yu Mincho"/>
          <w:lang w:eastAsia="ja-JP"/>
        </w:rPr>
      </w:pPr>
      <w:r w:rsidRPr="0072131C">
        <w:t>FFS: definition of DL/UL scheduling delay</w:t>
      </w:r>
    </w:p>
    <w:p w14:paraId="772AEFDE" w14:textId="77777777" w:rsidR="00CC1C88" w:rsidRPr="00A562AC" w:rsidRDefault="00CC1C88" w:rsidP="00A562AC">
      <w:pPr>
        <w:spacing w:before="180"/>
        <w:rPr>
          <w:rFonts w:eastAsia="Yu Mincho"/>
          <w:highlight w:val="green"/>
          <w:lang w:eastAsia="ja-JP"/>
        </w:rPr>
      </w:pPr>
      <w:r w:rsidRPr="00F64E48">
        <w:rPr>
          <w:rFonts w:eastAsia="Yu Mincho"/>
          <w:highlight w:val="green"/>
          <w:lang w:eastAsia="ja-JP"/>
        </w:rPr>
        <w:t>Agreement</w:t>
      </w:r>
    </w:p>
    <w:p w14:paraId="45411B39" w14:textId="77777777" w:rsidR="00CC1C88" w:rsidRPr="00CC1C88" w:rsidRDefault="00CC1C88" w:rsidP="00CC1C88">
      <w:pPr>
        <w:numPr>
          <w:ilvl w:val="0"/>
          <w:numId w:val="16"/>
        </w:numPr>
        <w:overflowPunct/>
        <w:autoSpaceDE/>
        <w:autoSpaceDN/>
        <w:adjustRightInd/>
        <w:spacing w:after="0"/>
        <w:ind w:left="714" w:hanging="357"/>
        <w:textAlignment w:val="auto"/>
      </w:pPr>
      <w:r w:rsidRPr="00CC1C88">
        <w:t>Higher layers signal one bitmap containing to indicate whether the DL/UL/special subframes are valid or not.</w:t>
      </w:r>
    </w:p>
    <w:p w14:paraId="6DBE320C" w14:textId="77777777" w:rsidR="00CC1C88" w:rsidRPr="00CC1C88" w:rsidRDefault="00CC1C88" w:rsidP="00CC1C88">
      <w:pPr>
        <w:numPr>
          <w:ilvl w:val="0"/>
          <w:numId w:val="16"/>
        </w:numPr>
        <w:overflowPunct/>
        <w:autoSpaceDE/>
        <w:autoSpaceDN/>
        <w:adjustRightInd/>
        <w:spacing w:after="0"/>
        <w:ind w:left="714" w:hanging="357"/>
        <w:textAlignment w:val="auto"/>
      </w:pPr>
      <w:r w:rsidRPr="00CC1C88">
        <w:t>The length of the bitmap applies to</w:t>
      </w:r>
    </w:p>
    <w:p w14:paraId="3492D61E" w14:textId="77777777" w:rsidR="00CC1C88" w:rsidRPr="00A562AC" w:rsidRDefault="00CC1C88" w:rsidP="00A562AC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</w:pPr>
      <w:r w:rsidRPr="00A562AC">
        <w:t xml:space="preserve">For guard-band: 10 </w:t>
      </w:r>
      <w:proofErr w:type="spellStart"/>
      <w:r w:rsidRPr="00A562AC">
        <w:t>ms</w:t>
      </w:r>
      <w:proofErr w:type="spellEnd"/>
    </w:p>
    <w:p w14:paraId="5F482734" w14:textId="77777777" w:rsidR="00A562AC" w:rsidRDefault="00CC1C88" w:rsidP="00603EC4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</w:pPr>
      <w:r w:rsidRPr="00A562AC">
        <w:t xml:space="preserve">For standalone: 10 </w:t>
      </w:r>
      <w:proofErr w:type="spellStart"/>
      <w:r w:rsidRPr="00A562AC">
        <w:t>ms</w:t>
      </w:r>
      <w:proofErr w:type="spellEnd"/>
    </w:p>
    <w:p w14:paraId="5D9D1905" w14:textId="38F9B958" w:rsidR="00CC1C88" w:rsidRPr="00A562AC" w:rsidRDefault="00CC1C88" w:rsidP="00A562AC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</w:pPr>
      <w:r w:rsidRPr="00A562AC">
        <w:rPr>
          <w:rFonts w:hint="eastAsia"/>
        </w:rPr>
        <w:t>F</w:t>
      </w:r>
      <w:r w:rsidRPr="00A562AC">
        <w:t xml:space="preserve">FS: other values if any for co-existence purpose </w:t>
      </w:r>
    </w:p>
    <w:p w14:paraId="6ED5B865" w14:textId="77777777" w:rsidR="00CC1C88" w:rsidRPr="00A562AC" w:rsidRDefault="00CC1C88" w:rsidP="00A562AC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</w:pPr>
      <w:r w:rsidRPr="00A562AC">
        <w:t xml:space="preserve">For in-band: At least 10 </w:t>
      </w:r>
      <w:proofErr w:type="spellStart"/>
      <w:r w:rsidRPr="00A562AC">
        <w:t>ms</w:t>
      </w:r>
      <w:proofErr w:type="spellEnd"/>
      <w:r w:rsidRPr="00A562AC">
        <w:t xml:space="preserve"> and 40 </w:t>
      </w:r>
      <w:proofErr w:type="spellStart"/>
      <w:r w:rsidRPr="00A562AC">
        <w:t>ms</w:t>
      </w:r>
      <w:proofErr w:type="spellEnd"/>
      <w:r w:rsidRPr="00A562AC">
        <w:t xml:space="preserve"> are supported; FFS if also an 80 </w:t>
      </w:r>
      <w:proofErr w:type="spellStart"/>
      <w:r w:rsidRPr="00A562AC">
        <w:t>ms</w:t>
      </w:r>
      <w:proofErr w:type="spellEnd"/>
      <w:r w:rsidRPr="00A562AC">
        <w:t xml:space="preserve"> length is supported for coexistence with dynamic TDD.</w:t>
      </w:r>
    </w:p>
    <w:p w14:paraId="36CE63BD" w14:textId="77777777" w:rsidR="00CC1C88" w:rsidRPr="00A562AC" w:rsidRDefault="00CC1C88" w:rsidP="00A562AC">
      <w:pPr>
        <w:spacing w:before="180"/>
        <w:rPr>
          <w:rFonts w:eastAsia="Yu Mincho"/>
          <w:highlight w:val="green"/>
          <w:lang w:eastAsia="ja-JP"/>
        </w:rPr>
      </w:pPr>
      <w:r w:rsidRPr="00F64E48">
        <w:rPr>
          <w:rFonts w:eastAsia="Yu Mincho" w:hint="eastAsia"/>
          <w:highlight w:val="green"/>
          <w:lang w:eastAsia="ja-JP"/>
        </w:rPr>
        <w:t>A</w:t>
      </w:r>
      <w:r w:rsidRPr="00F64E48">
        <w:rPr>
          <w:rFonts w:eastAsia="Yu Mincho"/>
          <w:highlight w:val="green"/>
          <w:lang w:eastAsia="ja-JP"/>
        </w:rPr>
        <w:t>greement</w:t>
      </w:r>
    </w:p>
    <w:p w14:paraId="66DFAC7D" w14:textId="5AD4F55D" w:rsidR="00CC1C88" w:rsidRDefault="00CC1C88" w:rsidP="00CC1C88">
      <w:pPr>
        <w:numPr>
          <w:ilvl w:val="0"/>
          <w:numId w:val="16"/>
        </w:numPr>
        <w:overflowPunct/>
        <w:autoSpaceDE/>
        <w:autoSpaceDN/>
        <w:adjustRightInd/>
        <w:spacing w:after="0"/>
        <w:ind w:left="714" w:hanging="357"/>
        <w:textAlignment w:val="auto"/>
      </w:pPr>
      <w:r w:rsidRPr="00CC1C88">
        <w:lastRenderedPageBreak/>
        <w:t>The maximum UL and DL TBS for Cat. NB1 and Cat. NB2 are kept the same as Rel-13/Rel-14 (e)NB-IoT FDD systems</w:t>
      </w:r>
    </w:p>
    <w:p w14:paraId="36D5D38B" w14:textId="77777777" w:rsidR="00A562AC" w:rsidRPr="001338B8" w:rsidRDefault="00A562AC" w:rsidP="00A562AC">
      <w:pPr>
        <w:overflowPunct/>
        <w:autoSpaceDE/>
        <w:autoSpaceDN/>
        <w:adjustRightInd/>
        <w:spacing w:after="0"/>
        <w:ind w:left="714"/>
        <w:textAlignment w:val="auto"/>
      </w:pPr>
    </w:p>
    <w:p w14:paraId="437C0CC4" w14:textId="66BF72E8" w:rsidR="006F4ED3" w:rsidRPr="006F4ED3" w:rsidRDefault="002C1E49" w:rsidP="006F4ED3">
      <w:pPr>
        <w:jc w:val="both"/>
      </w:pPr>
      <w:r>
        <w:t xml:space="preserve">In this contribution, we </w:t>
      </w:r>
      <w:r w:rsidR="006F4ED3">
        <w:t xml:space="preserve">continue to </w:t>
      </w:r>
      <w:r>
        <w:t>discu</w:t>
      </w:r>
      <w:r w:rsidR="00605AA3">
        <w:t xml:space="preserve">ss the </w:t>
      </w:r>
      <w:r w:rsidR="00C1213E">
        <w:t xml:space="preserve">general </w:t>
      </w:r>
      <w:r w:rsidR="006F4ED3">
        <w:t xml:space="preserve">design </w:t>
      </w:r>
      <w:r w:rsidR="00C1213E">
        <w:t xml:space="preserve">aspects of NB-IoT </w:t>
      </w:r>
      <w:r w:rsidR="006F4ED3">
        <w:t>TDD</w:t>
      </w:r>
      <w:r w:rsidR="00C1213E">
        <w:t xml:space="preserve">, such as </w:t>
      </w:r>
      <w:r w:rsidR="006F4ED3">
        <w:t>HARQ timing, scrambling</w:t>
      </w:r>
      <w:r w:rsidR="00BF22DA">
        <w:t xml:space="preserve">, </w:t>
      </w:r>
      <w:r w:rsidR="006F4ED3">
        <w:t>repetition</w:t>
      </w:r>
      <w:r w:rsidR="00BF22DA">
        <w:t xml:space="preserve"> and RV cycling</w:t>
      </w:r>
      <w:r w:rsidR="006F4ED3">
        <w:t>, cross-carrier scheduling and interlacing UL/DL etc</w:t>
      </w:r>
      <w:r w:rsidR="00C1213E">
        <w:t>.</w:t>
      </w:r>
      <w:r w:rsidR="006F4ED3">
        <w:t xml:space="preserve"> </w:t>
      </w:r>
    </w:p>
    <w:p w14:paraId="6A808625" w14:textId="23D686C3" w:rsidR="007D7698" w:rsidRDefault="00C51F1D" w:rsidP="00564597">
      <w:pPr>
        <w:pStyle w:val="Heading1"/>
      </w:pPr>
      <w:r>
        <w:t>HARQ timing</w:t>
      </w:r>
      <w:r w:rsidR="00AC5978">
        <w:t xml:space="preserve"> </w:t>
      </w:r>
    </w:p>
    <w:p w14:paraId="57D071E5" w14:textId="18E8E399" w:rsidR="00C166F8" w:rsidRDefault="00C166F8" w:rsidP="005A3A9A">
      <w:pPr>
        <w:jc w:val="both"/>
        <w:rPr>
          <w:lang w:eastAsia="zh-CN"/>
        </w:rPr>
      </w:pPr>
      <w:r>
        <w:rPr>
          <w:lang w:eastAsia="zh-CN"/>
        </w:rPr>
        <w:t xml:space="preserve">Asynchronous HARQ is used </w:t>
      </w:r>
      <w:r w:rsidR="00B978AA">
        <w:rPr>
          <w:lang w:eastAsia="zh-CN"/>
        </w:rPr>
        <w:t>for both downlink and uplink</w:t>
      </w:r>
      <w:r>
        <w:rPr>
          <w:lang w:eastAsia="zh-CN"/>
        </w:rPr>
        <w:t xml:space="preserve"> in FDD</w:t>
      </w:r>
      <w:r w:rsidR="00B978AA">
        <w:rPr>
          <w:lang w:eastAsia="zh-CN"/>
        </w:rPr>
        <w:t xml:space="preserve">. </w:t>
      </w:r>
      <w:r>
        <w:rPr>
          <w:lang w:eastAsia="zh-CN"/>
        </w:rPr>
        <w:t>To minimize the specification efforts, t</w:t>
      </w:r>
      <w:r w:rsidR="00B978AA">
        <w:rPr>
          <w:lang w:eastAsia="zh-CN"/>
        </w:rPr>
        <w:t xml:space="preserve">he same design principle can be adopted for NB-IoT TDD. </w:t>
      </w:r>
      <w:r w:rsidR="005A3A9A">
        <w:rPr>
          <w:lang w:eastAsia="zh-CN"/>
        </w:rPr>
        <w:t>Therefore, asynchronous and adaptive HARQ are supported also for TDD. Although it is possible to relax HARQ timing relationship for TDD due to discontinuous UL/DL transmission, it is preferred to keep the minimum timing relationship same as FDD. T</w:t>
      </w:r>
      <w:r>
        <w:rPr>
          <w:lang w:eastAsia="zh-CN"/>
        </w:rPr>
        <w:t xml:space="preserve">he approach of </w:t>
      </w:r>
      <w:r w:rsidR="005A3A9A">
        <w:rPr>
          <w:lang w:eastAsia="zh-CN"/>
        </w:rPr>
        <w:t xml:space="preserve">using the </w:t>
      </w:r>
      <w:r>
        <w:rPr>
          <w:lang w:eastAsia="zh-CN"/>
        </w:rPr>
        <w:t xml:space="preserve">scheduling delay indication in DCI </w:t>
      </w:r>
      <w:r w:rsidR="005A3A9A">
        <w:rPr>
          <w:lang w:eastAsia="zh-CN"/>
        </w:rPr>
        <w:t xml:space="preserve">can be reused </w:t>
      </w:r>
      <w:r>
        <w:rPr>
          <w:lang w:eastAsia="zh-CN"/>
        </w:rPr>
        <w:t xml:space="preserve">for </w:t>
      </w:r>
      <w:r w:rsidR="005A3A9A">
        <w:rPr>
          <w:lang w:eastAsia="zh-CN"/>
        </w:rPr>
        <w:t xml:space="preserve">TDD, however, </w:t>
      </w:r>
      <w:r>
        <w:rPr>
          <w:lang w:eastAsia="zh-CN"/>
        </w:rPr>
        <w:t xml:space="preserve">the values of the scheduling delay may be changed </w:t>
      </w:r>
      <w:r w:rsidR="005A3A9A">
        <w:rPr>
          <w:lang w:eastAsia="zh-CN"/>
        </w:rPr>
        <w:t>for TDD account</w:t>
      </w:r>
      <w:r w:rsidR="006E1587">
        <w:rPr>
          <w:lang w:eastAsia="zh-CN"/>
        </w:rPr>
        <w:t>ing</w:t>
      </w:r>
      <w:r w:rsidR="005A3A9A">
        <w:rPr>
          <w:lang w:eastAsia="zh-CN"/>
        </w:rPr>
        <w:t xml:space="preserve"> for FDD and TDD difference.</w:t>
      </w:r>
    </w:p>
    <w:p w14:paraId="05716CD3" w14:textId="763122AD" w:rsidR="00C166F8" w:rsidRDefault="005A3A9A" w:rsidP="00C166F8">
      <w:pPr>
        <w:jc w:val="both"/>
        <w:rPr>
          <w:lang w:eastAsia="zh-CN"/>
        </w:rPr>
      </w:pPr>
      <w:r>
        <w:rPr>
          <w:lang w:eastAsia="zh-CN"/>
        </w:rPr>
        <w:t xml:space="preserve">For DL, the same scheduling delay values can be reused for TDD since </w:t>
      </w:r>
      <w:r w:rsidR="00A92085" w:rsidRPr="00C166F8">
        <w:rPr>
          <w:lang w:eastAsia="zh-CN"/>
        </w:rPr>
        <w:t xml:space="preserve">the </w:t>
      </w:r>
      <w:r>
        <w:rPr>
          <w:lang w:eastAsia="zh-CN"/>
        </w:rPr>
        <w:t xml:space="preserve">scheduling delay indicates </w:t>
      </w:r>
      <w:r w:rsidR="001E3399">
        <w:rPr>
          <w:lang w:eastAsia="zh-CN"/>
        </w:rPr>
        <w:t xml:space="preserve">which </w:t>
      </w:r>
      <w:r>
        <w:rPr>
          <w:lang w:eastAsia="zh-CN"/>
        </w:rPr>
        <w:t xml:space="preserve">valid NB-IoT DL subframes </w:t>
      </w:r>
      <w:r w:rsidR="00597147">
        <w:rPr>
          <w:lang w:eastAsia="zh-CN"/>
        </w:rPr>
        <w:t>to start</w:t>
      </w:r>
      <w:r w:rsidR="001E3399">
        <w:rPr>
          <w:lang w:eastAsia="zh-CN"/>
        </w:rPr>
        <w:t xml:space="preserve"> </w:t>
      </w:r>
      <w:r w:rsidR="00A92085" w:rsidRPr="00C166F8">
        <w:rPr>
          <w:lang w:eastAsia="zh-CN"/>
        </w:rPr>
        <w:t xml:space="preserve">NPDSCH </w:t>
      </w:r>
      <w:r w:rsidR="001E3399">
        <w:rPr>
          <w:lang w:eastAsia="zh-CN"/>
        </w:rPr>
        <w:t xml:space="preserve">transmission. </w:t>
      </w:r>
      <w:r w:rsidR="00FA338B">
        <w:rPr>
          <w:lang w:eastAsia="zh-CN"/>
        </w:rPr>
        <w:t>F</w:t>
      </w:r>
      <w:r w:rsidR="001E3399">
        <w:rPr>
          <w:lang w:eastAsia="zh-CN"/>
        </w:rPr>
        <w:t xml:space="preserve">or </w:t>
      </w:r>
      <w:r w:rsidR="00FA338B">
        <w:rPr>
          <w:lang w:eastAsia="zh-CN"/>
        </w:rPr>
        <w:t xml:space="preserve">FDD </w:t>
      </w:r>
      <w:r w:rsidR="001E3399">
        <w:rPr>
          <w:lang w:eastAsia="zh-CN"/>
        </w:rPr>
        <w:t xml:space="preserve">UL, the scheduling delay values for NPUSCH and HARQ-ACK reporting are based on </w:t>
      </w:r>
      <w:r w:rsidR="00597147">
        <w:rPr>
          <w:lang w:eastAsia="zh-CN"/>
        </w:rPr>
        <w:t>a</w:t>
      </w:r>
      <w:r w:rsidR="001E3399">
        <w:rPr>
          <w:lang w:eastAsia="zh-CN"/>
        </w:rPr>
        <w:t xml:space="preserve"> number of absolute subframes after the end of NPDCCH</w:t>
      </w:r>
      <w:r w:rsidR="00597147">
        <w:rPr>
          <w:lang w:eastAsia="zh-CN"/>
        </w:rPr>
        <w:t>/</w:t>
      </w:r>
      <w:r w:rsidR="001E3399">
        <w:rPr>
          <w:lang w:eastAsia="zh-CN"/>
        </w:rPr>
        <w:t xml:space="preserve">NPDSCH. </w:t>
      </w:r>
    </w:p>
    <w:p w14:paraId="3FD61F47" w14:textId="35B718F6" w:rsidR="002C5A46" w:rsidRPr="001E3399" w:rsidRDefault="00A92085" w:rsidP="001E3399">
      <w:pPr>
        <w:jc w:val="both"/>
        <w:rPr>
          <w:lang w:eastAsia="zh-CN"/>
        </w:rPr>
      </w:pPr>
      <w:r w:rsidRPr="001E3399">
        <w:rPr>
          <w:lang w:eastAsia="zh-CN"/>
        </w:rPr>
        <w:t xml:space="preserve">For TDD, we can have two options to </w:t>
      </w:r>
      <w:r w:rsidR="00606036">
        <w:rPr>
          <w:lang w:eastAsia="zh-CN"/>
        </w:rPr>
        <w:t>explain</w:t>
      </w:r>
      <w:r w:rsidRPr="001E3399">
        <w:rPr>
          <w:lang w:eastAsia="zh-CN"/>
        </w:rPr>
        <w:t xml:space="preserve"> the </w:t>
      </w:r>
      <w:r w:rsidR="00606036">
        <w:rPr>
          <w:lang w:eastAsia="zh-CN"/>
        </w:rPr>
        <w:t xml:space="preserve">ACK/NACK </w:t>
      </w:r>
      <w:r w:rsidRPr="001E3399">
        <w:rPr>
          <w:lang w:eastAsia="zh-CN"/>
        </w:rPr>
        <w:t>delay field</w:t>
      </w:r>
      <w:r w:rsidR="00606036">
        <w:rPr>
          <w:lang w:eastAsia="zh-CN"/>
        </w:rPr>
        <w:t xml:space="preserve">. The same principle can be adopted also for NPUSCH </w:t>
      </w:r>
      <w:r w:rsidR="00597147">
        <w:rPr>
          <w:lang w:eastAsia="zh-CN"/>
        </w:rPr>
        <w:t>scheduling delay</w:t>
      </w:r>
      <w:r w:rsidR="00606036">
        <w:rPr>
          <w:lang w:eastAsia="zh-CN"/>
        </w:rPr>
        <w:t>.</w:t>
      </w:r>
    </w:p>
    <w:p w14:paraId="147AB7A5" w14:textId="4AD6407A" w:rsidR="002C5A46" w:rsidRPr="001E3399" w:rsidRDefault="00606036" w:rsidP="00606036">
      <w:pPr>
        <w:numPr>
          <w:ilvl w:val="0"/>
          <w:numId w:val="20"/>
        </w:numPr>
        <w:tabs>
          <w:tab w:val="clear" w:pos="360"/>
        </w:tabs>
        <w:jc w:val="both"/>
        <w:rPr>
          <w:lang w:eastAsia="zh-CN"/>
        </w:rPr>
      </w:pPr>
      <w:r>
        <w:rPr>
          <w:lang w:eastAsia="zh-CN"/>
        </w:rPr>
        <w:t xml:space="preserve">Option 1: </w:t>
      </w:r>
      <w:r w:rsidR="00A92085" w:rsidRPr="001E3399">
        <w:rPr>
          <w:lang w:eastAsia="zh-CN"/>
        </w:rPr>
        <w:t xml:space="preserve">Transmit ACK/NACK from </w:t>
      </w:r>
      <w:r>
        <w:rPr>
          <w:lang w:eastAsia="zh-CN"/>
        </w:rPr>
        <w:t xml:space="preserve">the </w:t>
      </w:r>
      <w:r w:rsidR="00A92085" w:rsidRPr="001E3399">
        <w:rPr>
          <w:lang w:eastAsia="zh-CN"/>
        </w:rPr>
        <w:t xml:space="preserve">first valid UL subframe after the indicated number of subframes (including both UL and DL) </w:t>
      </w:r>
    </w:p>
    <w:p w14:paraId="42E3E80B" w14:textId="28493D0E" w:rsidR="002C5A46" w:rsidRPr="001E3399" w:rsidRDefault="00606036" w:rsidP="00606036">
      <w:pPr>
        <w:numPr>
          <w:ilvl w:val="0"/>
          <w:numId w:val="20"/>
        </w:numPr>
        <w:tabs>
          <w:tab w:val="clear" w:pos="360"/>
        </w:tabs>
        <w:jc w:val="both"/>
        <w:rPr>
          <w:lang w:eastAsia="zh-CN"/>
        </w:rPr>
      </w:pPr>
      <w:r>
        <w:rPr>
          <w:lang w:eastAsia="zh-CN"/>
        </w:rPr>
        <w:t xml:space="preserve">Option 2: </w:t>
      </w:r>
      <w:r w:rsidR="00A92085" w:rsidRPr="001E3399">
        <w:rPr>
          <w:lang w:eastAsia="zh-CN"/>
        </w:rPr>
        <w:t xml:space="preserve">Transmit ACK/NACK from </w:t>
      </w:r>
      <w:r>
        <w:rPr>
          <w:lang w:eastAsia="zh-CN"/>
        </w:rPr>
        <w:t xml:space="preserve">the </w:t>
      </w:r>
      <w:r w:rsidR="00A92085" w:rsidRPr="001E3399">
        <w:rPr>
          <w:lang w:eastAsia="zh-CN"/>
        </w:rPr>
        <w:t>first valid UL subframe after the indicated number of UL subframes after a minimum delay</w:t>
      </w:r>
    </w:p>
    <w:p w14:paraId="3C49C331" w14:textId="052F36B7" w:rsidR="002C5A46" w:rsidRPr="001E3399" w:rsidRDefault="00606036" w:rsidP="00606036">
      <w:pPr>
        <w:jc w:val="both"/>
        <w:rPr>
          <w:lang w:eastAsia="zh-CN"/>
        </w:rPr>
      </w:pPr>
      <w:r>
        <w:rPr>
          <w:lang w:eastAsia="zh-CN"/>
        </w:rPr>
        <w:t xml:space="preserve">For Option 1, we may need to enlarge the scheduling delay values for TDD since the UL subframe is not continuous and </w:t>
      </w:r>
      <w:r w:rsidR="00597147">
        <w:rPr>
          <w:lang w:eastAsia="zh-CN"/>
        </w:rPr>
        <w:t xml:space="preserve">there are less </w:t>
      </w:r>
      <w:r>
        <w:rPr>
          <w:lang w:eastAsia="zh-CN"/>
        </w:rPr>
        <w:t xml:space="preserve">number of UL subframes per radio frame. For Option 2, the same scheduling delay values as FDD can be reused </w:t>
      </w:r>
      <w:r w:rsidR="00597147">
        <w:rPr>
          <w:lang w:eastAsia="zh-CN"/>
        </w:rPr>
        <w:t>because</w:t>
      </w:r>
      <w:r>
        <w:rPr>
          <w:lang w:eastAsia="zh-CN"/>
        </w:rPr>
        <w:t xml:space="preserve"> the delay counts </w:t>
      </w:r>
      <w:r w:rsidR="000B6389">
        <w:rPr>
          <w:lang w:eastAsia="zh-CN"/>
        </w:rPr>
        <w:t xml:space="preserve">only </w:t>
      </w:r>
      <w:r>
        <w:rPr>
          <w:lang w:eastAsia="zh-CN"/>
        </w:rPr>
        <w:t xml:space="preserve">the valid UL subframes. </w:t>
      </w:r>
    </w:p>
    <w:p w14:paraId="7D687CDB" w14:textId="656DDA38" w:rsidR="00606036" w:rsidRDefault="00606036" w:rsidP="00606036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1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FDD HARQ timing and scheduling delay values are reused for TDD, but </w:t>
      </w:r>
      <w:r w:rsidR="00597147">
        <w:rPr>
          <w:b/>
          <w:lang w:val="en-GB"/>
        </w:rPr>
        <w:t xml:space="preserve">counting of the </w:t>
      </w:r>
      <w:r>
        <w:rPr>
          <w:b/>
          <w:lang w:val="en-GB"/>
        </w:rPr>
        <w:t xml:space="preserve">scheduling delay for UL HARQ-ACK and NPUSCH </w:t>
      </w:r>
      <w:r w:rsidR="00597147">
        <w:rPr>
          <w:b/>
          <w:lang w:val="en-GB"/>
        </w:rPr>
        <w:t xml:space="preserve">is based on </w:t>
      </w:r>
      <w:r>
        <w:rPr>
          <w:b/>
          <w:lang w:val="en-GB"/>
        </w:rPr>
        <w:t>the number of valid UL subframes.</w:t>
      </w:r>
    </w:p>
    <w:p w14:paraId="425981DE" w14:textId="77777777" w:rsidR="002E50AC" w:rsidRDefault="002E50AC" w:rsidP="00606036">
      <w:pPr>
        <w:rPr>
          <w:b/>
          <w:lang w:val="en-GB"/>
        </w:rPr>
      </w:pPr>
    </w:p>
    <w:p w14:paraId="6775F34A" w14:textId="0E138C41" w:rsidR="00606036" w:rsidRDefault="00BF22DA" w:rsidP="00606036">
      <w:pPr>
        <w:pStyle w:val="Heading1"/>
      </w:pPr>
      <w:r>
        <w:t>Data scrambling</w:t>
      </w:r>
      <w:r w:rsidR="00606036">
        <w:t xml:space="preserve"> </w:t>
      </w:r>
    </w:p>
    <w:p w14:paraId="470D8EEF" w14:textId="569D148C" w:rsidR="00606036" w:rsidRDefault="00606036" w:rsidP="00606036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Rel-14, the non-linear scrambling was introduced in DL for </w:t>
      </w:r>
      <w:r>
        <w:rPr>
          <w:lang w:eastAsia="zh-CN"/>
        </w:rPr>
        <w:t>better inter-cell interference randomization</w:t>
      </w:r>
      <w:r w:rsidR="008657AF">
        <w:rPr>
          <w:lang w:eastAsia="zh-CN"/>
        </w:rPr>
        <w:t xml:space="preserve"> [</w:t>
      </w:r>
      <w:r w:rsidR="00AE05FE">
        <w:rPr>
          <w:lang w:eastAsia="zh-CN"/>
        </w:rPr>
        <w:t>2</w:t>
      </w:r>
      <w:r w:rsidR="008657AF">
        <w:rPr>
          <w:lang w:eastAsia="zh-CN"/>
        </w:rPr>
        <w:t>]</w:t>
      </w:r>
      <w:r>
        <w:rPr>
          <w:lang w:eastAsia="zh-CN"/>
        </w:rPr>
        <w:t xml:space="preserve">. However, due to backward combability issue, the non-linear scrambling </w:t>
      </w:r>
      <w:r w:rsidR="008657AF">
        <w:rPr>
          <w:lang w:eastAsia="zh-CN"/>
        </w:rPr>
        <w:t xml:space="preserve">is only supported for </w:t>
      </w:r>
      <w:r w:rsidR="00FA338B">
        <w:rPr>
          <w:lang w:eastAsia="zh-CN"/>
        </w:rPr>
        <w:t xml:space="preserve">unicast transmission and/or </w:t>
      </w:r>
      <w:r w:rsidR="008657AF">
        <w:rPr>
          <w:lang w:eastAsia="zh-CN"/>
        </w:rPr>
        <w:t>broadcast NPDCCH and NPDSCH on the non-anchor carrier. Since NB-IoT TDD is designed from the scratch, there is no backward combability issue. It is therefore preferred to support the non-linear scrambling for NPDCCH/NPDSCH on both anchor and non-anchor carrier</w:t>
      </w:r>
      <w:r w:rsidR="00597147">
        <w:rPr>
          <w:lang w:eastAsia="zh-CN"/>
        </w:rPr>
        <w:t xml:space="preserve">, e.g., for </w:t>
      </w:r>
      <w:r w:rsidR="005B7102">
        <w:rPr>
          <w:lang w:eastAsia="zh-CN"/>
        </w:rPr>
        <w:t>transmi</w:t>
      </w:r>
      <w:r w:rsidR="00597147">
        <w:rPr>
          <w:lang w:eastAsia="zh-CN"/>
        </w:rPr>
        <w:t xml:space="preserve">ssion of </w:t>
      </w:r>
      <w:r w:rsidR="005B7102">
        <w:rPr>
          <w:lang w:eastAsia="zh-CN"/>
        </w:rPr>
        <w:t>system information block, paging, random access and unicast data</w:t>
      </w:r>
      <w:r w:rsidR="008657AF">
        <w:rPr>
          <w:lang w:eastAsia="zh-CN"/>
        </w:rPr>
        <w:t xml:space="preserve">. </w:t>
      </w:r>
      <w:r w:rsidR="005B7102">
        <w:rPr>
          <w:lang w:eastAsia="zh-CN"/>
        </w:rPr>
        <w:t xml:space="preserve">This is desirable </w:t>
      </w:r>
      <w:r w:rsidR="00597147">
        <w:rPr>
          <w:lang w:eastAsia="zh-CN"/>
        </w:rPr>
        <w:t xml:space="preserve">for TDD since the </w:t>
      </w:r>
      <w:r w:rsidR="005B7102">
        <w:rPr>
          <w:lang w:eastAsia="zh-CN"/>
        </w:rPr>
        <w:t xml:space="preserve">interference </w:t>
      </w:r>
      <w:r w:rsidR="00597147">
        <w:rPr>
          <w:lang w:eastAsia="zh-CN"/>
        </w:rPr>
        <w:t xml:space="preserve">issue </w:t>
      </w:r>
      <w:r w:rsidR="005B7102">
        <w:rPr>
          <w:lang w:eastAsia="zh-CN"/>
        </w:rPr>
        <w:t xml:space="preserve">in TDD system is more serious </w:t>
      </w:r>
      <w:r w:rsidR="00597147">
        <w:rPr>
          <w:lang w:eastAsia="zh-CN"/>
        </w:rPr>
        <w:t xml:space="preserve">compared to </w:t>
      </w:r>
      <w:r w:rsidR="005B7102">
        <w:rPr>
          <w:lang w:eastAsia="zh-CN"/>
        </w:rPr>
        <w:t xml:space="preserve">FDD. </w:t>
      </w:r>
    </w:p>
    <w:p w14:paraId="1EEA554A" w14:textId="6894FA2A" w:rsidR="00EE14F2" w:rsidRDefault="00EE14F2" w:rsidP="00EE14F2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interference randomization based on RE level rotation on both anchor and non-anchor carrier shall be supported for TDD.</w:t>
      </w:r>
    </w:p>
    <w:p w14:paraId="364E06D5" w14:textId="77777777" w:rsidR="002E50AC" w:rsidRDefault="002E50AC" w:rsidP="00EE14F2">
      <w:pPr>
        <w:rPr>
          <w:b/>
          <w:lang w:val="en-GB"/>
        </w:rPr>
      </w:pPr>
    </w:p>
    <w:p w14:paraId="12E25E01" w14:textId="152B5506" w:rsidR="00BF22DA" w:rsidRDefault="00BF22DA" w:rsidP="00BF22DA">
      <w:pPr>
        <w:pStyle w:val="Heading1"/>
      </w:pPr>
      <w:r>
        <w:t xml:space="preserve">Repetition and RV cycling </w:t>
      </w:r>
    </w:p>
    <w:p w14:paraId="16CFA074" w14:textId="637A7209" w:rsidR="00BF22DA" w:rsidRDefault="005B7102" w:rsidP="00BF22DA">
      <w:pPr>
        <w:jc w:val="both"/>
        <w:rPr>
          <w:lang w:val="en-GB" w:eastAsia="zh-CN"/>
        </w:rPr>
      </w:pPr>
      <w:r>
        <w:rPr>
          <w:lang w:val="en-GB" w:eastAsia="zh-CN"/>
        </w:rPr>
        <w:t>For FDD, the cyclic repetition is used</w:t>
      </w:r>
      <w:r w:rsidR="00BF22DA">
        <w:rPr>
          <w:lang w:val="en-GB" w:eastAsia="zh-CN"/>
        </w:rPr>
        <w:t xml:space="preserve"> for NPDSCH not carrying BCCH and NPUSCH w</w:t>
      </w:r>
      <w:r w:rsidR="0065184B">
        <w:rPr>
          <w:lang w:val="en-GB" w:eastAsia="zh-CN"/>
        </w:rPr>
        <w:t xml:space="preserve">hen the number of repetition is larger than 1. </w:t>
      </w:r>
      <w:r w:rsidR="00BF22DA">
        <w:rPr>
          <w:lang w:val="en-GB" w:eastAsia="zh-CN"/>
        </w:rPr>
        <w:t>For example, we firstly map a portion of transport block to one subframe/NB-slot, then do up to 4 repetition</w:t>
      </w:r>
      <w:r w:rsidR="00AD215C">
        <w:rPr>
          <w:lang w:val="en-GB" w:eastAsia="zh-CN"/>
        </w:rPr>
        <w:t>s</w:t>
      </w:r>
      <w:r w:rsidR="00BF22DA">
        <w:rPr>
          <w:lang w:val="en-GB" w:eastAsia="zh-CN"/>
        </w:rPr>
        <w:t xml:space="preserve"> before continuing the mapping and then cycle through different RVs before going on with other repetitions. For TDD, there are no</w:t>
      </w:r>
      <w:r w:rsidR="00291204">
        <w:rPr>
          <w:lang w:val="en-GB" w:eastAsia="zh-CN"/>
        </w:rPr>
        <w:t>t</w:t>
      </w:r>
      <w:r w:rsidR="00BF22DA">
        <w:rPr>
          <w:lang w:val="en-GB" w:eastAsia="zh-CN"/>
        </w:rPr>
        <w:t xml:space="preserve"> </w:t>
      </w:r>
      <w:r w:rsidR="00BF22DA">
        <w:rPr>
          <w:lang w:val="en-GB" w:eastAsia="zh-CN"/>
        </w:rPr>
        <w:lastRenderedPageBreak/>
        <w:t xml:space="preserve">too many continuous UL or DL subframes, </w:t>
      </w:r>
      <w:r w:rsidR="00291204">
        <w:rPr>
          <w:lang w:val="en-GB" w:eastAsia="zh-CN"/>
        </w:rPr>
        <w:t xml:space="preserve">and </w:t>
      </w:r>
      <w:r w:rsidR="00BF22DA">
        <w:rPr>
          <w:lang w:val="en-GB" w:eastAsia="zh-CN"/>
        </w:rPr>
        <w:t xml:space="preserve">the </w:t>
      </w:r>
      <w:r w:rsidR="00AD215C">
        <w:rPr>
          <w:lang w:val="en-GB" w:eastAsia="zh-CN"/>
        </w:rPr>
        <w:t xml:space="preserve">transmission duration over the </w:t>
      </w:r>
      <w:r w:rsidR="00BF22DA">
        <w:rPr>
          <w:lang w:val="en-GB" w:eastAsia="zh-CN"/>
        </w:rPr>
        <w:t>four subframes/NB</w:t>
      </w:r>
      <w:r w:rsidR="00AD215C">
        <w:rPr>
          <w:lang w:val="en-GB" w:eastAsia="zh-CN"/>
        </w:rPr>
        <w:t xml:space="preserve">-slots can be large. The gap between discontinuous transmission may come with large frequency tracking error </w:t>
      </w:r>
      <w:r w:rsidR="00291204">
        <w:rPr>
          <w:lang w:val="en-GB" w:eastAsia="zh-CN"/>
        </w:rPr>
        <w:t>to</w:t>
      </w:r>
      <w:r w:rsidR="00AD215C">
        <w:rPr>
          <w:lang w:val="en-GB" w:eastAsia="zh-CN"/>
        </w:rPr>
        <w:t xml:space="preserve"> preclud</w:t>
      </w:r>
      <w:r w:rsidR="00291204">
        <w:rPr>
          <w:lang w:val="en-GB" w:eastAsia="zh-CN"/>
        </w:rPr>
        <w:t>e</w:t>
      </w:r>
      <w:r w:rsidR="00AD215C">
        <w:rPr>
          <w:lang w:val="en-GB" w:eastAsia="zh-CN"/>
        </w:rPr>
        <w:t xml:space="preserve"> symbol level combination for cyclic repetition. Furthermore, if NPDSCH </w:t>
      </w:r>
      <w:r w:rsidR="00291204">
        <w:rPr>
          <w:lang w:val="en-GB" w:eastAsia="zh-CN"/>
        </w:rPr>
        <w:t>is</w:t>
      </w:r>
      <w:r w:rsidR="00AD215C">
        <w:rPr>
          <w:lang w:val="en-GB" w:eastAsia="zh-CN"/>
        </w:rPr>
        <w:t xml:space="preserve"> presented in the special subframe, identical repetition between adjacent normal and special subframes is har</w:t>
      </w:r>
      <w:r w:rsidR="00291204">
        <w:rPr>
          <w:lang w:val="en-GB" w:eastAsia="zh-CN"/>
        </w:rPr>
        <w:t>d</w:t>
      </w:r>
      <w:r w:rsidR="00AD215C">
        <w:rPr>
          <w:lang w:val="en-GB" w:eastAsia="zh-CN"/>
        </w:rPr>
        <w:t xml:space="preserve"> to be achieved due to potential</w:t>
      </w:r>
      <w:r w:rsidR="00291204">
        <w:rPr>
          <w:lang w:val="en-GB" w:eastAsia="zh-CN"/>
        </w:rPr>
        <w:t>ly</w:t>
      </w:r>
      <w:r w:rsidR="00AD215C">
        <w:rPr>
          <w:lang w:val="en-GB" w:eastAsia="zh-CN"/>
        </w:rPr>
        <w:t xml:space="preserve"> different NRS pattern and the start symbol position. </w:t>
      </w:r>
      <w:r w:rsidR="006A1B25">
        <w:rPr>
          <w:lang w:val="en-GB" w:eastAsia="zh-CN"/>
        </w:rPr>
        <w:t xml:space="preserve">For </w:t>
      </w:r>
      <w:r w:rsidR="002E50AC">
        <w:rPr>
          <w:lang w:val="en-GB" w:eastAsia="zh-CN"/>
        </w:rPr>
        <w:t>a small</w:t>
      </w:r>
      <w:r w:rsidR="006A1B25">
        <w:rPr>
          <w:lang w:val="en-GB" w:eastAsia="zh-CN"/>
        </w:rPr>
        <w:t xml:space="preserve"> number of repetition</w:t>
      </w:r>
      <w:r w:rsidR="002E50AC">
        <w:rPr>
          <w:lang w:val="en-GB" w:eastAsia="zh-CN"/>
        </w:rPr>
        <w:t>s, i.e., 2 or 4, t</w:t>
      </w:r>
      <w:r w:rsidR="00AD215C">
        <w:rPr>
          <w:lang w:val="en-GB" w:eastAsia="zh-CN"/>
        </w:rPr>
        <w:t xml:space="preserve">he </w:t>
      </w:r>
      <w:r w:rsidR="002E50AC">
        <w:rPr>
          <w:lang w:val="en-GB" w:eastAsia="zh-CN"/>
        </w:rPr>
        <w:t xml:space="preserve">usage </w:t>
      </w:r>
      <w:r w:rsidR="00AD215C">
        <w:rPr>
          <w:lang w:val="en-GB" w:eastAsia="zh-CN"/>
        </w:rPr>
        <w:t xml:space="preserve">of cyclic repetition </w:t>
      </w:r>
      <w:r w:rsidR="002E50AC">
        <w:rPr>
          <w:lang w:val="en-GB" w:eastAsia="zh-CN"/>
        </w:rPr>
        <w:t xml:space="preserve">will preclude RV cycling and </w:t>
      </w:r>
      <w:r w:rsidR="00AD215C">
        <w:rPr>
          <w:lang w:val="en-GB" w:eastAsia="zh-CN"/>
        </w:rPr>
        <w:t xml:space="preserve">the performance </w:t>
      </w:r>
      <w:r w:rsidR="002E50AC">
        <w:rPr>
          <w:lang w:val="en-GB" w:eastAsia="zh-CN"/>
        </w:rPr>
        <w:t xml:space="preserve">is degraded </w:t>
      </w:r>
      <w:r w:rsidR="00AD215C">
        <w:rPr>
          <w:lang w:val="en-GB" w:eastAsia="zh-CN"/>
        </w:rPr>
        <w:t xml:space="preserve">due to the increased coding rate </w:t>
      </w:r>
      <w:r w:rsidR="002E50AC">
        <w:rPr>
          <w:lang w:val="en-GB" w:eastAsia="zh-CN"/>
        </w:rPr>
        <w:t>compared to the case not using the cyclic repetition</w:t>
      </w:r>
      <w:r w:rsidR="00AD215C">
        <w:rPr>
          <w:lang w:val="en-GB" w:eastAsia="zh-CN"/>
        </w:rPr>
        <w:t>.</w:t>
      </w:r>
    </w:p>
    <w:p w14:paraId="4C406E63" w14:textId="0316673F" w:rsidR="00BF22DA" w:rsidRDefault="00AD215C" w:rsidP="00AD215C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3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The </w:t>
      </w:r>
      <w:r w:rsidR="002E50AC">
        <w:rPr>
          <w:b/>
          <w:lang w:val="en-GB"/>
        </w:rPr>
        <w:t xml:space="preserve">support of </w:t>
      </w:r>
      <w:r>
        <w:rPr>
          <w:b/>
          <w:lang w:val="en-GB"/>
        </w:rPr>
        <w:t xml:space="preserve">cyclic repetition </w:t>
      </w:r>
      <w:r w:rsidR="002E50AC">
        <w:rPr>
          <w:b/>
          <w:lang w:val="en-GB"/>
        </w:rPr>
        <w:t xml:space="preserve">can be configurable </w:t>
      </w:r>
      <w:r>
        <w:rPr>
          <w:b/>
          <w:lang w:val="en-GB"/>
        </w:rPr>
        <w:t>for NB-IoT TDD.</w:t>
      </w:r>
    </w:p>
    <w:p w14:paraId="7939DE2E" w14:textId="59C8C8D5" w:rsidR="005B7102" w:rsidRDefault="005B7102" w:rsidP="005B7102">
      <w:pPr>
        <w:pStyle w:val="Heading1"/>
      </w:pPr>
      <w:r>
        <w:t xml:space="preserve">Interlacing UL/DL </w:t>
      </w:r>
    </w:p>
    <w:p w14:paraId="63208962" w14:textId="65153445" w:rsidR="00F03745" w:rsidRDefault="00F647CC" w:rsidP="00425F3D">
      <w:pPr>
        <w:jc w:val="both"/>
        <w:rPr>
          <w:lang w:eastAsia="ko-KR"/>
        </w:rPr>
      </w:pPr>
      <w:r>
        <w:rPr>
          <w:lang w:eastAsia="ko-KR"/>
        </w:rPr>
        <w:t>Currently in FDD, DL and UL transmissions will not be scheduled in parallel, i.e. if a DL transmission has been scheduled an UL transmission shall not be scheduled until HARQ RTT Timer of the DL HARQ process has expired (and vice versa)</w:t>
      </w:r>
      <w:r w:rsidR="00F03745">
        <w:rPr>
          <w:lang w:eastAsia="ko-KR"/>
        </w:rPr>
        <w:t xml:space="preserve"> as shown in Figure 1</w:t>
      </w:r>
      <w:r>
        <w:rPr>
          <w:lang w:eastAsia="ko-KR"/>
        </w:rPr>
        <w:t xml:space="preserve">. </w:t>
      </w:r>
      <w:r w:rsidR="00425F3D">
        <w:rPr>
          <w:lang w:eastAsia="ko-KR"/>
        </w:rPr>
        <w:t xml:space="preserve">For TDD, </w:t>
      </w:r>
      <w:r w:rsidR="00A55377">
        <w:rPr>
          <w:lang w:eastAsia="ko-KR"/>
        </w:rPr>
        <w:t xml:space="preserve">the support of </w:t>
      </w:r>
      <w:r w:rsidR="00425F3D">
        <w:rPr>
          <w:lang w:eastAsia="ko-KR"/>
        </w:rPr>
        <w:t xml:space="preserve">parallel DL and UL transmission </w:t>
      </w:r>
      <w:r w:rsidR="00281204">
        <w:rPr>
          <w:lang w:eastAsia="ko-KR"/>
        </w:rPr>
        <w:t xml:space="preserve">was agreed </w:t>
      </w:r>
      <w:r w:rsidR="00425F3D">
        <w:rPr>
          <w:lang w:eastAsia="ko-KR"/>
        </w:rPr>
        <w:t xml:space="preserve">in last RAN1 meeting. </w:t>
      </w:r>
      <w:r w:rsidR="00425F3D" w:rsidRPr="007E6E99">
        <w:t>A 2-HARQ capable UE configured with 2 HARQ processes can be scheduled to transmit in UL subframes that occur during a DL reception, and receive in DL subframes that occur during a UL transmission</w:t>
      </w:r>
      <w:r w:rsidR="00425F3D">
        <w:rPr>
          <w:lang w:eastAsia="ko-KR"/>
        </w:rPr>
        <w:t xml:space="preserve">. </w:t>
      </w:r>
      <w:r w:rsidR="00555256">
        <w:rPr>
          <w:lang w:eastAsia="ko-KR"/>
        </w:rPr>
        <w:t>The benefit of interlacing DL and UL transmission is to r</w:t>
      </w:r>
      <w:r w:rsidR="00555256" w:rsidRPr="00291204">
        <w:rPr>
          <w:lang w:eastAsia="ko-KR"/>
        </w:rPr>
        <w:t>educe the transmission latency</w:t>
      </w:r>
      <w:r w:rsidR="00555256">
        <w:rPr>
          <w:lang w:eastAsia="ko-KR"/>
        </w:rPr>
        <w:t xml:space="preserve"> when UE is required to transmit and receive the packet in both directions. </w:t>
      </w:r>
    </w:p>
    <w:p w14:paraId="60664E94" w14:textId="40FDD515" w:rsidR="009B23BB" w:rsidRDefault="00F03745" w:rsidP="009B23BB">
      <w:pPr>
        <w:jc w:val="center"/>
        <w:rPr>
          <w:rFonts w:eastAsia="Malgun Gothic"/>
          <w:lang w:eastAsia="ko-KR"/>
        </w:rPr>
      </w:pPr>
      <w:r w:rsidRPr="00F03745">
        <w:rPr>
          <w:noProof/>
        </w:rPr>
        <w:drawing>
          <wp:inline distT="0" distB="0" distL="0" distR="0" wp14:anchorId="5FC9AFE2" wp14:editId="5E2C643C">
            <wp:extent cx="6332220" cy="99815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998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32D85" w14:textId="4F2763FC" w:rsidR="00F03745" w:rsidRPr="000462D3" w:rsidRDefault="00F03745" w:rsidP="00F03745">
      <w:pPr>
        <w:spacing w:after="240"/>
        <w:jc w:val="center"/>
        <w:rPr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>
        <w:rPr>
          <w:b/>
          <w:lang w:val="en-GB" w:eastAsia="zh-CN"/>
        </w:rPr>
        <w:t>1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Non-interlacing DL and UL transmission for FDD</w:t>
      </w:r>
    </w:p>
    <w:p w14:paraId="23400AB2" w14:textId="163FF8BA" w:rsidR="000D3AAD" w:rsidRPr="000D3AAD" w:rsidRDefault="000D3AAD" w:rsidP="000D3AAD">
      <w:pPr>
        <w:jc w:val="both"/>
        <w:rPr>
          <w:lang w:val="en-GB" w:eastAsia="zh-CN"/>
        </w:rPr>
      </w:pPr>
      <w:r w:rsidRPr="000D3AAD">
        <w:rPr>
          <w:rFonts w:hint="eastAsia"/>
          <w:lang w:val="en-GB" w:eastAsia="zh-CN"/>
        </w:rPr>
        <w:t>For</w:t>
      </w:r>
      <w:r w:rsidRPr="000D3AAD">
        <w:rPr>
          <w:lang w:val="en-GB" w:eastAsia="zh-CN"/>
        </w:rPr>
        <w:t xml:space="preserve"> supporting </w:t>
      </w:r>
      <w:r w:rsidR="00425F3D">
        <w:rPr>
          <w:lang w:val="en-GB" w:eastAsia="zh-CN"/>
        </w:rPr>
        <w:t xml:space="preserve">the interleaving UL and </w:t>
      </w:r>
      <w:r w:rsidRPr="000D3AAD">
        <w:rPr>
          <w:lang w:val="en-GB" w:eastAsia="zh-CN"/>
        </w:rPr>
        <w:t>DL</w:t>
      </w:r>
      <w:r w:rsidR="00425F3D">
        <w:rPr>
          <w:lang w:val="en-GB" w:eastAsia="zh-CN"/>
        </w:rPr>
        <w:t xml:space="preserve"> transmission</w:t>
      </w:r>
      <w:r w:rsidRPr="000D3AAD">
        <w:rPr>
          <w:lang w:val="en-GB" w:eastAsia="zh-CN"/>
        </w:rPr>
        <w:t xml:space="preserve">, a couple of issues </w:t>
      </w:r>
      <w:r w:rsidR="00425F3D">
        <w:rPr>
          <w:lang w:val="en-GB" w:eastAsia="zh-CN"/>
        </w:rPr>
        <w:t xml:space="preserve">needs </w:t>
      </w:r>
      <w:r w:rsidRPr="000D3AAD">
        <w:rPr>
          <w:lang w:val="en-GB" w:eastAsia="zh-CN"/>
        </w:rPr>
        <w:t xml:space="preserve">to be </w:t>
      </w:r>
      <w:r w:rsidR="00200C61">
        <w:rPr>
          <w:lang w:val="en-GB" w:eastAsia="zh-CN"/>
        </w:rPr>
        <w:t>discussed</w:t>
      </w:r>
      <w:r w:rsidRPr="000D3AAD">
        <w:rPr>
          <w:lang w:val="en-GB" w:eastAsia="zh-CN"/>
        </w:rPr>
        <w:t>. Firstly, the guard time for UL-</w:t>
      </w:r>
      <w:r>
        <w:rPr>
          <w:lang w:val="en-GB" w:eastAsia="zh-CN"/>
        </w:rPr>
        <w:t>to-</w:t>
      </w:r>
      <w:r w:rsidRPr="000D3AAD">
        <w:rPr>
          <w:lang w:val="en-GB" w:eastAsia="zh-CN"/>
        </w:rPr>
        <w:t>DL or DL-</w:t>
      </w:r>
      <w:r>
        <w:rPr>
          <w:lang w:val="en-GB" w:eastAsia="zh-CN"/>
        </w:rPr>
        <w:t>to-</w:t>
      </w:r>
      <w:r w:rsidRPr="000D3AAD">
        <w:rPr>
          <w:lang w:val="en-GB" w:eastAsia="zh-CN"/>
        </w:rPr>
        <w:t>UL switching shall be defined. For FDD, the switching time is 1ms due to different bands</w:t>
      </w:r>
      <w:r w:rsidR="00291204">
        <w:rPr>
          <w:lang w:val="en-GB" w:eastAsia="zh-CN"/>
        </w:rPr>
        <w:t xml:space="preserve"> for UL and DL</w:t>
      </w:r>
      <w:r w:rsidRPr="000D3AAD">
        <w:rPr>
          <w:lang w:val="en-GB" w:eastAsia="zh-CN"/>
        </w:rPr>
        <w:t xml:space="preserve">. If </w:t>
      </w:r>
      <w:r w:rsidR="00291204">
        <w:rPr>
          <w:lang w:val="en-GB" w:eastAsia="zh-CN"/>
        </w:rPr>
        <w:t xml:space="preserve">1ms </w:t>
      </w:r>
      <w:r>
        <w:rPr>
          <w:lang w:val="en-GB" w:eastAsia="zh-CN"/>
        </w:rPr>
        <w:t xml:space="preserve">is </w:t>
      </w:r>
      <w:r w:rsidR="00291204">
        <w:rPr>
          <w:lang w:val="en-GB" w:eastAsia="zh-CN"/>
        </w:rPr>
        <w:t>also assumed</w:t>
      </w:r>
      <w:r>
        <w:rPr>
          <w:lang w:val="en-GB" w:eastAsia="zh-CN"/>
        </w:rPr>
        <w:t xml:space="preserve"> for TDD then it may not be very </w:t>
      </w:r>
      <w:r w:rsidRPr="000D3AAD">
        <w:rPr>
          <w:lang w:val="en-GB" w:eastAsia="zh-CN"/>
        </w:rPr>
        <w:t>advantage</w:t>
      </w:r>
      <w:r>
        <w:rPr>
          <w:lang w:val="en-GB" w:eastAsia="zh-CN"/>
        </w:rPr>
        <w:t>ou</w:t>
      </w:r>
      <w:r w:rsidRPr="000D3AAD">
        <w:rPr>
          <w:lang w:val="en-GB" w:eastAsia="zh-CN"/>
        </w:rPr>
        <w:t xml:space="preserve">s </w:t>
      </w:r>
      <w:r>
        <w:rPr>
          <w:lang w:val="en-GB" w:eastAsia="zh-CN"/>
        </w:rPr>
        <w:t xml:space="preserve">to support </w:t>
      </w:r>
      <w:r w:rsidRPr="000D3AAD">
        <w:rPr>
          <w:lang w:val="en-GB" w:eastAsia="zh-CN"/>
        </w:rPr>
        <w:t xml:space="preserve">interlacing UL/DL transmission since two subframes </w:t>
      </w:r>
      <w:r>
        <w:rPr>
          <w:lang w:val="en-GB" w:eastAsia="zh-CN"/>
        </w:rPr>
        <w:t xml:space="preserve">per radio frame </w:t>
      </w:r>
      <w:r w:rsidR="00291204">
        <w:rPr>
          <w:lang w:val="en-GB" w:eastAsia="zh-CN"/>
        </w:rPr>
        <w:t xml:space="preserve">have to be reserved </w:t>
      </w:r>
      <w:r w:rsidRPr="000D3AAD">
        <w:rPr>
          <w:lang w:val="en-GB" w:eastAsia="zh-CN"/>
        </w:rPr>
        <w:t xml:space="preserve">for switching. </w:t>
      </w:r>
      <w:r w:rsidR="00425F3D">
        <w:rPr>
          <w:lang w:val="en-GB" w:eastAsia="zh-CN"/>
        </w:rPr>
        <w:t>I</w:t>
      </w:r>
      <w:r>
        <w:rPr>
          <w:lang w:val="en-GB" w:eastAsia="zh-CN"/>
        </w:rPr>
        <w:t xml:space="preserve">f UL and DL are on the same carrier, we think the switching time can be reduced, such as 2-symbols </w:t>
      </w:r>
      <w:r w:rsidR="00291204">
        <w:rPr>
          <w:lang w:val="en-GB" w:eastAsia="zh-CN"/>
        </w:rPr>
        <w:t xml:space="preserve">as </w:t>
      </w:r>
      <w:r>
        <w:rPr>
          <w:lang w:val="en-GB" w:eastAsia="zh-CN"/>
        </w:rPr>
        <w:t xml:space="preserve">in </w:t>
      </w:r>
      <w:proofErr w:type="spellStart"/>
      <w:r>
        <w:rPr>
          <w:lang w:val="en-GB" w:eastAsia="zh-CN"/>
        </w:rPr>
        <w:t>eMTC</w:t>
      </w:r>
      <w:proofErr w:type="spellEnd"/>
      <w:r>
        <w:rPr>
          <w:lang w:val="en-GB" w:eastAsia="zh-CN"/>
        </w:rPr>
        <w:t xml:space="preserve">. </w:t>
      </w:r>
      <w:r w:rsidR="00425F3D">
        <w:rPr>
          <w:lang w:val="en-GB" w:eastAsia="zh-CN"/>
        </w:rPr>
        <w:t xml:space="preserve">Therefore, it is preferable to configure interlacing UL/DL transmission only </w:t>
      </w:r>
      <w:r w:rsidR="000E3A1F">
        <w:rPr>
          <w:lang w:val="en-GB" w:eastAsia="zh-CN"/>
        </w:rPr>
        <w:t>when</w:t>
      </w:r>
      <w:r w:rsidR="00425F3D">
        <w:rPr>
          <w:lang w:val="en-GB" w:eastAsia="zh-CN"/>
        </w:rPr>
        <w:t xml:space="preserve"> </w:t>
      </w:r>
      <w:r w:rsidR="00A55377">
        <w:rPr>
          <w:lang w:val="en-GB" w:eastAsia="zh-CN"/>
        </w:rPr>
        <w:t xml:space="preserve">the </w:t>
      </w:r>
      <w:r w:rsidR="00425F3D">
        <w:rPr>
          <w:lang w:val="en-GB" w:eastAsia="zh-CN"/>
        </w:rPr>
        <w:t>UL</w:t>
      </w:r>
      <w:r w:rsidR="000E3A1F">
        <w:rPr>
          <w:lang w:val="en-GB" w:eastAsia="zh-CN"/>
        </w:rPr>
        <w:t xml:space="preserve"> and </w:t>
      </w:r>
      <w:r w:rsidR="00425F3D">
        <w:rPr>
          <w:lang w:val="en-GB" w:eastAsia="zh-CN"/>
        </w:rPr>
        <w:t xml:space="preserve">DL </w:t>
      </w:r>
      <w:r w:rsidR="000E3A1F">
        <w:rPr>
          <w:lang w:val="en-GB" w:eastAsia="zh-CN"/>
        </w:rPr>
        <w:t xml:space="preserve">are </w:t>
      </w:r>
      <w:r w:rsidR="00425F3D">
        <w:rPr>
          <w:lang w:val="en-GB" w:eastAsia="zh-CN"/>
        </w:rPr>
        <w:t>on the same carrier.</w:t>
      </w:r>
    </w:p>
    <w:p w14:paraId="25F9EF4C" w14:textId="28976B97" w:rsidR="00546967" w:rsidRDefault="00200C61" w:rsidP="00200C61">
      <w:pPr>
        <w:jc w:val="both"/>
        <w:rPr>
          <w:lang w:val="en-GB" w:eastAsia="zh-CN"/>
        </w:rPr>
      </w:pPr>
      <w:r w:rsidRPr="00200C61">
        <w:rPr>
          <w:lang w:val="en-GB" w:eastAsia="zh-CN"/>
        </w:rPr>
        <w:t xml:space="preserve">Secondly, there </w:t>
      </w:r>
      <w:r w:rsidR="00425F3D">
        <w:rPr>
          <w:lang w:val="en-GB" w:eastAsia="zh-CN"/>
        </w:rPr>
        <w:t xml:space="preserve">is potential channel collision in case of interlacing UL/DL transmission. For example, the HARQ-ACK feedback for a DL HARQ process may collide with UL NPUSCH data transmission. </w:t>
      </w:r>
      <w:r w:rsidR="00546967">
        <w:rPr>
          <w:lang w:val="en-GB" w:eastAsia="zh-CN"/>
        </w:rPr>
        <w:t xml:space="preserve">Similarly, the NPDCCH for a UL HARQ process may collide with a DL NPDSCH. Although it is possible to define some rules for collision handling, the required specification efforts may be too much. Also, implementation complexity </w:t>
      </w:r>
      <w:r w:rsidR="00A55377">
        <w:rPr>
          <w:lang w:val="en-GB" w:eastAsia="zh-CN"/>
        </w:rPr>
        <w:t xml:space="preserve">may be too high for UE to support all the channel combinations of interlacing UL/DL transmission. A down-selection is required. </w:t>
      </w:r>
    </w:p>
    <w:p w14:paraId="5086D3C2" w14:textId="54FE04F5" w:rsidR="00F03745" w:rsidRPr="00200C61" w:rsidRDefault="00A55377" w:rsidP="00A5537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Currently in FDD, a 2-HARQ capable UE configured with 2 HARQ processes can continue to monitor a second NPDCCH until the start of the first NPDSCH/NPUSCH transmission. This can be extended for interlacing UL/DL transmission in TDD, i.e., interlacing UL/DL grant before the start of the first NPDSCH/NPUSCH transmission. In such case, the second NPDCCH may be different from the first NPDCCH, i.e., one for DL grant and the other for UL. The interlacing UL/DL grant can be easily supported for the 2-HARQ capable UE. </w:t>
      </w:r>
    </w:p>
    <w:p w14:paraId="715B2E0E" w14:textId="6E6A42B1" w:rsidR="00555256" w:rsidRDefault="00555256" w:rsidP="00555256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FF5113">
        <w:rPr>
          <w:b/>
          <w:u w:val="single"/>
          <w:lang w:val="en-GB"/>
        </w:rPr>
        <w:t>4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Interlacing DL and UL transmission </w:t>
      </w:r>
      <w:r w:rsidR="00A55377">
        <w:rPr>
          <w:b/>
          <w:lang w:val="en-GB"/>
        </w:rPr>
        <w:t>is configured only when UL and DL are on the same carrier</w:t>
      </w:r>
      <w:r w:rsidR="00A70C31">
        <w:rPr>
          <w:b/>
          <w:lang w:val="en-GB"/>
        </w:rPr>
        <w:t>.</w:t>
      </w:r>
    </w:p>
    <w:p w14:paraId="1D314FF5" w14:textId="6E870E01" w:rsidR="002E50AC" w:rsidRDefault="00A55377" w:rsidP="00555256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5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Interlacing DL and UL grant shall be supported at least for the 2-HARQ capable UE configured with 2 HARQ processes. </w:t>
      </w:r>
    </w:p>
    <w:p w14:paraId="66D40F8B" w14:textId="32FBF94D" w:rsidR="005B7102" w:rsidRDefault="005B7102" w:rsidP="005B7102">
      <w:pPr>
        <w:pStyle w:val="Heading1"/>
      </w:pPr>
      <w:r>
        <w:t xml:space="preserve">Cross-carrier scheduling </w:t>
      </w:r>
    </w:p>
    <w:p w14:paraId="1D36C443" w14:textId="4A263F76" w:rsidR="004736EE" w:rsidRDefault="005B7102" w:rsidP="00E713DD">
      <w:pPr>
        <w:jc w:val="both"/>
        <w:rPr>
          <w:lang w:val="en-GB" w:eastAsia="zh-CN"/>
        </w:rPr>
      </w:pPr>
      <w:r w:rsidRPr="00E713DD">
        <w:rPr>
          <w:lang w:val="en-GB" w:eastAsia="zh-CN"/>
        </w:rPr>
        <w:t xml:space="preserve">Currently in FDD, </w:t>
      </w:r>
      <w:r w:rsidR="00A70C31" w:rsidRPr="00E713DD">
        <w:rPr>
          <w:lang w:val="en-GB" w:eastAsia="zh-CN"/>
        </w:rPr>
        <w:t xml:space="preserve">NPDCCH and NPDSCH are transmitted on the same carrier. When NPDSCH is transmitted over a long duration, other UEs on that carrier may not be scheduled. Although the DL transmission gap is introduced for solving this problem, </w:t>
      </w:r>
      <w:r w:rsidR="004736EE" w:rsidRPr="00E713DD">
        <w:rPr>
          <w:lang w:val="en-GB" w:eastAsia="zh-CN"/>
        </w:rPr>
        <w:t xml:space="preserve">it can only serve a UE in good coverage. Similarly, configuring multiple carriers can only mitigate the issue a bit </w:t>
      </w:r>
      <w:r w:rsidR="004736EE" w:rsidRPr="00E713DD">
        <w:rPr>
          <w:lang w:val="en-GB" w:eastAsia="zh-CN"/>
        </w:rPr>
        <w:lastRenderedPageBreak/>
        <w:t xml:space="preserve">but trunking efficiency isn’t </w:t>
      </w:r>
      <w:r w:rsidR="00EE14F2">
        <w:rPr>
          <w:lang w:val="en-GB" w:eastAsia="zh-CN"/>
        </w:rPr>
        <w:t>improved</w:t>
      </w:r>
      <w:r w:rsidR="004736EE" w:rsidRPr="00E713DD">
        <w:rPr>
          <w:lang w:val="en-GB" w:eastAsia="zh-CN"/>
        </w:rPr>
        <w:t xml:space="preserve">. </w:t>
      </w:r>
      <w:r w:rsidR="000F4665" w:rsidRPr="00E713DD">
        <w:rPr>
          <w:lang w:val="en-GB" w:eastAsia="zh-CN"/>
        </w:rPr>
        <w:t>The cross-</w:t>
      </w:r>
      <w:r w:rsidR="00E713DD" w:rsidRPr="00E713DD">
        <w:rPr>
          <w:lang w:val="en-GB" w:eastAsia="zh-CN"/>
        </w:rPr>
        <w:t xml:space="preserve">carrier scheduling which may </w:t>
      </w:r>
      <w:r w:rsidR="00EE14F2">
        <w:rPr>
          <w:lang w:val="en-GB" w:eastAsia="zh-CN"/>
        </w:rPr>
        <w:t>allow</w:t>
      </w:r>
      <w:r w:rsidR="00E713DD" w:rsidRPr="00E713DD">
        <w:rPr>
          <w:lang w:val="en-GB" w:eastAsia="zh-CN"/>
        </w:rPr>
        <w:t xml:space="preserve"> NPDCCH o</w:t>
      </w:r>
      <w:r w:rsidR="00EE14F2">
        <w:rPr>
          <w:lang w:val="en-GB" w:eastAsia="zh-CN"/>
        </w:rPr>
        <w:t xml:space="preserve">n one carrier and NPDSCH on the other </w:t>
      </w:r>
      <w:r w:rsidR="00E713DD" w:rsidRPr="00E713DD">
        <w:rPr>
          <w:lang w:val="en-GB" w:eastAsia="zh-CN"/>
        </w:rPr>
        <w:t xml:space="preserve">carrier is thus proposed. </w:t>
      </w:r>
      <w:r w:rsidR="00E713DD">
        <w:rPr>
          <w:lang w:val="en-GB" w:eastAsia="zh-CN"/>
        </w:rPr>
        <w:t>The similar concept has been used for DL CA in LTE.</w:t>
      </w:r>
    </w:p>
    <w:p w14:paraId="7A150CAD" w14:textId="219F7F8F" w:rsidR="007C19D4" w:rsidRDefault="00E713DD" w:rsidP="00E713DD">
      <w:pPr>
        <w:jc w:val="both"/>
        <w:rPr>
          <w:lang w:eastAsia="zh-CN"/>
        </w:rPr>
      </w:pPr>
      <w:r>
        <w:rPr>
          <w:rFonts w:hint="eastAsia"/>
          <w:lang w:val="en-GB" w:eastAsia="zh-CN"/>
        </w:rPr>
        <w:t xml:space="preserve">A simple </w:t>
      </w:r>
      <w:r w:rsidR="00EE14F2">
        <w:rPr>
          <w:lang w:val="en-GB" w:eastAsia="zh-CN"/>
        </w:rPr>
        <w:t>way to implement</w:t>
      </w:r>
      <w:r>
        <w:rPr>
          <w:rFonts w:hint="eastAsia"/>
          <w:lang w:val="en-GB" w:eastAsia="zh-CN"/>
        </w:rPr>
        <w:t xml:space="preserve"> cross-carrier scheduling is to assign two different carriers for NPDCCH and NPDSCH so that NPDSCH is </w:t>
      </w:r>
      <w:r>
        <w:rPr>
          <w:lang w:val="en-GB" w:eastAsia="zh-CN"/>
        </w:rPr>
        <w:t xml:space="preserve">always on a different carrier than NPDCCH. In such case, the DCI is not changed and the required specification effort is small except for RRC signalling of </w:t>
      </w:r>
      <w:r w:rsidR="00EE14F2">
        <w:rPr>
          <w:lang w:val="en-GB" w:eastAsia="zh-CN"/>
        </w:rPr>
        <w:t>one additional</w:t>
      </w:r>
      <w:r>
        <w:rPr>
          <w:lang w:val="en-GB" w:eastAsia="zh-CN"/>
        </w:rPr>
        <w:t xml:space="preserve"> carrier. However, this approach provides little flexibility for the scheduler. An improvement is to use </w:t>
      </w:r>
      <w:r w:rsidR="009904D0">
        <w:rPr>
          <w:lang w:val="en-GB" w:eastAsia="zh-CN"/>
        </w:rPr>
        <w:t xml:space="preserve">a field in </w:t>
      </w:r>
      <w:r>
        <w:rPr>
          <w:lang w:val="en-GB" w:eastAsia="zh-CN"/>
        </w:rPr>
        <w:t xml:space="preserve">DCI to dynamically indicate the carrier for NPDSCH. </w:t>
      </w:r>
      <w:r w:rsidR="00F70537" w:rsidRPr="00E713DD">
        <w:rPr>
          <w:lang w:eastAsia="zh-CN"/>
        </w:rPr>
        <w:t xml:space="preserve">This field may be different depending on the number of carriers. For example, if we have 1 carrier for cross-carrier scheduling, 1 bit is </w:t>
      </w:r>
      <w:r w:rsidR="009904D0">
        <w:rPr>
          <w:lang w:eastAsia="zh-CN"/>
        </w:rPr>
        <w:t>added to DCI</w:t>
      </w:r>
      <w:r w:rsidR="00F70537" w:rsidRPr="00E713DD">
        <w:rPr>
          <w:lang w:eastAsia="zh-CN"/>
        </w:rPr>
        <w:t xml:space="preserve">. If we have 3 carriers, </w:t>
      </w:r>
      <w:r w:rsidR="009904D0">
        <w:rPr>
          <w:lang w:eastAsia="zh-CN"/>
        </w:rPr>
        <w:t xml:space="preserve">then </w:t>
      </w:r>
      <w:r w:rsidR="00F70537" w:rsidRPr="00E713DD">
        <w:rPr>
          <w:lang w:eastAsia="zh-CN"/>
        </w:rPr>
        <w:t>2 bits are enough.</w:t>
      </w:r>
      <w:r w:rsidR="009904D0">
        <w:rPr>
          <w:lang w:eastAsia="zh-CN"/>
        </w:rPr>
        <w:t xml:space="preserve"> The disadvantage of this approach is the increased DCI payload size and only </w:t>
      </w:r>
      <w:r w:rsidR="00EE14F2">
        <w:rPr>
          <w:lang w:eastAsia="zh-CN"/>
        </w:rPr>
        <w:t>for</w:t>
      </w:r>
      <w:r w:rsidR="009904D0">
        <w:rPr>
          <w:lang w:eastAsia="zh-CN"/>
        </w:rPr>
        <w:t xml:space="preserve"> NPDCCH mapped to UE specific search space. </w:t>
      </w:r>
    </w:p>
    <w:p w14:paraId="793B426F" w14:textId="34865D9B" w:rsidR="009904D0" w:rsidRDefault="009904D0" w:rsidP="009904D0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616AA9">
        <w:rPr>
          <w:b/>
          <w:u w:val="single"/>
          <w:lang w:val="en-GB"/>
        </w:rPr>
        <w:t>6</w:t>
      </w:r>
      <w:r w:rsidRPr="005648A0">
        <w:rPr>
          <w:b/>
          <w:lang w:val="en-GB"/>
        </w:rPr>
        <w:t xml:space="preserve">: </w:t>
      </w:r>
      <w:r w:rsidR="00616AA9">
        <w:rPr>
          <w:b/>
          <w:lang w:val="en-GB"/>
        </w:rPr>
        <w:t>At least RRC configured c</w:t>
      </w:r>
      <w:r>
        <w:rPr>
          <w:b/>
          <w:lang w:val="en-GB"/>
        </w:rPr>
        <w:t xml:space="preserve">ross-carrier scheduling </w:t>
      </w:r>
      <w:r w:rsidR="00616AA9">
        <w:rPr>
          <w:b/>
          <w:lang w:val="en-GB"/>
        </w:rPr>
        <w:t>is s</w:t>
      </w:r>
      <w:r>
        <w:rPr>
          <w:b/>
          <w:lang w:val="en-GB"/>
        </w:rPr>
        <w:t>upporte</w:t>
      </w:r>
      <w:r w:rsidR="00616AA9">
        <w:rPr>
          <w:b/>
          <w:lang w:val="en-GB"/>
        </w:rPr>
        <w:t>d for NB-IoT TDD.</w:t>
      </w:r>
    </w:p>
    <w:p w14:paraId="1DF4FFC7" w14:textId="7A7AF350" w:rsidR="00616AA9" w:rsidRDefault="00616AA9" w:rsidP="00616AA9">
      <w:pPr>
        <w:pStyle w:val="Heading1"/>
      </w:pPr>
      <w:r>
        <w:t xml:space="preserve">Additional TDD configurations for standalone </w:t>
      </w:r>
    </w:p>
    <w:p w14:paraId="1AB6F781" w14:textId="0222637C" w:rsidR="00616AA9" w:rsidRDefault="00616AA9" w:rsidP="00616AA9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In last RAN1</w:t>
      </w:r>
      <w:r>
        <w:rPr>
          <w:lang w:val="en-GB" w:eastAsia="zh-CN"/>
        </w:rPr>
        <w:t xml:space="preserve"> meeting, </w:t>
      </w:r>
      <w:r w:rsidRPr="00616AA9">
        <w:rPr>
          <w:lang w:val="en-GB" w:eastAsia="zh-CN"/>
        </w:rPr>
        <w:t>it was agreed that for standalone mode at least the same UL/DL configurations as TDD NB-IoT in-band/guard-band are supported. One remaining issue is whether to have new TDD UL/DL configurations and new special subframe configurations, such as ‘</w:t>
      </w:r>
      <w:proofErr w:type="spellStart"/>
      <w:r w:rsidRPr="00616AA9">
        <w:rPr>
          <w:lang w:val="en-GB" w:eastAsia="zh-CN"/>
        </w:rPr>
        <w:t>DwPTS+GP</w:t>
      </w:r>
      <w:proofErr w:type="spellEnd"/>
      <w:r w:rsidRPr="00616AA9">
        <w:rPr>
          <w:lang w:val="en-GB" w:eastAsia="zh-CN"/>
        </w:rPr>
        <w:t>’ and ‘</w:t>
      </w:r>
      <w:proofErr w:type="spellStart"/>
      <w:r w:rsidRPr="00616AA9">
        <w:rPr>
          <w:lang w:val="en-GB" w:eastAsia="zh-CN"/>
        </w:rPr>
        <w:t>GP+UpPTS</w:t>
      </w:r>
      <w:proofErr w:type="spellEnd"/>
      <w:r w:rsidRPr="00616AA9">
        <w:rPr>
          <w:lang w:val="en-GB" w:eastAsia="zh-CN"/>
        </w:rPr>
        <w:t xml:space="preserve">’ for standalone. </w:t>
      </w:r>
      <w:r>
        <w:rPr>
          <w:lang w:val="en-GB" w:eastAsia="zh-CN"/>
        </w:rPr>
        <w:t xml:space="preserve">One potential motivation for new TDD UL/DL configurations for standalone is to consider forward compatibility, such as coexistence with NR. However, it is noted that NR could have flexible slot formats either semi-static or dynamic configured. For coexistence with NR, it may require also new TDD UL/DL configurations to be more flexible </w:t>
      </w:r>
      <w:r w:rsidR="005526B4">
        <w:rPr>
          <w:lang w:val="en-GB" w:eastAsia="zh-CN"/>
        </w:rPr>
        <w:t xml:space="preserve">which may require too much specification work and may not be possible to complete within Rel-15 timeline. </w:t>
      </w:r>
    </w:p>
    <w:p w14:paraId="75EF5311" w14:textId="72A0D461" w:rsidR="005526B4" w:rsidRDefault="005526B4" w:rsidP="005526B4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7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No new TDD UL/DL configurations and special subframe configurations </w:t>
      </w:r>
      <w:r w:rsidR="000E3A1F">
        <w:rPr>
          <w:b/>
          <w:lang w:val="en-GB"/>
        </w:rPr>
        <w:t>are</w:t>
      </w:r>
      <w:r>
        <w:rPr>
          <w:b/>
          <w:lang w:val="en-GB"/>
        </w:rPr>
        <w:t xml:space="preserve"> supported for standalone in Rel-15.</w:t>
      </w:r>
    </w:p>
    <w:p w14:paraId="130A289D" w14:textId="5776BE87" w:rsidR="00E168E5" w:rsidRDefault="006341FE" w:rsidP="00E168E5">
      <w:pPr>
        <w:pStyle w:val="Heading1"/>
      </w:pPr>
      <w:bookmarkStart w:id="3" w:name="_Ref378529477"/>
      <w:bookmarkStart w:id="4" w:name="_Toc424303267"/>
      <w:bookmarkStart w:id="5" w:name="_Toc425248865"/>
      <w:bookmarkStart w:id="6" w:name="_Toc425344835"/>
      <w:bookmarkStart w:id="7" w:name="_Toc425350726"/>
      <w:bookmarkStart w:id="8" w:name="_Toc425501584"/>
      <w:bookmarkStart w:id="9" w:name="_Toc425504168"/>
      <w:r>
        <w:t>Conclusions</w:t>
      </w:r>
    </w:p>
    <w:bookmarkEnd w:id="3"/>
    <w:bookmarkEnd w:id="4"/>
    <w:bookmarkEnd w:id="5"/>
    <w:bookmarkEnd w:id="6"/>
    <w:bookmarkEnd w:id="7"/>
    <w:bookmarkEnd w:id="8"/>
    <w:bookmarkEnd w:id="9"/>
    <w:p w14:paraId="72B95BD9" w14:textId="23025D87" w:rsidR="00975ABF" w:rsidRDefault="00975ABF" w:rsidP="00975ABF">
      <w:pPr>
        <w:rPr>
          <w:lang w:val="en-GB"/>
        </w:rPr>
      </w:pPr>
      <w:r>
        <w:rPr>
          <w:lang w:val="en-GB"/>
        </w:rPr>
        <w:t xml:space="preserve">In this </w:t>
      </w:r>
      <w:r w:rsidR="00BE266B">
        <w:rPr>
          <w:lang w:val="en-GB"/>
        </w:rPr>
        <w:t>contribution</w:t>
      </w:r>
      <w:r>
        <w:rPr>
          <w:lang w:val="en-GB"/>
        </w:rPr>
        <w:t xml:space="preserve">, we </w:t>
      </w:r>
      <w:r w:rsidR="00BE266B">
        <w:rPr>
          <w:lang w:val="en-GB"/>
        </w:rPr>
        <w:t>discuss</w:t>
      </w:r>
      <w:r w:rsidR="009904D0">
        <w:rPr>
          <w:lang w:val="en-GB"/>
        </w:rPr>
        <w:t>ed</w:t>
      </w:r>
      <w:r w:rsidR="00BE266B">
        <w:rPr>
          <w:lang w:val="en-GB"/>
        </w:rPr>
        <w:t xml:space="preserve"> the general </w:t>
      </w:r>
      <w:r w:rsidR="009904D0">
        <w:rPr>
          <w:lang w:val="en-GB"/>
        </w:rPr>
        <w:t>design aspects of TDD NB-IoT</w:t>
      </w:r>
      <w:r w:rsidR="00BE266B">
        <w:rPr>
          <w:lang w:val="en-GB"/>
        </w:rPr>
        <w:t xml:space="preserve">. We </w:t>
      </w:r>
      <w:r w:rsidR="00077400">
        <w:rPr>
          <w:lang w:val="en-GB"/>
        </w:rPr>
        <w:t>ma</w:t>
      </w:r>
      <w:r w:rsidR="009904D0">
        <w:rPr>
          <w:lang w:val="en-GB"/>
        </w:rPr>
        <w:t>d</w:t>
      </w:r>
      <w:r w:rsidR="00077400">
        <w:rPr>
          <w:lang w:val="en-GB"/>
        </w:rPr>
        <w:t>e the following proposal</w:t>
      </w:r>
      <w:r w:rsidR="003B10DA">
        <w:rPr>
          <w:lang w:val="en-GB"/>
        </w:rPr>
        <w:t>:</w:t>
      </w:r>
    </w:p>
    <w:p w14:paraId="09D6F66D" w14:textId="77777777" w:rsidR="00616AA9" w:rsidRDefault="00616AA9" w:rsidP="00616AA9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1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FDD HARQ timing and scheduling delay values are reused for TDD, but counting of the scheduling delay for UL HARQ-ACK and NPUSCH is based on the number of valid UL subframes.</w:t>
      </w:r>
    </w:p>
    <w:p w14:paraId="668CF4CF" w14:textId="2D1121D4" w:rsidR="009904D0" w:rsidRDefault="009904D0" w:rsidP="009904D0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interference randomization based on RE level rotation on both anchor and non-anchor carrier</w:t>
      </w:r>
      <w:r w:rsidR="00EE14F2">
        <w:rPr>
          <w:b/>
          <w:lang w:val="en-GB"/>
        </w:rPr>
        <w:t xml:space="preserve"> shall be supported for TDD</w:t>
      </w:r>
      <w:r>
        <w:rPr>
          <w:b/>
          <w:lang w:val="en-GB"/>
        </w:rPr>
        <w:t>.</w:t>
      </w:r>
    </w:p>
    <w:p w14:paraId="374BD662" w14:textId="77777777" w:rsidR="009904D0" w:rsidRPr="00AD215C" w:rsidRDefault="009904D0" w:rsidP="009904D0">
      <w:pPr>
        <w:rPr>
          <w:lang w:val="en-GB" w:eastAsia="zh-CN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3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cyclic repetition is not supported for NB-IoT TDD.</w:t>
      </w:r>
    </w:p>
    <w:p w14:paraId="4FCC95F3" w14:textId="77777777" w:rsidR="00616AA9" w:rsidRDefault="00616AA9" w:rsidP="00616AA9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4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Interlacing DL and UL transmission is configured only when UL and DL are on the same carrier.</w:t>
      </w:r>
    </w:p>
    <w:p w14:paraId="76A17346" w14:textId="77777777" w:rsidR="00616AA9" w:rsidRDefault="00616AA9" w:rsidP="00616AA9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5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Interlacing DL and UL grant shall be supported at least for the 2-HARQ capable UE configured with 2 HARQ processes. </w:t>
      </w:r>
    </w:p>
    <w:p w14:paraId="47709FE9" w14:textId="044A6928" w:rsidR="00616AA9" w:rsidRDefault="00616AA9" w:rsidP="00616AA9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6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At least RRC configured cross-carrier scheduling is supported for NB-IoT TDD</w:t>
      </w:r>
    </w:p>
    <w:p w14:paraId="392709B0" w14:textId="131A4287" w:rsidR="005526B4" w:rsidRDefault="005526B4" w:rsidP="005526B4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7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 xml:space="preserve">No new TDD UL/DL configurations and special subframe configurations </w:t>
      </w:r>
      <w:r w:rsidR="000E3A1F">
        <w:rPr>
          <w:b/>
          <w:lang w:val="en-GB"/>
        </w:rPr>
        <w:t>are</w:t>
      </w:r>
      <w:r>
        <w:rPr>
          <w:b/>
          <w:lang w:val="en-GB"/>
        </w:rPr>
        <w:t xml:space="preserve"> supported for standalone in Rel-15.</w:t>
      </w:r>
    </w:p>
    <w:p w14:paraId="26881B4C" w14:textId="77777777" w:rsidR="00E523F3" w:rsidRPr="00956548" w:rsidRDefault="00E523F3" w:rsidP="00E523F3">
      <w:pPr>
        <w:pStyle w:val="Heading1"/>
      </w:pPr>
      <w:r w:rsidRPr="00956548">
        <w:t>References</w:t>
      </w:r>
    </w:p>
    <w:p w14:paraId="49084FD4" w14:textId="77777777" w:rsidR="005526B4" w:rsidRDefault="005526B4" w:rsidP="005526B4">
      <w:r>
        <w:t>[1] 3GPP RAN1#92, Chairman’s notes</w:t>
      </w:r>
    </w:p>
    <w:p w14:paraId="2401CBF6" w14:textId="525A19D1" w:rsidR="007502A5" w:rsidRPr="005526B4" w:rsidRDefault="00956548" w:rsidP="00956548">
      <w:r w:rsidRPr="00956548">
        <w:t>[</w:t>
      </w:r>
      <w:r w:rsidR="005526B4">
        <w:t>2</w:t>
      </w:r>
      <w:r w:rsidRPr="00956548">
        <w:t>] R1-171</w:t>
      </w:r>
      <w:r w:rsidR="008657AF">
        <w:t>4710</w:t>
      </w:r>
      <w:r w:rsidRPr="00956548">
        <w:t>, “</w:t>
      </w:r>
      <w:r w:rsidR="008657AF">
        <w:t>Interference randomization for NPDCCH and NPDSCH</w:t>
      </w:r>
      <w:r w:rsidRPr="00956548">
        <w:t xml:space="preserve"> “, Qualcomm Incorporated</w:t>
      </w:r>
    </w:p>
    <w:sectPr w:rsidR="007502A5" w:rsidRPr="005526B4" w:rsidSect="00671B4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CF53C" w14:textId="77777777" w:rsidR="00DD3D30" w:rsidRDefault="00DD3D30">
      <w:r>
        <w:separator/>
      </w:r>
    </w:p>
  </w:endnote>
  <w:endnote w:type="continuationSeparator" w:id="0">
    <w:p w14:paraId="3CC97AA7" w14:textId="77777777" w:rsidR="00DD3D30" w:rsidRDefault="00DD3D30">
      <w:r>
        <w:continuationSeparator/>
      </w:r>
    </w:p>
  </w:endnote>
  <w:endnote w:type="continuationNotice" w:id="1">
    <w:p w14:paraId="17FDA489" w14:textId="77777777" w:rsidR="00DD3D30" w:rsidRDefault="00DD3D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AB0A16" w:rsidRDefault="00AB0A1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AB0A16" w:rsidRDefault="00AB0A1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6A8F61CF" w:rsidR="00AB0A16" w:rsidRDefault="00AB0A1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E3A1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E3A1F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EDA83" w14:textId="77777777" w:rsidR="00DD3D30" w:rsidRDefault="00DD3D30">
      <w:r>
        <w:separator/>
      </w:r>
    </w:p>
  </w:footnote>
  <w:footnote w:type="continuationSeparator" w:id="0">
    <w:p w14:paraId="331886F7" w14:textId="77777777" w:rsidR="00DD3D30" w:rsidRDefault="00DD3D30">
      <w:r>
        <w:continuationSeparator/>
      </w:r>
    </w:p>
  </w:footnote>
  <w:footnote w:type="continuationNotice" w:id="1">
    <w:p w14:paraId="15573C0F" w14:textId="77777777" w:rsidR="00DD3D30" w:rsidRDefault="00DD3D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AB0A16" w:rsidRDefault="00AB0A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C12335"/>
    <w:multiLevelType w:val="hybridMultilevel"/>
    <w:tmpl w:val="A5400B50"/>
    <w:lvl w:ilvl="0" w:tplc="41582D9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3A670E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34ABDE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E7ADE2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1E41CDE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B3A907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F046C5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967BF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6A82E1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B0ED3"/>
    <w:multiLevelType w:val="hybridMultilevel"/>
    <w:tmpl w:val="C3AC14C0"/>
    <w:lvl w:ilvl="0" w:tplc="58EA5D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6BD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BB6E3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CE5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F87C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D298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B099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866F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282E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4645B75"/>
    <w:multiLevelType w:val="hybridMultilevel"/>
    <w:tmpl w:val="7D94F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1AD82D48">
      <w:numFmt w:val="bullet"/>
      <w:lvlText w:val="-"/>
      <w:lvlJc w:val="left"/>
      <w:pPr>
        <w:ind w:left="1140" w:hanging="720"/>
      </w:pPr>
      <w:rPr>
        <w:rFonts w:ascii="Times" w:eastAsia="Yu Mincho" w:hAnsi="Times" w:cs="Time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644FE3"/>
    <w:multiLevelType w:val="hybridMultilevel"/>
    <w:tmpl w:val="FDE85EA0"/>
    <w:lvl w:ilvl="0" w:tplc="7FDC9242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9C3C1770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8466CD90"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C9B4BAAC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D84C66DE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E3606460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46A0B4CE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B6F8DB78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292A8B28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9" w15:restartNumberingAfterBreak="0">
    <w:nsid w:val="33255C99"/>
    <w:multiLevelType w:val="hybridMultilevel"/>
    <w:tmpl w:val="2FD8E0EA"/>
    <w:lvl w:ilvl="0" w:tplc="31AAC4F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E108813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CA0C75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FA2481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54E876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250E0A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FAC243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C618258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7BF4DF4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0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613B0"/>
    <w:multiLevelType w:val="hybridMultilevel"/>
    <w:tmpl w:val="E3188E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EF46323"/>
    <w:multiLevelType w:val="multilevel"/>
    <w:tmpl w:val="0CB49FBE"/>
    <w:lvl w:ilvl="0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  <w:sz w:val="20"/>
        <w:szCs w:val="20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418B3C42"/>
    <w:multiLevelType w:val="hybridMultilevel"/>
    <w:tmpl w:val="BFD61D3C"/>
    <w:lvl w:ilvl="0" w:tplc="F008F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84FF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A26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603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A1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4AE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56E4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07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566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1F5674C"/>
    <w:multiLevelType w:val="hybridMultilevel"/>
    <w:tmpl w:val="485C4FE4"/>
    <w:lvl w:ilvl="0" w:tplc="5C56E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CE5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CE17A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E28B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C0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124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227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C82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76B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BF63D46"/>
    <w:multiLevelType w:val="hybridMultilevel"/>
    <w:tmpl w:val="88107136"/>
    <w:lvl w:ilvl="0" w:tplc="47FC113C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F50C33"/>
    <w:multiLevelType w:val="hybridMultilevel"/>
    <w:tmpl w:val="6EAC1B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BC7A09"/>
    <w:multiLevelType w:val="hybridMultilevel"/>
    <w:tmpl w:val="600ACC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4F253D"/>
    <w:multiLevelType w:val="hybridMultilevel"/>
    <w:tmpl w:val="A128ECD8"/>
    <w:lvl w:ilvl="0" w:tplc="C82271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E2CF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A849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227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A632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6C78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2B8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47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CEB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10"/>
  </w:num>
  <w:num w:numId="5">
    <w:abstractNumId w:val="21"/>
  </w:num>
  <w:num w:numId="6">
    <w:abstractNumId w:val="3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0"/>
  </w:num>
  <w:num w:numId="12">
    <w:abstractNumId w:val="2"/>
  </w:num>
  <w:num w:numId="13">
    <w:abstractNumId w:val="6"/>
  </w:num>
  <w:num w:numId="14">
    <w:abstractNumId w:val="2"/>
  </w:num>
  <w:num w:numId="15">
    <w:abstractNumId w:val="16"/>
  </w:num>
  <w:num w:numId="16">
    <w:abstractNumId w:val="14"/>
  </w:num>
  <w:num w:numId="17">
    <w:abstractNumId w:val="17"/>
  </w:num>
  <w:num w:numId="18">
    <w:abstractNumId w:val="19"/>
  </w:num>
  <w:num w:numId="19">
    <w:abstractNumId w:val="4"/>
  </w:num>
  <w:num w:numId="20">
    <w:abstractNumId w:val="8"/>
  </w:num>
  <w:num w:numId="21">
    <w:abstractNumId w:val="9"/>
  </w:num>
  <w:num w:numId="22">
    <w:abstractNumId w:val="1"/>
  </w:num>
  <w:num w:numId="23">
    <w:abstractNumId w:val="13"/>
  </w:num>
  <w:num w:numId="24">
    <w:abstractNumId w:val="11"/>
  </w:num>
  <w:num w:numId="25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BD3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486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749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389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96F"/>
    <w:rsid w:val="000D3AAD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A1F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665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5BD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6B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3FC1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4F3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843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399"/>
    <w:rsid w:val="001E3A45"/>
    <w:rsid w:val="001E420B"/>
    <w:rsid w:val="001E4704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61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18B"/>
    <w:rsid w:val="002202EC"/>
    <w:rsid w:val="002204ED"/>
    <w:rsid w:val="00220603"/>
    <w:rsid w:val="002208BE"/>
    <w:rsid w:val="0022091D"/>
    <w:rsid w:val="00220D23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4CA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BBD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5E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204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204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46"/>
    <w:rsid w:val="002C5A6B"/>
    <w:rsid w:val="002C61E0"/>
    <w:rsid w:val="002C640C"/>
    <w:rsid w:val="002C6B19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3C67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0AC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2DE9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37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69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1596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A01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3D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14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35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6EE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085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EBE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967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6B4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56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8A0"/>
    <w:rsid w:val="00564EB9"/>
    <w:rsid w:val="00565772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900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0F4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500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76F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47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3A9A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102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A3"/>
    <w:rsid w:val="00605B5D"/>
    <w:rsid w:val="00606036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AA9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4B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9E0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1B25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27B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651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587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3A5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4ED3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85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31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B61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6FA7"/>
    <w:rsid w:val="00747446"/>
    <w:rsid w:val="00747BD8"/>
    <w:rsid w:val="00747F05"/>
    <w:rsid w:val="007502A5"/>
    <w:rsid w:val="0075038A"/>
    <w:rsid w:val="007503B7"/>
    <w:rsid w:val="0075076E"/>
    <w:rsid w:val="007509F9"/>
    <w:rsid w:val="00750F86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1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9D4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334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0E5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3F6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7AF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A9B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B1A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53F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C8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548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7791C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4D0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1C8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3BB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5BF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014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77"/>
    <w:rsid w:val="00A553DF"/>
    <w:rsid w:val="00A5579B"/>
    <w:rsid w:val="00A55877"/>
    <w:rsid w:val="00A55AF1"/>
    <w:rsid w:val="00A55BB7"/>
    <w:rsid w:val="00A55E76"/>
    <w:rsid w:val="00A562AC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0C31"/>
    <w:rsid w:val="00A7141F"/>
    <w:rsid w:val="00A71D6B"/>
    <w:rsid w:val="00A71F00"/>
    <w:rsid w:val="00A72416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085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E3C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4B3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BEF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62"/>
    <w:rsid w:val="00AC21BA"/>
    <w:rsid w:val="00AC22C7"/>
    <w:rsid w:val="00AC26C7"/>
    <w:rsid w:val="00AC2D4E"/>
    <w:rsid w:val="00AC3084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3B4"/>
    <w:rsid w:val="00AD163D"/>
    <w:rsid w:val="00AD1860"/>
    <w:rsid w:val="00AD1B21"/>
    <w:rsid w:val="00AD1DFE"/>
    <w:rsid w:val="00AD1F06"/>
    <w:rsid w:val="00AD215C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5FE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25F"/>
    <w:rsid w:val="00B147CC"/>
    <w:rsid w:val="00B15141"/>
    <w:rsid w:val="00B151C6"/>
    <w:rsid w:val="00B167EC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3D9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8AA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ABC"/>
    <w:rsid w:val="00BC1B4B"/>
    <w:rsid w:val="00BC201A"/>
    <w:rsid w:val="00BC2BC7"/>
    <w:rsid w:val="00BC2F45"/>
    <w:rsid w:val="00BC344E"/>
    <w:rsid w:val="00BC38B8"/>
    <w:rsid w:val="00BC3CF8"/>
    <w:rsid w:val="00BC44F3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66B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2DA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13E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6F8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1C3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2B4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17C"/>
    <w:rsid w:val="00C471F2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1D"/>
    <w:rsid w:val="00C51F21"/>
    <w:rsid w:val="00C521CD"/>
    <w:rsid w:val="00C52325"/>
    <w:rsid w:val="00C5257E"/>
    <w:rsid w:val="00C531B4"/>
    <w:rsid w:val="00C532F9"/>
    <w:rsid w:val="00C53E22"/>
    <w:rsid w:val="00C541DE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C88"/>
    <w:rsid w:val="00CC1D2E"/>
    <w:rsid w:val="00CC1E3E"/>
    <w:rsid w:val="00CC1E40"/>
    <w:rsid w:val="00CC27F5"/>
    <w:rsid w:val="00CC2D18"/>
    <w:rsid w:val="00CC2ECA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A9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4A2D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E16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3D30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094E"/>
    <w:rsid w:val="00DE128B"/>
    <w:rsid w:val="00DE14DB"/>
    <w:rsid w:val="00DE1563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72D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3DD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5D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1BAA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D7F60"/>
    <w:rsid w:val="00EE0318"/>
    <w:rsid w:val="00EE08BC"/>
    <w:rsid w:val="00EE0935"/>
    <w:rsid w:val="00EE09EA"/>
    <w:rsid w:val="00EE0A49"/>
    <w:rsid w:val="00EE14F2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45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0776"/>
    <w:rsid w:val="00F41AFE"/>
    <w:rsid w:val="00F41D1F"/>
    <w:rsid w:val="00F42910"/>
    <w:rsid w:val="00F42C2B"/>
    <w:rsid w:val="00F441B5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7C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537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8B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131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0FDF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13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63A8B567-6413-46B5-835B-EE4FF22B2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customStyle="1" w:styleId="TAHChar">
    <w:name w:val="TAH Char"/>
    <w:locked/>
    <w:rsid w:val="005810F4"/>
    <w:rPr>
      <w:rFonts w:ascii="Arial" w:hAnsi="Arial"/>
      <w:b/>
      <w:sz w:val="18"/>
      <w:lang w:val="en-GB" w:eastAsia="en-US"/>
    </w:rPr>
  </w:style>
  <w:style w:type="character" w:styleId="SubtleReference">
    <w:name w:val="Subtle Reference"/>
    <w:uiPriority w:val="31"/>
    <w:qFormat/>
    <w:rsid w:val="00956548"/>
    <w:rPr>
      <w:lang w:val="en-US"/>
    </w:rPr>
  </w:style>
  <w:style w:type="character" w:customStyle="1" w:styleId="CaptionChar">
    <w:name w:val="Caption Char"/>
    <w:aliases w:val="cap Char,3GPP Caption Table Char"/>
    <w:link w:val="Caption"/>
    <w:rsid w:val="00C166F8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4682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0815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67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967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5142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029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80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83807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036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561FAB9-4565-42F3-9F05-0F6B1EF24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570</TotalTime>
  <Pages>4</Pages>
  <Words>1816</Words>
  <Characters>10356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Chao Wei</cp:lastModifiedBy>
  <cp:revision>11</cp:revision>
  <cp:lastPrinted>2014-11-07T05:38:00Z</cp:lastPrinted>
  <dcterms:created xsi:type="dcterms:W3CDTF">2017-11-17T14:08:00Z</dcterms:created>
  <dcterms:modified xsi:type="dcterms:W3CDTF">2018-04-06T17:46:00Z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218039280</vt:i4>
  </property>
  <property fmtid="{D5CDD505-2E9C-101B-9397-08002B2CF9AE}" pid="3" name="_NewReviewCycle">
    <vt:lpwstr/>
  </property>
  <property fmtid="{D5CDD505-2E9C-101B-9397-08002B2CF9AE}" pid="4" name="_EmailSubject">
    <vt:lpwstr>TDD contributions</vt:lpwstr>
  </property>
  <property fmtid="{D5CDD505-2E9C-101B-9397-08002B2CF9AE}" pid="5" name="_AuthorEmail">
    <vt:lpwstr>albertor@qti.qualcomm.com</vt:lpwstr>
  </property>
  <property fmtid="{D5CDD505-2E9C-101B-9397-08002B2CF9AE}" pid="6" name="_AuthorEmailDisplayName">
    <vt:lpwstr>Alberto Rico Alvarino</vt:lpwstr>
  </property>
  <property fmtid="{D5CDD505-2E9C-101B-9397-08002B2CF9AE}" pid="7" name="_PreviousAdHocReviewCycleID">
    <vt:i4>-2058970810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