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202C321F" w:rsidR="0030068F" w:rsidRPr="00FC7BBB" w:rsidRDefault="00D408D8" w:rsidP="0030068F">
      <w:pPr>
        <w:tabs>
          <w:tab w:val="right" w:pos="9360"/>
        </w:tabs>
        <w:spacing w:after="0"/>
        <w:rPr>
          <w:rFonts w:ascii="Arial" w:hAnsi="Arial" w:cs="Arial"/>
          <w:b/>
          <w:i/>
          <w:sz w:val="24"/>
          <w:lang w:eastAsia="zh-CN"/>
        </w:rPr>
      </w:pPr>
      <w:r w:rsidRPr="002C4AFA">
        <w:rPr>
          <w:rFonts w:ascii="Arial" w:hAnsi="Arial" w:cs="Arial"/>
          <w:b/>
          <w:sz w:val="24"/>
          <w:lang w:val="en-US"/>
        </w:rPr>
        <w:t>3GPP TSG RAN WG1 Meeting #92</w:t>
      </w:r>
      <w:r>
        <w:rPr>
          <w:rFonts w:ascii="Arial" w:hAnsi="Arial" w:cs="Arial"/>
          <w:b/>
          <w:sz w:val="24"/>
          <w:lang w:val="en-US"/>
        </w:rPr>
        <w:t>bis</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B41D33" w:rsidRPr="00B41D33">
        <w:rPr>
          <w:rFonts w:ascii="Arial" w:hAnsi="Arial" w:cs="Arial"/>
          <w:b/>
          <w:sz w:val="24"/>
        </w:rPr>
        <w:t>R1-1804751</w:t>
      </w:r>
    </w:p>
    <w:p w14:paraId="719E3DBE" w14:textId="199269B7" w:rsidR="0030068F" w:rsidRPr="00FC7BBB" w:rsidRDefault="00B41D33" w:rsidP="0030068F">
      <w:pPr>
        <w:spacing w:after="0"/>
        <w:rPr>
          <w:rFonts w:ascii="Arial" w:hAnsi="Arial" w:cs="Arial"/>
          <w:b/>
          <w:sz w:val="24"/>
        </w:rPr>
      </w:pPr>
      <w:proofErr w:type="spellStart"/>
      <w:r>
        <w:rPr>
          <w:rFonts w:ascii="Arial" w:hAnsi="Arial" w:cs="Arial"/>
          <w:b/>
          <w:sz w:val="24"/>
          <w:lang w:val="en-US"/>
        </w:rPr>
        <w:t>Sanya</w:t>
      </w:r>
      <w:proofErr w:type="spellEnd"/>
      <w:r>
        <w:rPr>
          <w:rFonts w:ascii="Arial" w:hAnsi="Arial" w:cs="Arial"/>
          <w:b/>
          <w:sz w:val="24"/>
          <w:lang w:val="en-US"/>
        </w:rPr>
        <w:t>, China</w:t>
      </w:r>
      <w:r w:rsidRPr="002C4AFA">
        <w:rPr>
          <w:rFonts w:ascii="Arial" w:hAnsi="Arial" w:cs="Arial"/>
          <w:b/>
          <w:sz w:val="24"/>
          <w:lang w:val="en-US"/>
        </w:rPr>
        <w:t xml:space="preserve">, </w:t>
      </w:r>
      <w:r>
        <w:rPr>
          <w:rFonts w:ascii="Arial" w:hAnsi="Arial" w:cs="Arial"/>
          <w:b/>
          <w:sz w:val="24"/>
          <w:lang w:val="en-US"/>
        </w:rPr>
        <w:t>April 16</w:t>
      </w:r>
      <w:r w:rsidRPr="003E5A52">
        <w:rPr>
          <w:rFonts w:ascii="Arial" w:hAnsi="Arial" w:cs="Arial"/>
          <w:b/>
          <w:sz w:val="24"/>
          <w:vertAlign w:val="superscript"/>
          <w:lang w:val="en-US"/>
        </w:rPr>
        <w:t>th</w:t>
      </w:r>
      <w:r>
        <w:rPr>
          <w:rFonts w:ascii="Arial" w:hAnsi="Arial" w:cs="Arial"/>
          <w:b/>
          <w:sz w:val="24"/>
          <w:lang w:val="en-US"/>
        </w:rPr>
        <w:t xml:space="preserve"> – 20</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07CDE64"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A85991">
        <w:rPr>
          <w:rFonts w:ascii="Arial" w:hAnsi="Arial" w:cs="Arial"/>
          <w:b/>
          <w:bCs/>
          <w:sz w:val="24"/>
          <w:lang w:val="en-US"/>
        </w:rPr>
        <w:t>7.6.3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6A571E8F"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46434" w:rsidRPr="00346434">
        <w:rPr>
          <w:rFonts w:ascii="Arial" w:hAnsi="Arial" w:cs="Arial"/>
          <w:b/>
          <w:bCs/>
          <w:sz w:val="24"/>
          <w:lang w:val="en-US"/>
        </w:rPr>
        <w:t>Design consideration for NR unlicensed physical layer channels</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7B96CAC3" w14:textId="7C758AB1" w:rsidR="00E750D7" w:rsidRDefault="00E750D7" w:rsidP="00E750D7">
      <w:r>
        <w:t xml:space="preserve">In RAN1 #92, </w:t>
      </w:r>
      <w:r w:rsidR="00ED6AD8">
        <w:t xml:space="preserve">the study on NR-based access to unlicensed spectrum has started and the following agreement was made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ED6AD8" w14:paraId="3D928FA9" w14:textId="77777777" w:rsidTr="007D0379">
        <w:tc>
          <w:tcPr>
            <w:tcW w:w="10080" w:type="dxa"/>
            <w:shd w:val="clear" w:color="auto" w:fill="auto"/>
          </w:tcPr>
          <w:p w14:paraId="6EFCE5B7" w14:textId="77777777" w:rsidR="00ED6AD8" w:rsidRDefault="00ED6AD8" w:rsidP="007D0379">
            <w:pPr>
              <w:spacing w:before="120" w:after="0" w:line="280" w:lineRule="atLeast"/>
              <w:rPr>
                <w:lang w:eastAsia="x-none"/>
              </w:rPr>
            </w:pPr>
            <w:r w:rsidRPr="00957F4C">
              <w:rPr>
                <w:highlight w:val="green"/>
                <w:lang w:eastAsia="x-none"/>
              </w:rPr>
              <w:t>Agreement:</w:t>
            </w:r>
          </w:p>
          <w:p w14:paraId="77057DAF" w14:textId="77777777" w:rsidR="00ED6AD8" w:rsidRDefault="00ED6AD8" w:rsidP="00ED6AD8">
            <w:pPr>
              <w:numPr>
                <w:ilvl w:val="0"/>
                <w:numId w:val="24"/>
              </w:numPr>
              <w:spacing w:before="60"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28B3AB78" w14:textId="77777777" w:rsidR="00ED6AD8" w:rsidRDefault="00ED6AD8" w:rsidP="00ED6AD8">
            <w:pPr>
              <w:numPr>
                <w:ilvl w:val="1"/>
                <w:numId w:val="24"/>
              </w:numPr>
              <w:spacing w:before="60" w:after="0"/>
              <w:rPr>
                <w:lang w:eastAsia="x-none"/>
              </w:rPr>
            </w:pPr>
            <w:r>
              <w:rPr>
                <w:lang w:eastAsia="x-none"/>
              </w:rPr>
              <w:t>FFS: The definition of the frequency ranges</w:t>
            </w:r>
          </w:p>
          <w:p w14:paraId="0FC5EF0B" w14:textId="77777777" w:rsidR="00ED6AD8" w:rsidRDefault="00ED6AD8" w:rsidP="00ED6AD8">
            <w:pPr>
              <w:numPr>
                <w:ilvl w:val="1"/>
                <w:numId w:val="24"/>
              </w:numPr>
              <w:spacing w:before="60" w:after="0"/>
              <w:rPr>
                <w:lang w:eastAsia="x-none"/>
              </w:rPr>
            </w:pPr>
            <w:r>
              <w:rPr>
                <w:lang w:eastAsia="x-none"/>
              </w:rPr>
              <w:t>Note: Optimizations for a particular frequency band may be necessary.</w:t>
            </w:r>
          </w:p>
          <w:p w14:paraId="3770214F" w14:textId="77777777" w:rsidR="00ED6AD8" w:rsidRDefault="00ED6AD8" w:rsidP="00ED6AD8">
            <w:pPr>
              <w:numPr>
                <w:ilvl w:val="1"/>
                <w:numId w:val="24"/>
              </w:numPr>
              <w:spacing w:before="60" w:after="0"/>
              <w:rPr>
                <w:lang w:eastAsia="x-none"/>
              </w:rPr>
            </w:pPr>
            <w:r>
              <w:rPr>
                <w:lang w:eastAsia="x-none"/>
              </w:rPr>
              <w:t>Note: Channel bandwidths below 5 MHz are not targeted</w:t>
            </w:r>
          </w:p>
          <w:p w14:paraId="63BAA2E6" w14:textId="77777777" w:rsidR="00ED6AD8" w:rsidRDefault="00ED6AD8" w:rsidP="00ED6AD8">
            <w:pPr>
              <w:numPr>
                <w:ilvl w:val="0"/>
                <w:numId w:val="23"/>
              </w:numPr>
              <w:spacing w:before="60" w:after="0"/>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0A082B2C" w14:textId="77777777" w:rsidR="00ED6AD8" w:rsidRDefault="00ED6AD8" w:rsidP="00ED6AD8">
            <w:pPr>
              <w:numPr>
                <w:ilvl w:val="0"/>
                <w:numId w:val="23"/>
              </w:numPr>
              <w:spacing w:before="60" w:after="0"/>
              <w:rPr>
                <w:lang w:eastAsia="x-none"/>
              </w:rPr>
            </w:pPr>
            <w:r>
              <w:rPr>
                <w:lang w:eastAsia="x-none"/>
              </w:rPr>
              <w:t>Note: The study includes identification of procedures for technology neutral channel access for frequency bands that may become available subject to regulations.</w:t>
            </w:r>
          </w:p>
          <w:p w14:paraId="66B4B50D" w14:textId="043CDFA3" w:rsidR="00ED6AD8" w:rsidRDefault="00ED6AD8" w:rsidP="00ED6AD8">
            <w:pPr>
              <w:numPr>
                <w:ilvl w:val="1"/>
                <w:numId w:val="23"/>
              </w:numPr>
              <w:spacing w:before="60"/>
              <w:rPr>
                <w:lang w:eastAsia="x-none"/>
              </w:rPr>
            </w:pPr>
            <w:r w:rsidRPr="000E6B2F">
              <w:rPr>
                <w:lang w:eastAsia="x-none"/>
              </w:rPr>
              <w:t xml:space="preserve">The study assumes regulation will provide the framework concerning the protection for the </w:t>
            </w:r>
            <w:proofErr w:type="spellStart"/>
            <w:r w:rsidRPr="000E6B2F">
              <w:rPr>
                <w:lang w:eastAsia="x-none"/>
              </w:rPr>
              <w:t>techonologies</w:t>
            </w:r>
            <w:proofErr w:type="spellEnd"/>
            <w:r w:rsidRPr="000E6B2F">
              <w:rPr>
                <w:lang w:eastAsia="x-none"/>
              </w:rPr>
              <w:t xml:space="preserve"> not using unlicensed access in those bands</w:t>
            </w:r>
            <w:r>
              <w:rPr>
                <w:lang w:eastAsia="x-none"/>
              </w:rPr>
              <w:t>.</w:t>
            </w:r>
          </w:p>
        </w:tc>
      </w:tr>
    </w:tbl>
    <w:p w14:paraId="5E90DB1F" w14:textId="77777777" w:rsidR="00ED6AD8" w:rsidRDefault="00ED6AD8" w:rsidP="00E750D7"/>
    <w:p w14:paraId="76332434" w14:textId="376749CA" w:rsidR="00ED6AD8" w:rsidRPr="00E750D7" w:rsidRDefault="008C3517" w:rsidP="00E750D7">
      <w:r>
        <w:t>The main motivation behind the agreement is to have common design that can be used over particular frequency ranges from RAN1 PHY design perspective, i.e., band-agnostic within applicable frequency range</w:t>
      </w:r>
      <w:r w:rsidR="002C0441">
        <w:t xml:space="preserve"> by accommodating relevant regulations within the frequency range for PHY design</w:t>
      </w:r>
      <w:r>
        <w:t xml:space="preserve">. </w:t>
      </w:r>
      <w:r w:rsidR="00AC5A64">
        <w:t xml:space="preserve">By doing so the RAN1 design efforts </w:t>
      </w:r>
      <w:r w:rsidR="00CA3A6D">
        <w:t xml:space="preserve">can be minimized. </w:t>
      </w:r>
    </w:p>
    <w:p w14:paraId="61BC2DAD" w14:textId="67113C21" w:rsidR="00327510" w:rsidRPr="00327510" w:rsidRDefault="004237BF" w:rsidP="00327510">
      <w:pPr>
        <w:pStyle w:val="Heading1"/>
        <w:keepNext w:val="0"/>
        <w:widowControl w:val="0"/>
        <w:spacing w:before="480" w:after="120"/>
        <w:ind w:left="518" w:hanging="518"/>
        <w:rPr>
          <w:sz w:val="28"/>
        </w:rPr>
      </w:pPr>
      <w:r>
        <w:rPr>
          <w:sz w:val="28"/>
        </w:rPr>
        <w:t>Definition of the frequency ranges</w:t>
      </w:r>
    </w:p>
    <w:p w14:paraId="28EA73A9" w14:textId="709AF8D5" w:rsidR="00F651F0" w:rsidRDefault="00F651F0" w:rsidP="00D408D8">
      <w:r>
        <w:t>The following is the list of potential unlicensed spectrums that can be considered for NR-unlicensed operation [2]:</w:t>
      </w:r>
    </w:p>
    <w:p w14:paraId="54E2EA3F" w14:textId="3D9B875F" w:rsidR="00020B26" w:rsidRDefault="00020B26" w:rsidP="00020B26">
      <w:pPr>
        <w:pStyle w:val="ListParagraph"/>
        <w:numPr>
          <w:ilvl w:val="0"/>
          <w:numId w:val="25"/>
        </w:numPr>
      </w:pPr>
      <w:r>
        <w:t>Low frequency bands:</w:t>
      </w:r>
    </w:p>
    <w:p w14:paraId="0EF3E4C1" w14:textId="4A7D701C" w:rsidR="00020B26" w:rsidRDefault="00020B26" w:rsidP="00020B26">
      <w:pPr>
        <w:pStyle w:val="ListParagraph"/>
        <w:numPr>
          <w:ilvl w:val="1"/>
          <w:numId w:val="25"/>
        </w:numPr>
      </w:pPr>
      <w:r w:rsidRPr="00020B26">
        <w:t>Sub-1 GHz band</w:t>
      </w:r>
      <w:r>
        <w:t xml:space="preserve">: </w:t>
      </w:r>
      <w:r w:rsidRPr="00020B26">
        <w:t>902-928 MHz band is allocated in US (FCC Part 15), while 863-868.6 MHz band is allocated in EU (ETSI EN 300 220). It is 915.9-929.7 MHz in Japan, 917-923.5 MHz in South Korea, and 755-779 MHz and 779-787 MHz in China.</w:t>
      </w:r>
    </w:p>
    <w:p w14:paraId="54913D41" w14:textId="6E26E7F6" w:rsidR="00020B26" w:rsidRPr="00020B26" w:rsidRDefault="00020B26" w:rsidP="00020B26">
      <w:pPr>
        <w:pStyle w:val="ListParagraph"/>
        <w:numPr>
          <w:ilvl w:val="1"/>
          <w:numId w:val="25"/>
        </w:numPr>
      </w:pPr>
      <w:r w:rsidRPr="00020B26">
        <w:t>2.4 GHz band</w:t>
      </w:r>
      <w:r>
        <w:t xml:space="preserve">: </w:t>
      </w:r>
      <w:r>
        <w:rPr>
          <w:szCs w:val="20"/>
          <w:lang w:eastAsia="ko-KR"/>
        </w:rPr>
        <w:t xml:space="preserve">2.4-2.4835 </w:t>
      </w:r>
      <w:r>
        <w:rPr>
          <w:rFonts w:hint="eastAsia"/>
          <w:szCs w:val="20"/>
          <w:lang w:eastAsia="ko-KR"/>
        </w:rPr>
        <w:t>GH</w:t>
      </w:r>
      <w:r>
        <w:rPr>
          <w:szCs w:val="20"/>
          <w:lang w:eastAsia="ko-KR"/>
        </w:rPr>
        <w:t>z ISM band has global availability</w:t>
      </w:r>
    </w:p>
    <w:p w14:paraId="256E3C19" w14:textId="75939522" w:rsidR="00020B26" w:rsidRPr="00020B26" w:rsidRDefault="00020B26" w:rsidP="00020B26">
      <w:pPr>
        <w:pStyle w:val="ListParagraph"/>
        <w:numPr>
          <w:ilvl w:val="1"/>
          <w:numId w:val="25"/>
        </w:numPr>
      </w:pPr>
      <w:r w:rsidRPr="00020B26">
        <w:t>3.5 GHz band</w:t>
      </w:r>
      <w:r>
        <w:t xml:space="preserve">: </w:t>
      </w:r>
      <w:r>
        <w:rPr>
          <w:szCs w:val="20"/>
          <w:lang w:eastAsia="ko-KR"/>
        </w:rPr>
        <w:t xml:space="preserve">In the US, the </w:t>
      </w:r>
      <w:r w:rsidRPr="00B56F94">
        <w:rPr>
          <w:szCs w:val="20"/>
          <w:lang w:val="en-US" w:eastAsia="ko-KR"/>
        </w:rPr>
        <w:t>Citizens Broadband Radio Service (CBRS)</w:t>
      </w:r>
      <w:r>
        <w:rPr>
          <w:szCs w:val="20"/>
          <w:lang w:val="en-US" w:eastAsia="ko-KR"/>
        </w:rPr>
        <w:t xml:space="preserve"> band in </w:t>
      </w:r>
      <w:r>
        <w:rPr>
          <w:szCs w:val="20"/>
          <w:lang w:eastAsia="ko-KR"/>
        </w:rPr>
        <w:t xml:space="preserve">3.55-3.7 </w:t>
      </w:r>
      <w:r>
        <w:rPr>
          <w:rFonts w:hint="eastAsia"/>
          <w:szCs w:val="20"/>
          <w:lang w:eastAsia="ko-KR"/>
        </w:rPr>
        <w:t>GHz</w:t>
      </w:r>
      <w:r>
        <w:rPr>
          <w:szCs w:val="20"/>
          <w:lang w:eastAsia="ko-KR"/>
        </w:rPr>
        <w:t xml:space="preserve"> allows general authorized access (GAA) similar to unlicensed access.</w:t>
      </w:r>
    </w:p>
    <w:p w14:paraId="4942C574" w14:textId="657FB6A6" w:rsidR="00020B26" w:rsidRPr="00717710" w:rsidRDefault="00717710" w:rsidP="00717710">
      <w:pPr>
        <w:pStyle w:val="ListParagraph"/>
        <w:numPr>
          <w:ilvl w:val="1"/>
          <w:numId w:val="25"/>
        </w:numPr>
      </w:pPr>
      <w:r w:rsidRPr="00717710">
        <w:t>5 GHz band</w:t>
      </w:r>
      <w:r>
        <w:t xml:space="preserve">: </w:t>
      </w:r>
      <w:r>
        <w:rPr>
          <w:szCs w:val="20"/>
          <w:lang w:eastAsia="ko-KR"/>
        </w:rPr>
        <w:t>It spans in the US (</w:t>
      </w:r>
      <w:r>
        <w:rPr>
          <w:rFonts w:hint="eastAsia"/>
          <w:szCs w:val="20"/>
          <w:lang w:eastAsia="ko-KR"/>
        </w:rPr>
        <w:t>F</w:t>
      </w:r>
      <w:r>
        <w:rPr>
          <w:szCs w:val="20"/>
          <w:lang w:eastAsia="ko-KR"/>
        </w:rPr>
        <w:t xml:space="preserve">CC part 15) over 5.15-5.25 </w:t>
      </w:r>
      <w:r>
        <w:rPr>
          <w:rFonts w:hint="eastAsia"/>
          <w:szCs w:val="20"/>
          <w:lang w:eastAsia="ko-KR"/>
        </w:rPr>
        <w:t>G</w:t>
      </w:r>
      <w:r>
        <w:rPr>
          <w:szCs w:val="20"/>
          <w:lang w:eastAsia="ko-KR"/>
        </w:rPr>
        <w:t xml:space="preserve">Hz, 5.25-5.35 GHz, 5.47-5.725 GHz, </w:t>
      </w:r>
      <w:r>
        <w:rPr>
          <w:rFonts w:hint="eastAsia"/>
          <w:szCs w:val="20"/>
          <w:lang w:eastAsia="ko-KR"/>
        </w:rPr>
        <w:t>a</w:t>
      </w:r>
      <w:r>
        <w:rPr>
          <w:szCs w:val="20"/>
          <w:lang w:eastAsia="ko-KR"/>
        </w:rPr>
        <w:t>nd</w:t>
      </w:r>
      <w:r>
        <w:rPr>
          <w:rFonts w:hint="eastAsia"/>
          <w:szCs w:val="20"/>
          <w:lang w:eastAsia="ko-KR"/>
        </w:rPr>
        <w:t xml:space="preserve"> </w:t>
      </w:r>
      <w:r>
        <w:rPr>
          <w:szCs w:val="20"/>
          <w:lang w:eastAsia="ko-KR"/>
        </w:rPr>
        <w:t xml:space="preserve">5.725-5.85 GHz bands, consists of four U-NII bands in total 500 MHz spectrum. In </w:t>
      </w:r>
      <w:r>
        <w:rPr>
          <w:rFonts w:hint="eastAsia"/>
          <w:szCs w:val="20"/>
          <w:lang w:eastAsia="ko-KR"/>
        </w:rPr>
        <w:t>EU</w:t>
      </w:r>
      <w:r>
        <w:rPr>
          <w:szCs w:val="20"/>
          <w:lang w:eastAsia="ko-KR"/>
        </w:rPr>
        <w:t xml:space="preserve"> (ETSI EN 301 893), the band 4 spans over</w:t>
      </w:r>
      <w:r>
        <w:rPr>
          <w:rFonts w:hint="eastAsia"/>
          <w:szCs w:val="20"/>
          <w:lang w:eastAsia="ko-KR"/>
        </w:rPr>
        <w:t xml:space="preserve"> </w:t>
      </w:r>
      <w:r>
        <w:rPr>
          <w:szCs w:val="20"/>
          <w:lang w:eastAsia="ko-KR"/>
        </w:rPr>
        <w:t xml:space="preserve">5.725-5.875 </w:t>
      </w:r>
      <w:r>
        <w:rPr>
          <w:rFonts w:hint="eastAsia"/>
          <w:szCs w:val="20"/>
          <w:lang w:eastAsia="ko-KR"/>
        </w:rPr>
        <w:t>GHz</w:t>
      </w:r>
      <w:r>
        <w:rPr>
          <w:szCs w:val="20"/>
          <w:lang w:eastAsia="ko-KR"/>
        </w:rPr>
        <w:t>, in which the wireless access systems (WAS) are not operating in. In China, the band 3 is TBD. In Japan, the band 4 is not available.</w:t>
      </w:r>
    </w:p>
    <w:p w14:paraId="1FEC3CB1" w14:textId="5F119A32" w:rsidR="00717710" w:rsidRPr="00717710" w:rsidRDefault="00717710" w:rsidP="00717710">
      <w:pPr>
        <w:pStyle w:val="ListParagraph"/>
        <w:numPr>
          <w:ilvl w:val="1"/>
          <w:numId w:val="25"/>
        </w:numPr>
      </w:pPr>
      <w:r w:rsidRPr="00717710">
        <w:t>6 GHz band</w:t>
      </w:r>
      <w:r>
        <w:t xml:space="preserve">: </w:t>
      </w:r>
      <w:r>
        <w:rPr>
          <w:szCs w:val="20"/>
          <w:lang w:eastAsia="ko-KR"/>
        </w:rPr>
        <w:t xml:space="preserve">It is currently being considered to open the 6 GHz band for unlicensed use. </w:t>
      </w:r>
      <w:r w:rsidRPr="00C4287C">
        <w:rPr>
          <w:szCs w:val="20"/>
          <w:lang w:eastAsia="ko-KR"/>
        </w:rPr>
        <w:t>5925-7125 MHz</w:t>
      </w:r>
      <w:r>
        <w:rPr>
          <w:szCs w:val="20"/>
          <w:lang w:eastAsia="ko-KR"/>
        </w:rPr>
        <w:t xml:space="preserve"> band and </w:t>
      </w:r>
      <w:r w:rsidRPr="00C4287C">
        <w:rPr>
          <w:szCs w:val="20"/>
          <w:lang w:eastAsia="ko-KR"/>
        </w:rPr>
        <w:t>5925-6425MHz</w:t>
      </w:r>
      <w:r>
        <w:rPr>
          <w:szCs w:val="20"/>
          <w:lang w:eastAsia="ko-KR"/>
        </w:rPr>
        <w:t xml:space="preserve"> band are under consideration in US and EU, respectively.</w:t>
      </w:r>
    </w:p>
    <w:p w14:paraId="415548E1" w14:textId="3CF541B9" w:rsidR="00717710" w:rsidRPr="00717710" w:rsidRDefault="00717710" w:rsidP="00717710">
      <w:pPr>
        <w:pStyle w:val="ListParagraph"/>
        <w:numPr>
          <w:ilvl w:val="0"/>
          <w:numId w:val="25"/>
        </w:numPr>
      </w:pPr>
      <w:r>
        <w:rPr>
          <w:szCs w:val="20"/>
          <w:lang w:eastAsia="ko-KR"/>
        </w:rPr>
        <w:t>Higher frequency bands:</w:t>
      </w:r>
    </w:p>
    <w:p w14:paraId="153E5A48" w14:textId="17087E89" w:rsidR="00717710" w:rsidRPr="00717710" w:rsidRDefault="00717710" w:rsidP="00A76212">
      <w:pPr>
        <w:pStyle w:val="ListParagraph"/>
        <w:numPr>
          <w:ilvl w:val="1"/>
          <w:numId w:val="25"/>
        </w:numPr>
      </w:pPr>
      <w:r w:rsidRPr="00717710">
        <w:rPr>
          <w:szCs w:val="20"/>
          <w:lang w:eastAsia="ko-KR"/>
        </w:rPr>
        <w:t>37 GHz band: In the US, 37-37.6 GHz band is expected to be opened.</w:t>
      </w:r>
    </w:p>
    <w:p w14:paraId="3BEB0AD6" w14:textId="37C32A53" w:rsidR="00717710" w:rsidRPr="00D83E58" w:rsidRDefault="00717710" w:rsidP="00D83E58">
      <w:pPr>
        <w:pStyle w:val="ListParagraph"/>
        <w:numPr>
          <w:ilvl w:val="1"/>
          <w:numId w:val="25"/>
        </w:numPr>
      </w:pPr>
      <w:r w:rsidRPr="00717710">
        <w:lastRenderedPageBreak/>
        <w:t>60 GHz band</w:t>
      </w:r>
      <w:r>
        <w:t xml:space="preserve">: </w:t>
      </w:r>
      <w:r>
        <w:rPr>
          <w:szCs w:val="20"/>
          <w:lang w:eastAsia="ko-KR"/>
        </w:rPr>
        <w:t xml:space="preserve">The </w:t>
      </w:r>
      <w:r w:rsidRPr="001E1FCE">
        <w:rPr>
          <w:szCs w:val="20"/>
          <w:lang w:eastAsia="ko-KR"/>
        </w:rPr>
        <w:t>57-64/66 GHz</w:t>
      </w:r>
      <w:r>
        <w:rPr>
          <w:szCs w:val="20"/>
          <w:lang w:eastAsia="ko-KR"/>
        </w:rPr>
        <w:t xml:space="preserve"> band has</w:t>
      </w:r>
      <w:r w:rsidRPr="001E1FCE">
        <w:rPr>
          <w:szCs w:val="20"/>
          <w:lang w:eastAsia="ko-KR"/>
        </w:rPr>
        <w:t xml:space="preserve"> near-global designation for Multi-Gigabit Wireless Systems (MGWS)/</w:t>
      </w:r>
      <w:proofErr w:type="spellStart"/>
      <w:r w:rsidRPr="001E1FCE">
        <w:rPr>
          <w:szCs w:val="20"/>
          <w:lang w:eastAsia="ko-KR"/>
        </w:rPr>
        <w:t>WiGig</w:t>
      </w:r>
      <w:proofErr w:type="spellEnd"/>
      <w:r>
        <w:rPr>
          <w:rStyle w:val="FootnoteReference"/>
        </w:rPr>
        <w:footnoteReference w:id="1"/>
      </w:r>
      <w:r w:rsidRPr="001E1FCE">
        <w:rPr>
          <w:szCs w:val="20"/>
          <w:lang w:eastAsia="ko-KR"/>
        </w:rPr>
        <w:t>.</w:t>
      </w:r>
      <w:r>
        <w:rPr>
          <w:szCs w:val="20"/>
          <w:lang w:eastAsia="ko-KR"/>
        </w:rPr>
        <w:t xml:space="preserve"> In US (FCC </w:t>
      </w:r>
      <w:r>
        <w:rPr>
          <w:rFonts w:hint="eastAsia"/>
          <w:szCs w:val="20"/>
          <w:lang w:eastAsia="ko-KR"/>
        </w:rPr>
        <w:t>part 1</w:t>
      </w:r>
      <w:r>
        <w:rPr>
          <w:szCs w:val="20"/>
          <w:lang w:eastAsia="ko-KR"/>
        </w:rPr>
        <w:t xml:space="preserve">5) allocates total 14 GHz spectrum, while EU (ETSI EN 302 567 </w:t>
      </w:r>
      <w:r>
        <w:rPr>
          <w:rFonts w:hint="eastAsia"/>
          <w:szCs w:val="20"/>
          <w:lang w:eastAsia="ko-KR"/>
        </w:rPr>
        <w:t>a</w:t>
      </w:r>
      <w:r>
        <w:rPr>
          <w:szCs w:val="20"/>
          <w:lang w:eastAsia="ko-KR"/>
        </w:rPr>
        <w:t>nd</w:t>
      </w:r>
      <w:r>
        <w:rPr>
          <w:rFonts w:hint="eastAsia"/>
          <w:szCs w:val="20"/>
          <w:lang w:eastAsia="ko-KR"/>
        </w:rPr>
        <w:t xml:space="preserve"> E</w:t>
      </w:r>
      <w:r>
        <w:rPr>
          <w:szCs w:val="20"/>
          <w:lang w:eastAsia="ko-KR"/>
        </w:rPr>
        <w:t>TSI EN 301 217-2 for fixed P2P) allocates total 9 GHz spectrum.</w:t>
      </w:r>
    </w:p>
    <w:p w14:paraId="553B76F0" w14:textId="10675ABE" w:rsidR="00D83E58" w:rsidRDefault="00D83E58" w:rsidP="00D83E58">
      <w:r>
        <w:t xml:space="preserve">The 6 GHz band that can be potentially open is not </w:t>
      </w:r>
      <w:r w:rsidR="008666C4">
        <w:t xml:space="preserve">exactly </w:t>
      </w:r>
      <w:r>
        <w:t>confi</w:t>
      </w:r>
      <w:r w:rsidR="00722F5C">
        <w:t>ned within sub-7 GHz frequency</w:t>
      </w:r>
      <w:r w:rsidR="00721225">
        <w:t xml:space="preserve"> range</w:t>
      </w:r>
      <w:r w:rsidR="00722F5C">
        <w:t xml:space="preserve"> as it is proposed to be up to 7.125 GHz in US. On the other hand, </w:t>
      </w:r>
      <w:r w:rsidR="002A5582">
        <w:t>s</w:t>
      </w:r>
      <w:r w:rsidR="00721225">
        <w:t>ub-1 GHz band is somehow already not in the scope as it was noted that “</w:t>
      </w:r>
      <w:r w:rsidR="00721225">
        <w:rPr>
          <w:lang w:eastAsia="x-none"/>
        </w:rPr>
        <w:t>channel bandwidths below 5 MHz are not targeted.</w:t>
      </w:r>
      <w:r w:rsidR="00721225">
        <w:t xml:space="preserve">” Consequently, it is proposed to define the lower frequency range for NR-unlicensed </w:t>
      </w:r>
      <w:r w:rsidR="002A5582">
        <w:t>as</w:t>
      </w:r>
      <w:r w:rsidR="00721225">
        <w:t xml:space="preserve"> 1</w:t>
      </w:r>
      <w:r w:rsidR="00B01102">
        <w:t xml:space="preserve"> GHz – 7.125 GHz, which is identical for </w:t>
      </w:r>
      <w:r w:rsidR="002A5582">
        <w:t xml:space="preserve">the </w:t>
      </w:r>
      <w:r w:rsidR="00B01102">
        <w:t>operating frequency range of IEEE 802.11ax according to the amended PAR (</w:t>
      </w:r>
      <w:r w:rsidR="00B01102" w:rsidRPr="00B01102">
        <w:t>Project Authorization Request</w:t>
      </w:r>
      <w:r w:rsidR="00B01102">
        <w:t xml:space="preserve">). </w:t>
      </w:r>
    </w:p>
    <w:p w14:paraId="6A33AC71" w14:textId="77777777" w:rsidR="001528C9" w:rsidRDefault="001528C9" w:rsidP="001528C9">
      <w:pPr>
        <w:spacing w:before="240" w:after="240"/>
        <w:rPr>
          <w:b/>
          <w:szCs w:val="20"/>
          <w:lang w:val="en-US"/>
        </w:rPr>
      </w:pPr>
      <w:r w:rsidRPr="00BF4801">
        <w:rPr>
          <w:b/>
          <w:szCs w:val="20"/>
          <w:lang w:val="en-US"/>
        </w:rPr>
        <w:t xml:space="preserve">Proposal 1: </w:t>
      </w:r>
      <w:r>
        <w:rPr>
          <w:b/>
          <w:szCs w:val="20"/>
          <w:lang w:val="en-US"/>
        </w:rPr>
        <w:t xml:space="preserve">The lower frequency range (LFR) for NR-unlicensed is defined as </w:t>
      </w:r>
      <w:r w:rsidRPr="001528C9">
        <w:rPr>
          <w:b/>
          <w:szCs w:val="20"/>
          <w:lang w:val="en-US"/>
        </w:rPr>
        <w:t>1 GHz – 7.125 GHz</w:t>
      </w:r>
      <w:r>
        <w:rPr>
          <w:b/>
          <w:szCs w:val="20"/>
          <w:lang w:val="en-US"/>
        </w:rPr>
        <w:t>.</w:t>
      </w:r>
    </w:p>
    <w:p w14:paraId="4157E14C" w14:textId="5BAE15B1" w:rsidR="001528C9" w:rsidRDefault="008A782C" w:rsidP="001528C9">
      <w:pPr>
        <w:spacing w:before="240" w:after="240"/>
        <w:rPr>
          <w:szCs w:val="20"/>
          <w:lang w:val="en-US"/>
        </w:rPr>
      </w:pPr>
      <w:r>
        <w:rPr>
          <w:szCs w:val="20"/>
          <w:lang w:val="en-US"/>
        </w:rPr>
        <w:t xml:space="preserve">The higher frequency range (HFR) definition requires further discussion as, at the current moment, it is unclear </w:t>
      </w:r>
      <w:r w:rsidR="00CF70CC">
        <w:rPr>
          <w:szCs w:val="20"/>
          <w:lang w:val="en-US"/>
        </w:rPr>
        <w:t>how</w:t>
      </w:r>
      <w:r>
        <w:rPr>
          <w:szCs w:val="20"/>
          <w:lang w:val="en-US"/>
        </w:rPr>
        <w:t xml:space="preserve"> the waveform for above 52.6 GHz will be</w:t>
      </w:r>
      <w:r w:rsidR="00CF70CC">
        <w:rPr>
          <w:szCs w:val="20"/>
          <w:lang w:val="en-US"/>
        </w:rPr>
        <w:t xml:space="preserve"> designed. In other words, it may be the case that HFR needs to be further subdivided into two or not. </w:t>
      </w:r>
    </w:p>
    <w:p w14:paraId="03567918" w14:textId="0456D8DE" w:rsidR="00283B09" w:rsidRDefault="00283B09" w:rsidP="00283B09">
      <w:pPr>
        <w:pStyle w:val="Heading1"/>
        <w:keepNext w:val="0"/>
        <w:widowControl w:val="0"/>
        <w:spacing w:before="480" w:after="120"/>
        <w:ind w:left="518" w:hanging="518"/>
        <w:rPr>
          <w:sz w:val="28"/>
        </w:rPr>
      </w:pPr>
      <w:r>
        <w:rPr>
          <w:sz w:val="28"/>
        </w:rPr>
        <w:t>Necessary regulatory consideration for lower frequency range (LFR)</w:t>
      </w:r>
    </w:p>
    <w:p w14:paraId="12CA65DD" w14:textId="17B5077F" w:rsidR="00283B09" w:rsidRPr="00283B09" w:rsidRDefault="00115AB7" w:rsidP="0094666E">
      <w:pPr>
        <w:pStyle w:val="Heading2"/>
      </w:pPr>
      <w:r>
        <w:t>Nominal channel bandwidth</w:t>
      </w:r>
    </w:p>
    <w:p w14:paraId="0A926530" w14:textId="67F21006" w:rsidR="00283B09" w:rsidRDefault="00115AB7" w:rsidP="008C5B13">
      <w:pPr>
        <w:spacing w:before="240" w:after="240"/>
      </w:pPr>
      <w:r>
        <w:t>The updated ETSI harmonised standard for 5 GHz states that “</w:t>
      </w:r>
      <w:r w:rsidRPr="00030AFD">
        <w:rPr>
          <w:i/>
        </w:rPr>
        <w:t>the nominal channel bandwidth for a single operating channel shall be 20 MHz</w:t>
      </w:r>
      <w:r>
        <w:t>” although it allows to operate in a bandwidth smaller than 20 MHz providing that the centre frequency is aligned assuming 20 MHz raster [3].</w:t>
      </w:r>
      <w:r w:rsidR="008C5B13">
        <w:t xml:space="preserve"> That is captured as “</w:t>
      </w:r>
      <w:r w:rsidR="008C5B13" w:rsidRPr="008C5B13">
        <w:rPr>
          <w:i/>
        </w:rPr>
        <w:t>Alternatively, equipment may implement a lower Nominal Channel Bandwidth with a minimum of 5 MHz, providing they still comply with the Nominal Centre Frequencies defined in clause 4.2.1 (20 MHz raster)</w:t>
      </w:r>
      <w:r w:rsidR="008C5B13">
        <w:t xml:space="preserve">.” The allowance of nominal channel bandwidth smaller than </w:t>
      </w:r>
      <w:r w:rsidR="00092C5D">
        <w:t xml:space="preserve">20 MHz has been for the consideration of various industries, e.g., </w:t>
      </w:r>
      <w:r w:rsidR="007A5B66">
        <w:t xml:space="preserve">PMSE. Nevertheless, it is preferable that 20 MHz nominal channel bandwidth is considered for NR-unlicensed </w:t>
      </w:r>
      <w:r w:rsidR="00AE0710">
        <w:t>if NR-unlicensed system is operation in a</w:t>
      </w:r>
      <w:r w:rsidR="0081644A">
        <w:t xml:space="preserve"> </w:t>
      </w:r>
      <w:r w:rsidR="00025B10">
        <w:t>band where Wi-Fi is operating; i</w:t>
      </w:r>
      <w:r w:rsidR="0081644A">
        <w:t xml:space="preserve">t has been the case of LTE LAA </w:t>
      </w:r>
      <w:r w:rsidR="004E0CA1">
        <w:t xml:space="preserve">in consideration of coexistence with incumbent system. </w:t>
      </w:r>
    </w:p>
    <w:p w14:paraId="6FB93C98" w14:textId="0A28DCEF" w:rsidR="004E0CA1" w:rsidRDefault="004E0CA1" w:rsidP="004E0CA1">
      <w:pPr>
        <w:spacing w:before="240" w:after="240"/>
        <w:rPr>
          <w:b/>
          <w:szCs w:val="20"/>
          <w:lang w:val="en-US"/>
        </w:rPr>
      </w:pPr>
      <w:r w:rsidRPr="00BF4801">
        <w:rPr>
          <w:b/>
          <w:szCs w:val="20"/>
          <w:lang w:val="en-US"/>
        </w:rPr>
        <w:t xml:space="preserve">Proposal </w:t>
      </w:r>
      <w:r w:rsidR="00F525CA">
        <w:rPr>
          <w:b/>
          <w:szCs w:val="20"/>
          <w:lang w:val="en-US"/>
        </w:rPr>
        <w:t>2</w:t>
      </w:r>
      <w:r w:rsidRPr="00BF4801">
        <w:rPr>
          <w:b/>
          <w:szCs w:val="20"/>
          <w:lang w:val="en-US"/>
        </w:rPr>
        <w:t xml:space="preserve">: </w:t>
      </w:r>
      <w:r w:rsidR="00590D93">
        <w:rPr>
          <w:b/>
          <w:szCs w:val="20"/>
          <w:lang w:val="en-US"/>
        </w:rPr>
        <w:t>The design for NR-unlicensed</w:t>
      </w:r>
      <w:r w:rsidR="00BB2058">
        <w:rPr>
          <w:b/>
          <w:szCs w:val="20"/>
          <w:lang w:val="en-US"/>
        </w:rPr>
        <w:t xml:space="preserve"> physical channel</w:t>
      </w:r>
      <w:r w:rsidR="009A5B6A">
        <w:rPr>
          <w:b/>
          <w:szCs w:val="20"/>
          <w:lang w:val="en-US"/>
        </w:rPr>
        <w:t xml:space="preserve"> for lower frequency range (LFR)</w:t>
      </w:r>
      <w:r w:rsidR="00BB2058">
        <w:rPr>
          <w:b/>
          <w:szCs w:val="20"/>
          <w:lang w:val="en-US"/>
        </w:rPr>
        <w:t xml:space="preserve"> assumes</w:t>
      </w:r>
      <w:r w:rsidR="00590D93">
        <w:rPr>
          <w:b/>
          <w:szCs w:val="20"/>
          <w:lang w:val="en-US"/>
        </w:rPr>
        <w:t xml:space="preserve"> </w:t>
      </w:r>
      <w:r>
        <w:rPr>
          <w:b/>
          <w:szCs w:val="20"/>
          <w:lang w:val="en-US"/>
        </w:rPr>
        <w:t>nominal channel bandwidth of 20 MHz</w:t>
      </w:r>
      <w:r w:rsidR="00BB2058">
        <w:rPr>
          <w:b/>
          <w:szCs w:val="20"/>
          <w:lang w:val="en-US"/>
        </w:rPr>
        <w:t xml:space="preserve"> and integer multiples of 20 MHz</w:t>
      </w:r>
      <w:r>
        <w:rPr>
          <w:b/>
          <w:szCs w:val="20"/>
          <w:lang w:val="en-US"/>
        </w:rPr>
        <w:t xml:space="preserve">, if </w:t>
      </w:r>
      <w:r w:rsidR="00BB2058">
        <w:rPr>
          <w:b/>
          <w:szCs w:val="20"/>
          <w:lang w:val="en-US"/>
        </w:rPr>
        <w:t>operating</w:t>
      </w:r>
      <w:r>
        <w:rPr>
          <w:b/>
          <w:szCs w:val="20"/>
          <w:lang w:val="en-US"/>
        </w:rPr>
        <w:t xml:space="preserve"> in a band where Wi-Fi is operating. </w:t>
      </w:r>
    </w:p>
    <w:p w14:paraId="4486432D" w14:textId="0263564A" w:rsidR="004E0CA1" w:rsidRPr="00283B09" w:rsidRDefault="004E0CA1" w:rsidP="004E0CA1">
      <w:pPr>
        <w:pStyle w:val="Heading2"/>
      </w:pPr>
      <w:r>
        <w:t xml:space="preserve">Occupied channel </w:t>
      </w:r>
      <w:r w:rsidR="00152031">
        <w:t>bandwidth</w:t>
      </w:r>
      <w:r w:rsidR="001762F8">
        <w:t xml:space="preserve"> (OCB)</w:t>
      </w:r>
    </w:p>
    <w:p w14:paraId="667B5E3B" w14:textId="77777777" w:rsidR="008E3047" w:rsidRDefault="00716FA5" w:rsidP="00716FA5">
      <w:pPr>
        <w:spacing w:before="240" w:after="240"/>
      </w:pPr>
      <w:r>
        <w:t>The updated ETSI harmonised standard for 5 GHz states that “</w:t>
      </w:r>
      <w:r w:rsidRPr="00716FA5">
        <w:rPr>
          <w:i/>
        </w:rPr>
        <w:t>The Occupied Channel Bandwidth shall be between 80 % and 100 % of the Nominal Channel Bandwidth. In case of smart antenna systems (devices with multiple transmit chains) each of the transmit chains shall meet this requirement. The Occupied Channel Bandwidth might change with time/payload</w:t>
      </w:r>
      <w:r>
        <w:t>.”</w:t>
      </w:r>
      <w:r w:rsidR="00B53DE2">
        <w:t xml:space="preserve"> </w:t>
      </w:r>
      <w:r w:rsidR="00911BCB">
        <w:t xml:space="preserve">Thus, if 20 MHz channel is used, then the occupied channel BW shall be equal to or greater than 16 </w:t>
      </w:r>
      <w:proofErr w:type="spellStart"/>
      <w:r w:rsidR="00911BCB">
        <w:t>MHz.</w:t>
      </w:r>
      <w:proofErr w:type="spellEnd"/>
      <w:r w:rsidR="00911BCB">
        <w:t xml:space="preserve"> On the other hand, it is stated that the OCB might change w</w:t>
      </w:r>
      <w:r w:rsidR="008E3047">
        <w:t xml:space="preserve">ith time/payload, but it is our understanding that the allowed variance is within the range of 80 % to 100 %. </w:t>
      </w:r>
    </w:p>
    <w:p w14:paraId="28955753" w14:textId="2598BF5C" w:rsidR="004E0CA1" w:rsidRDefault="008E3047" w:rsidP="00B118A3">
      <w:pPr>
        <w:spacing w:before="240" w:after="240"/>
      </w:pPr>
      <w:r>
        <w:t>On the other hand, the updated ETSI harmonised standard for 5 GHz also states that “</w:t>
      </w:r>
      <w:r w:rsidR="00B118A3" w:rsidRPr="00B118A3">
        <w:rPr>
          <w:i/>
        </w:rPr>
        <w:t xml:space="preserve">During a Channel Occupancy Time (COT), equipment may operate temporarily with an Occupied Channel Bandwidth of less than 80 % of its Nominal Channel Bandwidth with a minimum of 2 </w:t>
      </w:r>
      <w:proofErr w:type="spellStart"/>
      <w:r w:rsidR="00B118A3" w:rsidRPr="00B118A3">
        <w:rPr>
          <w:i/>
        </w:rPr>
        <w:t>MHz</w:t>
      </w:r>
      <w:r w:rsidR="00B118A3">
        <w:t>.</w:t>
      </w:r>
      <w:proofErr w:type="spellEnd"/>
      <w:r>
        <w:t>”</w:t>
      </w:r>
      <w:r w:rsidR="00354E1A">
        <w:t xml:space="preserve"> </w:t>
      </w:r>
      <w:r w:rsidR="009D5795">
        <w:t xml:space="preserve">However, the definition of temporary is ambiguous. Thus, it is preferable that NR-unlicensed design to consider to meet 80 % OCB rule in order to not to take any risk in the future if the regulation is updated such that the definition of temporary is specified. </w:t>
      </w:r>
    </w:p>
    <w:p w14:paraId="16455F20" w14:textId="129BBBC9" w:rsidR="002647C6" w:rsidRPr="00B118A3" w:rsidRDefault="002647C6" w:rsidP="00B118A3">
      <w:pPr>
        <w:spacing w:before="240" w:after="240"/>
      </w:pPr>
      <w:r>
        <w:t xml:space="preserve">In 60 GHz, the ETSI </w:t>
      </w:r>
      <w:r w:rsidR="00CF5C19">
        <w:t>harmonized standard for 60 GHz states that “</w:t>
      </w:r>
      <w:r w:rsidR="00CF5C19" w:rsidRPr="00CF5C19">
        <w:rPr>
          <w:rStyle w:val="fontstyle01"/>
          <w:i/>
        </w:rPr>
        <w:t>The Occupied Channel Bandwidth shall be between 70 % and 100 % of the declared Nominal Channel Bandwidth</w:t>
      </w:r>
      <w:r w:rsidR="00CF5C19">
        <w:t>” [</w:t>
      </w:r>
      <w:r w:rsidR="002B31CC">
        <w:t>4</w:t>
      </w:r>
      <w:r w:rsidR="00CF5C19">
        <w:t>]</w:t>
      </w:r>
      <w:r w:rsidR="002B31CC">
        <w:t>.</w:t>
      </w:r>
      <w:r w:rsidR="00415AC3">
        <w:t xml:space="preserve"> </w:t>
      </w:r>
      <w:r>
        <w:t xml:space="preserve"> </w:t>
      </w:r>
    </w:p>
    <w:p w14:paraId="35A696FF" w14:textId="78FBFE31" w:rsidR="002647C6" w:rsidRDefault="002647C6" w:rsidP="002647C6">
      <w:pPr>
        <w:spacing w:before="240" w:after="240"/>
        <w:rPr>
          <w:b/>
          <w:szCs w:val="20"/>
          <w:lang w:val="en-US"/>
        </w:rPr>
      </w:pPr>
      <w:r w:rsidRPr="00BF4801">
        <w:rPr>
          <w:b/>
          <w:szCs w:val="20"/>
          <w:lang w:val="en-US"/>
        </w:rPr>
        <w:t xml:space="preserve">Proposal </w:t>
      </w:r>
      <w:r w:rsidR="00F525CA">
        <w:rPr>
          <w:b/>
          <w:szCs w:val="20"/>
          <w:lang w:val="en-US"/>
        </w:rPr>
        <w:t>3</w:t>
      </w:r>
      <w:r w:rsidRPr="00BF4801">
        <w:rPr>
          <w:b/>
          <w:szCs w:val="20"/>
          <w:lang w:val="en-US"/>
        </w:rPr>
        <w:t xml:space="preserve">: </w:t>
      </w:r>
      <w:r>
        <w:rPr>
          <w:b/>
          <w:szCs w:val="20"/>
          <w:lang w:val="en-US"/>
        </w:rPr>
        <w:t>The</w:t>
      </w:r>
      <w:r w:rsidR="00E102BC">
        <w:rPr>
          <w:b/>
          <w:szCs w:val="20"/>
          <w:lang w:val="en-US"/>
        </w:rPr>
        <w:t xml:space="preserve"> design of NR-unlicensed physical channel </w:t>
      </w:r>
      <w:r w:rsidR="00E8563F">
        <w:rPr>
          <w:b/>
          <w:szCs w:val="20"/>
          <w:lang w:val="en-US"/>
        </w:rPr>
        <w:t xml:space="preserve">for LFR </w:t>
      </w:r>
      <w:r w:rsidR="009A5B6A">
        <w:rPr>
          <w:b/>
          <w:szCs w:val="20"/>
          <w:lang w:val="en-US"/>
        </w:rPr>
        <w:t xml:space="preserve">shall consider </w:t>
      </w:r>
      <w:r w:rsidR="00E8563F">
        <w:rPr>
          <w:b/>
          <w:szCs w:val="20"/>
          <w:lang w:val="en-US"/>
        </w:rPr>
        <w:t>minimum 80 %</w:t>
      </w:r>
      <w:r w:rsidR="009A5B6A">
        <w:rPr>
          <w:b/>
          <w:szCs w:val="20"/>
          <w:lang w:val="en-US"/>
        </w:rPr>
        <w:t xml:space="preserve"> occupied channel bandwidth</w:t>
      </w:r>
      <w:r w:rsidR="00E8563F">
        <w:rPr>
          <w:b/>
          <w:szCs w:val="20"/>
          <w:lang w:val="en-US"/>
        </w:rPr>
        <w:t xml:space="preserve"> requirement. </w:t>
      </w:r>
    </w:p>
    <w:p w14:paraId="341FEACB" w14:textId="1DA567C1" w:rsidR="00E8563F" w:rsidRDefault="00E8563F" w:rsidP="002647C6">
      <w:pPr>
        <w:spacing w:before="240" w:after="240"/>
        <w:rPr>
          <w:szCs w:val="20"/>
          <w:lang w:val="en-US"/>
        </w:rPr>
      </w:pPr>
      <w:r>
        <w:rPr>
          <w:szCs w:val="20"/>
          <w:lang w:val="en-US"/>
        </w:rPr>
        <w:lastRenderedPageBreak/>
        <w:t xml:space="preserve">Figure 1 below illustrates the </w:t>
      </w:r>
      <w:r w:rsidR="001762F8">
        <w:rPr>
          <w:szCs w:val="20"/>
          <w:lang w:val="en-US"/>
        </w:rPr>
        <w:t xml:space="preserve">interlaced PRB design for LTE </w:t>
      </w:r>
      <w:proofErr w:type="spellStart"/>
      <w:r w:rsidR="001762F8">
        <w:rPr>
          <w:szCs w:val="20"/>
          <w:lang w:val="en-US"/>
        </w:rPr>
        <w:t>eLAA</w:t>
      </w:r>
      <w:proofErr w:type="spellEnd"/>
      <w:r w:rsidR="001762F8">
        <w:rPr>
          <w:szCs w:val="20"/>
          <w:lang w:val="en-US"/>
        </w:rPr>
        <w:t xml:space="preserve"> PUSCH</w:t>
      </w:r>
      <w:r w:rsidR="006B2946">
        <w:rPr>
          <w:szCs w:val="20"/>
          <w:lang w:val="en-US"/>
        </w:rPr>
        <w:t>, where interlace is the basic resource allocation unit</w:t>
      </w:r>
      <w:r w:rsidR="001762F8">
        <w:rPr>
          <w:szCs w:val="20"/>
          <w:lang w:val="en-US"/>
        </w:rPr>
        <w:t>. In the case of DL, satisfying the OCB regulation is not difficult as DL is point-to-multi-points transmission. In the case of UL, satisfying the OCB regulation is becoming more challenging as UL is multi-point</w:t>
      </w:r>
      <w:r w:rsidR="00CF0070">
        <w:rPr>
          <w:szCs w:val="20"/>
          <w:lang w:val="en-US"/>
        </w:rPr>
        <w:t>s</w:t>
      </w:r>
      <w:r w:rsidR="001762F8">
        <w:rPr>
          <w:szCs w:val="20"/>
          <w:lang w:val="en-US"/>
        </w:rPr>
        <w:t xml:space="preserve">-to-point transmission. </w:t>
      </w:r>
      <w:r w:rsidR="00067B19">
        <w:rPr>
          <w:szCs w:val="20"/>
          <w:lang w:val="en-US"/>
        </w:rPr>
        <w:t>T</w:t>
      </w:r>
      <w:r w:rsidR="001762F8">
        <w:rPr>
          <w:szCs w:val="20"/>
          <w:lang w:val="en-US"/>
        </w:rPr>
        <w:t xml:space="preserve">he interlace design for LTE </w:t>
      </w:r>
      <w:proofErr w:type="spellStart"/>
      <w:r w:rsidR="001762F8">
        <w:rPr>
          <w:szCs w:val="20"/>
          <w:lang w:val="en-US"/>
        </w:rPr>
        <w:t>eLAA</w:t>
      </w:r>
      <w:proofErr w:type="spellEnd"/>
      <w:r w:rsidR="001762F8">
        <w:rPr>
          <w:szCs w:val="20"/>
          <w:lang w:val="en-US"/>
        </w:rPr>
        <w:t xml:space="preserve"> PUSCH </w:t>
      </w:r>
      <w:r w:rsidR="006B2946">
        <w:rPr>
          <w:szCs w:val="20"/>
          <w:lang w:val="en-US"/>
        </w:rPr>
        <w:t>had been</w:t>
      </w:r>
      <w:r w:rsidR="00067B19">
        <w:rPr>
          <w:szCs w:val="20"/>
          <w:lang w:val="en-US"/>
        </w:rPr>
        <w:t xml:space="preserve"> such that a single interlace transmission can meet the OCB requirement and thereby allowing multiplexing</w:t>
      </w:r>
      <w:r w:rsidR="00F962C0">
        <w:rPr>
          <w:szCs w:val="20"/>
          <w:lang w:val="en-US"/>
        </w:rPr>
        <w:t xml:space="preserve"> of multiple UEs</w:t>
      </w:r>
      <w:r w:rsidR="00067B19">
        <w:rPr>
          <w:szCs w:val="20"/>
          <w:lang w:val="en-US"/>
        </w:rPr>
        <w:t xml:space="preserve">. </w:t>
      </w:r>
    </w:p>
    <w:p w14:paraId="0C70C93E" w14:textId="77777777" w:rsidR="00067B19" w:rsidRPr="00E8563F" w:rsidRDefault="00067B19" w:rsidP="002647C6">
      <w:pPr>
        <w:spacing w:before="240" w:after="240"/>
        <w:rPr>
          <w:szCs w:val="20"/>
          <w:lang w:val="en-US"/>
        </w:rPr>
      </w:pPr>
    </w:p>
    <w:p w14:paraId="767F467C" w14:textId="5538A39C" w:rsidR="00E8563F" w:rsidRDefault="00E8563F" w:rsidP="00E8563F">
      <w:pPr>
        <w:spacing w:before="240" w:after="240"/>
        <w:jc w:val="center"/>
        <w:rPr>
          <w:b/>
          <w:szCs w:val="20"/>
          <w:lang w:val="en-US"/>
        </w:rPr>
      </w:pPr>
      <w:r w:rsidRPr="00E8563F">
        <w:rPr>
          <w:b/>
          <w:noProof/>
          <w:szCs w:val="20"/>
          <w:lang w:val="en-US" w:eastAsia="ko-KR"/>
        </w:rPr>
        <w:drawing>
          <wp:inline distT="0" distB="0" distL="0" distR="0" wp14:anchorId="78E98BBC" wp14:editId="62F0E618">
            <wp:extent cx="3323221" cy="2084718"/>
            <wp:effectExtent l="0" t="0" r="0"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rotWithShape="1">
                    <a:blip r:embed="rId12"/>
                    <a:srcRect r="21576" b="21162"/>
                    <a:stretch/>
                  </pic:blipFill>
                  <pic:spPr bwMode="auto">
                    <a:xfrm>
                      <a:off x="0" y="0"/>
                      <a:ext cx="3328991" cy="2088338"/>
                    </a:xfrm>
                    <a:prstGeom prst="rect">
                      <a:avLst/>
                    </a:prstGeom>
                    <a:ln>
                      <a:noFill/>
                    </a:ln>
                    <a:extLst>
                      <a:ext uri="{53640926-AAD7-44D8-BBD7-CCE9431645EC}">
                        <a14:shadowObscured xmlns:a14="http://schemas.microsoft.com/office/drawing/2010/main"/>
                      </a:ext>
                    </a:extLst>
                  </pic:spPr>
                </pic:pic>
              </a:graphicData>
            </a:graphic>
          </wp:inline>
        </w:drawing>
      </w:r>
    </w:p>
    <w:p w14:paraId="140D7E98" w14:textId="6EBF189B" w:rsidR="00E8563F" w:rsidRPr="00310498" w:rsidRDefault="00E8563F" w:rsidP="00E8563F">
      <w:pPr>
        <w:jc w:val="center"/>
        <w:rPr>
          <w:b/>
          <w:sz w:val="18"/>
        </w:rPr>
      </w:pPr>
      <w:r w:rsidRPr="00310498">
        <w:rPr>
          <w:b/>
          <w:sz w:val="18"/>
        </w:rPr>
        <w:t xml:space="preserve">Figure 1. </w:t>
      </w:r>
      <w:r>
        <w:rPr>
          <w:b/>
          <w:sz w:val="18"/>
        </w:rPr>
        <w:t xml:space="preserve">LTE interlace PRB design for PUSCH </w:t>
      </w:r>
    </w:p>
    <w:p w14:paraId="15E24168" w14:textId="6222E9C6" w:rsidR="001528C9" w:rsidRDefault="00F525CA" w:rsidP="001528C9">
      <w:pPr>
        <w:spacing w:before="240" w:after="240"/>
        <w:rPr>
          <w:szCs w:val="20"/>
          <w:lang w:val="en-US"/>
        </w:rPr>
      </w:pPr>
      <w:r w:rsidRPr="00F525CA">
        <w:rPr>
          <w:szCs w:val="20"/>
          <w:lang w:val="en-US"/>
        </w:rPr>
        <w:t xml:space="preserve">The </w:t>
      </w:r>
      <w:r>
        <w:rPr>
          <w:szCs w:val="20"/>
          <w:lang w:val="en-US"/>
        </w:rPr>
        <w:t>following lists basic characteristics of LTE interlace design:</w:t>
      </w:r>
    </w:p>
    <w:p w14:paraId="6E818C01" w14:textId="77777777" w:rsidR="00A8394E" w:rsidRPr="00CE0441" w:rsidRDefault="00572BB1" w:rsidP="00D55C0B">
      <w:pPr>
        <w:pStyle w:val="ListParagraph"/>
        <w:numPr>
          <w:ilvl w:val="0"/>
          <w:numId w:val="26"/>
        </w:numPr>
        <w:spacing w:after="60"/>
        <w:rPr>
          <w:rFonts w:ascii="Times" w:eastAsia="Batang" w:hAnsi="Times"/>
          <w:szCs w:val="20"/>
          <w:lang w:val="en-US"/>
        </w:rPr>
      </w:pPr>
      <w:r w:rsidRPr="00CE0441">
        <w:rPr>
          <w:rFonts w:ascii="Times" w:eastAsia="Batang" w:hAnsi="Times"/>
          <w:szCs w:val="20"/>
          <w:lang w:val="en-US"/>
        </w:rPr>
        <w:t>One interlace is the basic unit of resource allocation, which is composed of 10 RBs for both 10 MHz and 20 MHz BW.</w:t>
      </w:r>
    </w:p>
    <w:p w14:paraId="3B4A8CE8" w14:textId="7B0A0BDE" w:rsidR="00A8394E" w:rsidRPr="00CE0441" w:rsidRDefault="00572BB1" w:rsidP="00D55C0B">
      <w:pPr>
        <w:pStyle w:val="ListParagraph"/>
        <w:numPr>
          <w:ilvl w:val="0"/>
          <w:numId w:val="26"/>
        </w:numPr>
        <w:spacing w:after="60"/>
        <w:rPr>
          <w:rFonts w:ascii="Times" w:eastAsia="Batang" w:hAnsi="Times"/>
          <w:szCs w:val="20"/>
          <w:lang w:val="en-US"/>
        </w:rPr>
      </w:pPr>
      <w:r w:rsidRPr="00CE0441">
        <w:rPr>
          <w:rFonts w:ascii="Times" w:eastAsia="Batang" w:hAnsi="Times"/>
          <w:szCs w:val="20"/>
          <w:lang w:val="en-US"/>
        </w:rPr>
        <w:t>10 RBs are equa</w:t>
      </w:r>
      <w:r w:rsidR="00F525CA" w:rsidRPr="00CE0441">
        <w:rPr>
          <w:rFonts w:ascii="Times" w:eastAsia="Batang" w:hAnsi="Times"/>
          <w:szCs w:val="20"/>
          <w:lang w:val="en-US"/>
        </w:rPr>
        <w:t xml:space="preserve">lly spaced in frequency domain. As an example, </w:t>
      </w:r>
      <w:r w:rsidRPr="00CE0441">
        <w:rPr>
          <w:rFonts w:ascii="Times" w:eastAsia="Batang" w:hAnsi="Times"/>
          <w:szCs w:val="20"/>
          <w:lang w:val="en-US"/>
        </w:rPr>
        <w:t>interlace 0 is composed of RBs 0,</w:t>
      </w:r>
      <w:r w:rsidR="00D55C0B">
        <w:rPr>
          <w:rFonts w:ascii="Times" w:eastAsia="Batang" w:hAnsi="Times"/>
          <w:szCs w:val="20"/>
          <w:lang w:val="en-US"/>
        </w:rPr>
        <w:t xml:space="preserve"> </w:t>
      </w:r>
      <w:r w:rsidRPr="00CE0441">
        <w:rPr>
          <w:rFonts w:ascii="Times" w:eastAsia="Batang" w:hAnsi="Times"/>
          <w:szCs w:val="20"/>
          <w:lang w:val="en-US"/>
        </w:rPr>
        <w:t>10,</w:t>
      </w:r>
      <w:r w:rsidR="00D55C0B">
        <w:rPr>
          <w:rFonts w:ascii="Times" w:eastAsia="Batang" w:hAnsi="Times"/>
          <w:szCs w:val="20"/>
          <w:lang w:val="en-US"/>
        </w:rPr>
        <w:t xml:space="preserve"> </w:t>
      </w:r>
      <w:r w:rsidRPr="00CE0441">
        <w:rPr>
          <w:rFonts w:ascii="Times" w:eastAsia="Batang" w:hAnsi="Times"/>
          <w:szCs w:val="20"/>
          <w:lang w:val="en-US"/>
        </w:rPr>
        <w:t>20,</w:t>
      </w:r>
      <w:r w:rsidR="00D55C0B">
        <w:rPr>
          <w:rFonts w:ascii="Times" w:eastAsia="Batang" w:hAnsi="Times"/>
          <w:szCs w:val="20"/>
          <w:lang w:val="en-US"/>
        </w:rPr>
        <w:t xml:space="preserve"> </w:t>
      </w:r>
      <w:r w:rsidRPr="00CE0441">
        <w:rPr>
          <w:rFonts w:ascii="Times" w:eastAsia="Batang" w:hAnsi="Times"/>
          <w:szCs w:val="20"/>
          <w:lang w:val="en-US"/>
        </w:rPr>
        <w:t>...,</w:t>
      </w:r>
      <w:r w:rsidR="00D55C0B">
        <w:rPr>
          <w:rFonts w:ascii="Times" w:eastAsia="Batang" w:hAnsi="Times"/>
          <w:szCs w:val="20"/>
          <w:lang w:val="en-US"/>
        </w:rPr>
        <w:t xml:space="preserve"> </w:t>
      </w:r>
      <w:r w:rsidRPr="00CE0441">
        <w:rPr>
          <w:rFonts w:ascii="Times" w:eastAsia="Batang" w:hAnsi="Times"/>
          <w:szCs w:val="20"/>
          <w:lang w:val="en-US"/>
        </w:rPr>
        <w:t>90</w:t>
      </w:r>
      <w:r w:rsidR="00F525CA" w:rsidRPr="00CE0441">
        <w:rPr>
          <w:rFonts w:ascii="Times" w:eastAsia="Batang" w:hAnsi="Times"/>
          <w:szCs w:val="20"/>
          <w:lang w:val="en-US"/>
        </w:rPr>
        <w:t>.</w:t>
      </w:r>
    </w:p>
    <w:p w14:paraId="193137DE" w14:textId="7FC16704" w:rsidR="00A8394E" w:rsidRPr="00CE0441" w:rsidRDefault="00572BB1" w:rsidP="00D55C0B">
      <w:pPr>
        <w:pStyle w:val="ListParagraph"/>
        <w:numPr>
          <w:ilvl w:val="0"/>
          <w:numId w:val="26"/>
        </w:numPr>
        <w:spacing w:after="60"/>
        <w:rPr>
          <w:rFonts w:ascii="Times" w:eastAsia="Batang" w:hAnsi="Times"/>
          <w:szCs w:val="20"/>
          <w:lang w:val="en-US"/>
        </w:rPr>
      </w:pPr>
      <w:r w:rsidRPr="00CE0441">
        <w:rPr>
          <w:rFonts w:ascii="Times" w:eastAsia="Batang" w:hAnsi="Times"/>
          <w:szCs w:val="20"/>
          <w:lang w:val="en-US"/>
        </w:rPr>
        <w:t>As in the legacy, the total number of RBs used for transmission should be a multiple of 2,3 and 5.</w:t>
      </w:r>
      <w:r w:rsidR="00F525CA" w:rsidRPr="00CE0441">
        <w:rPr>
          <w:rFonts w:ascii="Times" w:eastAsia="Batang" w:hAnsi="Times"/>
          <w:szCs w:val="20"/>
          <w:lang w:val="en-US"/>
        </w:rPr>
        <w:t xml:space="preserve"> Thus, s</w:t>
      </w:r>
      <w:r w:rsidRPr="00CE0441">
        <w:rPr>
          <w:rFonts w:ascii="Times" w:eastAsia="Batang" w:hAnsi="Times"/>
          <w:szCs w:val="20"/>
          <w:lang w:val="en-US"/>
        </w:rPr>
        <w:t>cheduling 70 UL RBs is not supported.</w:t>
      </w:r>
    </w:p>
    <w:p w14:paraId="3500289D" w14:textId="68B70686" w:rsidR="00F525CA" w:rsidRPr="00CE0441" w:rsidRDefault="00572BB1" w:rsidP="00D55C0B">
      <w:pPr>
        <w:pStyle w:val="ListParagraph"/>
        <w:numPr>
          <w:ilvl w:val="0"/>
          <w:numId w:val="26"/>
        </w:numPr>
        <w:spacing w:after="60"/>
        <w:rPr>
          <w:rFonts w:ascii="Times" w:eastAsia="Batang" w:hAnsi="Times"/>
          <w:szCs w:val="20"/>
          <w:lang w:val="en-US"/>
        </w:rPr>
      </w:pPr>
      <w:r w:rsidRPr="00CE0441">
        <w:rPr>
          <w:rFonts w:ascii="Times" w:eastAsia="Batang" w:hAnsi="Times"/>
          <w:szCs w:val="20"/>
          <w:lang w:val="en-US"/>
        </w:rPr>
        <w:t>DMRS reuse</w:t>
      </w:r>
      <w:r w:rsidR="00F525CA" w:rsidRPr="00CE0441">
        <w:rPr>
          <w:rFonts w:ascii="Times" w:eastAsia="Batang" w:hAnsi="Times"/>
          <w:szCs w:val="20"/>
          <w:lang w:val="en-US"/>
        </w:rPr>
        <w:t>s</w:t>
      </w:r>
      <w:r w:rsidRPr="00CE0441">
        <w:rPr>
          <w:rFonts w:ascii="Times" w:eastAsia="Batang" w:hAnsi="Times"/>
          <w:szCs w:val="20"/>
          <w:lang w:val="en-US"/>
        </w:rPr>
        <w:t xml:space="preserve"> the legacy generation sequence and symbol position. The frequency position is the same as PUSCH </w:t>
      </w:r>
      <w:proofErr w:type="spellStart"/>
      <w:r w:rsidRPr="00CE0441">
        <w:rPr>
          <w:rFonts w:ascii="Times" w:eastAsia="Batang" w:hAnsi="Times"/>
          <w:szCs w:val="20"/>
          <w:lang w:val="en-US"/>
        </w:rPr>
        <w:t>REs.</w:t>
      </w:r>
      <w:proofErr w:type="spellEnd"/>
    </w:p>
    <w:p w14:paraId="630956E1" w14:textId="3FC9A45E" w:rsidR="00F525CA" w:rsidRPr="00283B09" w:rsidRDefault="00F525CA" w:rsidP="00F525CA">
      <w:pPr>
        <w:pStyle w:val="Heading2"/>
      </w:pPr>
      <w:r>
        <w:t>Power spectral density</w:t>
      </w:r>
    </w:p>
    <w:p w14:paraId="7E7EE48A" w14:textId="3DA25A8B" w:rsidR="000C17E7" w:rsidRPr="00CE0441" w:rsidRDefault="00F525CA" w:rsidP="00F525CA">
      <w:pPr>
        <w:rPr>
          <w:rFonts w:cs="Times"/>
        </w:rPr>
      </w:pPr>
      <w:r w:rsidRPr="00CE0441">
        <w:rPr>
          <w:rFonts w:cs="Times"/>
        </w:rPr>
        <w:t>The ETSI harmonised standard for 5 GHz</w:t>
      </w:r>
      <w:r w:rsidR="00302697" w:rsidRPr="00CE0441">
        <w:rPr>
          <w:rFonts w:cs="Times"/>
        </w:rPr>
        <w:t xml:space="preserve"> describes </w:t>
      </w:r>
      <w:r w:rsidR="000C17E7" w:rsidRPr="00CE0441">
        <w:rPr>
          <w:rFonts w:cs="Times"/>
        </w:rPr>
        <w:t>maximum transmit power and power spectral density in terms of EIRP as follows [3]:</w:t>
      </w:r>
    </w:p>
    <w:p w14:paraId="758D6614" w14:textId="70FFED50" w:rsidR="00D375A8" w:rsidRPr="00CE0441" w:rsidRDefault="00D375A8" w:rsidP="00D375A8">
      <w:pPr>
        <w:pStyle w:val="ListParagraph"/>
        <w:numPr>
          <w:ilvl w:val="0"/>
          <w:numId w:val="28"/>
        </w:numPr>
        <w:rPr>
          <w:rFonts w:ascii="Times" w:hAnsi="Times" w:cs="Times"/>
        </w:rPr>
      </w:pPr>
      <w:r w:rsidRPr="00CE0441">
        <w:rPr>
          <w:rFonts w:ascii="Times" w:hAnsi="Times" w:cs="Times"/>
        </w:rPr>
        <w:t>Mean EIRP limit for maximum RF output power</w:t>
      </w:r>
      <w:r w:rsidR="00F762E3" w:rsidRPr="00CE0441">
        <w:rPr>
          <w:rFonts w:ascii="Times" w:hAnsi="Times" w:cs="Times"/>
        </w:rPr>
        <w:t xml:space="preserve"> (</w:t>
      </w:r>
      <w:proofErr w:type="spellStart"/>
      <w:r w:rsidR="00F762E3" w:rsidRPr="00CE0441">
        <w:rPr>
          <w:rFonts w:ascii="Times" w:hAnsi="Times" w:cs="Times"/>
        </w:rPr>
        <w:t>dBm</w:t>
      </w:r>
      <w:proofErr w:type="spellEnd"/>
      <w:r w:rsidR="00F762E3" w:rsidRPr="00CE0441">
        <w:rPr>
          <w:rFonts w:ascii="Times" w:hAnsi="Times" w:cs="Times"/>
        </w:rPr>
        <w:t>)</w:t>
      </w:r>
    </w:p>
    <w:p w14:paraId="3643D26A" w14:textId="6F57BD02" w:rsidR="00D375A8" w:rsidRPr="00CE0441" w:rsidRDefault="00D375A8" w:rsidP="00D375A8">
      <w:pPr>
        <w:pStyle w:val="ListParagraph"/>
        <w:numPr>
          <w:ilvl w:val="1"/>
          <w:numId w:val="28"/>
        </w:numPr>
        <w:rPr>
          <w:rFonts w:ascii="Times" w:hAnsi="Times" w:cs="Times"/>
        </w:rPr>
      </w:pPr>
      <w:r w:rsidRPr="00CE0441">
        <w:rPr>
          <w:rFonts w:ascii="Times" w:hAnsi="Times" w:cs="Times"/>
        </w:rPr>
        <w:t>5.15 GHz – 5.</w:t>
      </w:r>
      <w:r w:rsidR="00F762E3" w:rsidRPr="00CE0441">
        <w:rPr>
          <w:rFonts w:ascii="Times" w:hAnsi="Times" w:cs="Times"/>
        </w:rPr>
        <w:t>35 GHz: 23 with TPC and 20/23</w:t>
      </w:r>
      <w:r w:rsidRPr="00CE0441">
        <w:rPr>
          <w:rStyle w:val="FootnoteReference"/>
          <w:rFonts w:ascii="Times" w:hAnsi="Times" w:cs="Times"/>
        </w:rPr>
        <w:footnoteReference w:id="2"/>
      </w:r>
      <w:r w:rsidRPr="00CE0441">
        <w:rPr>
          <w:rFonts w:ascii="Times" w:hAnsi="Times" w:cs="Times"/>
        </w:rPr>
        <w:t xml:space="preserve"> without TPC.</w:t>
      </w:r>
    </w:p>
    <w:p w14:paraId="22495FCE" w14:textId="4AE9648B" w:rsidR="00D375A8" w:rsidRPr="00CE0441" w:rsidRDefault="00D375A8" w:rsidP="00D375A8">
      <w:pPr>
        <w:pStyle w:val="ListParagraph"/>
        <w:numPr>
          <w:ilvl w:val="1"/>
          <w:numId w:val="28"/>
        </w:numPr>
        <w:rPr>
          <w:rFonts w:ascii="Times" w:hAnsi="Times" w:cs="Times"/>
        </w:rPr>
      </w:pPr>
      <w:r w:rsidRPr="00CE0441">
        <w:rPr>
          <w:rFonts w:ascii="Times" w:hAnsi="Times" w:cs="Times"/>
        </w:rPr>
        <w:t xml:space="preserve">5.47 GHz – 5.725 GHz: </w:t>
      </w:r>
      <w:r w:rsidR="00F762E3" w:rsidRPr="00CE0441">
        <w:rPr>
          <w:rFonts w:ascii="Times" w:hAnsi="Times" w:cs="Times"/>
        </w:rPr>
        <w:t>30</w:t>
      </w:r>
      <w:r w:rsidRPr="00CE0441">
        <w:rPr>
          <w:rStyle w:val="FootnoteReference"/>
          <w:rFonts w:ascii="Times" w:hAnsi="Times" w:cs="Times"/>
        </w:rPr>
        <w:footnoteReference w:id="3"/>
      </w:r>
      <w:r w:rsidR="00F762E3" w:rsidRPr="00CE0441">
        <w:rPr>
          <w:rFonts w:ascii="Times" w:hAnsi="Times" w:cs="Times"/>
        </w:rPr>
        <w:t xml:space="preserve"> with TPC and 27</w:t>
      </w:r>
      <w:r w:rsidR="00642408" w:rsidRPr="00CE0441">
        <w:rPr>
          <w:rFonts w:ascii="Times" w:hAnsi="Times" w:cs="Times"/>
          <w:vertAlign w:val="superscript"/>
        </w:rPr>
        <w:t>3</w:t>
      </w:r>
      <w:r w:rsidR="00642408" w:rsidRPr="00CE0441">
        <w:rPr>
          <w:rFonts w:ascii="Times" w:hAnsi="Times" w:cs="Times"/>
        </w:rPr>
        <w:t xml:space="preserve"> w</w:t>
      </w:r>
      <w:r w:rsidRPr="00CE0441">
        <w:rPr>
          <w:rFonts w:ascii="Times" w:hAnsi="Times" w:cs="Times"/>
        </w:rPr>
        <w:t xml:space="preserve">ithout TPC. </w:t>
      </w:r>
    </w:p>
    <w:p w14:paraId="7C40D918" w14:textId="6974C4B1" w:rsidR="00F762E3" w:rsidRPr="00CE0441" w:rsidRDefault="00F762E3" w:rsidP="00F762E3">
      <w:pPr>
        <w:pStyle w:val="ListParagraph"/>
        <w:numPr>
          <w:ilvl w:val="0"/>
          <w:numId w:val="28"/>
        </w:numPr>
        <w:rPr>
          <w:rFonts w:ascii="Times" w:hAnsi="Times" w:cs="Times"/>
        </w:rPr>
      </w:pPr>
      <w:r w:rsidRPr="00CE0441">
        <w:rPr>
          <w:rFonts w:ascii="Times" w:hAnsi="Times" w:cs="Times"/>
        </w:rPr>
        <w:t>Mean EIRP limit density limit (</w:t>
      </w:r>
      <w:proofErr w:type="spellStart"/>
      <w:r w:rsidRPr="00CE0441">
        <w:rPr>
          <w:rFonts w:ascii="Times" w:hAnsi="Times" w:cs="Times"/>
        </w:rPr>
        <w:t>dBm</w:t>
      </w:r>
      <w:proofErr w:type="spellEnd"/>
      <w:r w:rsidRPr="00CE0441">
        <w:rPr>
          <w:rFonts w:ascii="Times" w:hAnsi="Times" w:cs="Times"/>
        </w:rPr>
        <w:t>/MHz)</w:t>
      </w:r>
    </w:p>
    <w:p w14:paraId="5C1B365A" w14:textId="0AE51126" w:rsidR="00F762E3" w:rsidRPr="00CE0441" w:rsidRDefault="00F762E3" w:rsidP="00F762E3">
      <w:pPr>
        <w:pStyle w:val="ListParagraph"/>
        <w:numPr>
          <w:ilvl w:val="1"/>
          <w:numId w:val="28"/>
        </w:numPr>
        <w:rPr>
          <w:rFonts w:ascii="Times" w:hAnsi="Times" w:cs="Times"/>
        </w:rPr>
      </w:pPr>
      <w:r w:rsidRPr="00CE0441">
        <w:rPr>
          <w:rFonts w:ascii="Times" w:hAnsi="Times" w:cs="Times"/>
        </w:rPr>
        <w:t>5.15 GHz – 5.35 GHz: 10 with TPC and 7/10</w:t>
      </w:r>
      <w:r w:rsidRPr="00CE0441">
        <w:rPr>
          <w:rStyle w:val="FootnoteReference"/>
          <w:rFonts w:ascii="Times" w:hAnsi="Times" w:cs="Times"/>
        </w:rPr>
        <w:footnoteReference w:id="4"/>
      </w:r>
      <w:r w:rsidRPr="00CE0441">
        <w:rPr>
          <w:rFonts w:ascii="Times" w:hAnsi="Times" w:cs="Times"/>
        </w:rPr>
        <w:t xml:space="preserve"> without TPC.</w:t>
      </w:r>
    </w:p>
    <w:p w14:paraId="3FAAB52F" w14:textId="20704ED2" w:rsidR="00F762E3" w:rsidRPr="00CE0441" w:rsidRDefault="00F762E3" w:rsidP="00F762E3">
      <w:pPr>
        <w:pStyle w:val="ListParagraph"/>
        <w:numPr>
          <w:ilvl w:val="1"/>
          <w:numId w:val="28"/>
        </w:numPr>
        <w:rPr>
          <w:rFonts w:ascii="Times" w:hAnsi="Times" w:cs="Times"/>
        </w:rPr>
      </w:pPr>
      <w:r w:rsidRPr="00CE0441">
        <w:rPr>
          <w:rFonts w:ascii="Times" w:hAnsi="Times" w:cs="Times"/>
        </w:rPr>
        <w:t>5.47 GHz – 5.725 GHz: 17</w:t>
      </w:r>
      <w:r w:rsidRPr="00CE0441">
        <w:rPr>
          <w:rFonts w:ascii="Times" w:hAnsi="Times" w:cs="Times"/>
          <w:vertAlign w:val="superscript"/>
        </w:rPr>
        <w:t>3</w:t>
      </w:r>
      <w:r w:rsidRPr="00CE0441">
        <w:rPr>
          <w:rFonts w:ascii="Times" w:hAnsi="Times" w:cs="Times"/>
        </w:rPr>
        <w:t xml:space="preserve"> with TPC and 14</w:t>
      </w:r>
      <w:r w:rsidRPr="00CE0441">
        <w:rPr>
          <w:rFonts w:ascii="Times" w:hAnsi="Times" w:cs="Times"/>
          <w:vertAlign w:val="superscript"/>
        </w:rPr>
        <w:t>3</w:t>
      </w:r>
      <w:r w:rsidRPr="00CE0441">
        <w:rPr>
          <w:rFonts w:ascii="Times" w:hAnsi="Times" w:cs="Times"/>
        </w:rPr>
        <w:t xml:space="preserve"> without TPC. </w:t>
      </w:r>
    </w:p>
    <w:p w14:paraId="370798DF" w14:textId="578A5818" w:rsidR="00BF3091" w:rsidRDefault="002D3B4C" w:rsidP="00F525CA">
      <w:r>
        <w:t xml:space="preserve">The PSD limit also has an implication on the interlace design. </w:t>
      </w:r>
      <w:r w:rsidR="00006B72">
        <w:t xml:space="preserve">When contiguous PRBs are used for transmission, the </w:t>
      </w:r>
      <w:r w:rsidR="007E327F">
        <w:t xml:space="preserve">total </w:t>
      </w:r>
      <w:r w:rsidR="00006B72">
        <w:t xml:space="preserve">transmission power </w:t>
      </w:r>
      <w:r w:rsidR="007E327F">
        <w:t>will be rather restricted by PSD limit than the maximum transmit power limit</w:t>
      </w:r>
      <w:r w:rsidR="0030655B">
        <w:t xml:space="preserve"> when the total transmit </w:t>
      </w:r>
      <w:r w:rsidR="0030655B">
        <w:lastRenderedPageBreak/>
        <w:t>bandwidth is not sufficiently wide</w:t>
      </w:r>
      <w:r w:rsidR="007E327F">
        <w:t>.</w:t>
      </w:r>
      <w:r w:rsidR="0030655B">
        <w:t xml:space="preserve"> On the other hand, the use of interlaced PRBs allows to </w:t>
      </w:r>
      <w:r w:rsidR="00BF3091">
        <w:t xml:space="preserve">distribute the allocation of PRBs in frequency domain and allows to allocate the transmission power on particular PRB(s) permitted by PSD limit. </w:t>
      </w:r>
    </w:p>
    <w:p w14:paraId="39F19683" w14:textId="71627053" w:rsidR="000C17E7" w:rsidRDefault="000C17E7" w:rsidP="00F525CA"/>
    <w:p w14:paraId="2A48280C" w14:textId="4BC506B7" w:rsidR="00CE0441" w:rsidRDefault="00CE0441" w:rsidP="00CE0441">
      <w:pPr>
        <w:jc w:val="center"/>
      </w:pPr>
      <w:r w:rsidRPr="00CE0441">
        <w:rPr>
          <w:noProof/>
          <w:lang w:val="en-US" w:eastAsia="ko-KR"/>
        </w:rPr>
        <w:drawing>
          <wp:inline distT="0" distB="0" distL="0" distR="0" wp14:anchorId="5E61F79E" wp14:editId="2924E132">
            <wp:extent cx="3127022" cy="778715"/>
            <wp:effectExtent l="0" t="0" r="0" b="2540"/>
            <wp:docPr id="3"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3"/>
                    <a:stretch>
                      <a:fillRect/>
                    </a:stretch>
                  </pic:blipFill>
                  <pic:spPr>
                    <a:xfrm>
                      <a:off x="0" y="0"/>
                      <a:ext cx="3184007" cy="792906"/>
                    </a:xfrm>
                    <a:prstGeom prst="rect">
                      <a:avLst/>
                    </a:prstGeom>
                  </pic:spPr>
                </pic:pic>
              </a:graphicData>
            </a:graphic>
          </wp:inline>
        </w:drawing>
      </w:r>
    </w:p>
    <w:p w14:paraId="44B6A277" w14:textId="24237754" w:rsidR="00CE0441" w:rsidRPr="00310498" w:rsidRDefault="00CE0441" w:rsidP="00CE0441">
      <w:pPr>
        <w:spacing w:before="240"/>
        <w:jc w:val="center"/>
        <w:rPr>
          <w:b/>
          <w:sz w:val="18"/>
        </w:rPr>
      </w:pPr>
      <w:r w:rsidRPr="00310498">
        <w:rPr>
          <w:b/>
          <w:sz w:val="18"/>
        </w:rPr>
        <w:t xml:space="preserve">Figure </w:t>
      </w:r>
      <w:r>
        <w:rPr>
          <w:b/>
          <w:sz w:val="18"/>
        </w:rPr>
        <w:t>2</w:t>
      </w:r>
      <w:r w:rsidRPr="00310498">
        <w:rPr>
          <w:b/>
          <w:sz w:val="18"/>
        </w:rPr>
        <w:t xml:space="preserve">. </w:t>
      </w:r>
      <w:r>
        <w:rPr>
          <w:b/>
          <w:sz w:val="18"/>
        </w:rPr>
        <w:t>Illustration of PSD 1 MHz window assuming 15 kHz subcarrier spacing</w:t>
      </w:r>
    </w:p>
    <w:p w14:paraId="2867F631" w14:textId="4831EAE3" w:rsidR="000C17E7" w:rsidRDefault="000C17E7" w:rsidP="00F525CA"/>
    <w:p w14:paraId="35757AC0" w14:textId="27901D5C" w:rsidR="00FD3B22" w:rsidRPr="00BB5AC3" w:rsidRDefault="006577EF" w:rsidP="00BB5AC3">
      <w:pPr>
        <w:spacing w:before="240" w:after="240"/>
        <w:rPr>
          <w:b/>
          <w:szCs w:val="20"/>
          <w:lang w:val="en-US"/>
        </w:rPr>
      </w:pPr>
      <w:r>
        <w:rPr>
          <w:b/>
          <w:szCs w:val="20"/>
          <w:lang w:val="en-US"/>
        </w:rPr>
        <w:t>Observation</w:t>
      </w:r>
      <w:r w:rsidRPr="00BF4801">
        <w:rPr>
          <w:b/>
          <w:szCs w:val="20"/>
          <w:lang w:val="en-US"/>
        </w:rPr>
        <w:t xml:space="preserve"> </w:t>
      </w:r>
      <w:r>
        <w:rPr>
          <w:b/>
          <w:szCs w:val="20"/>
          <w:lang w:val="en-US"/>
        </w:rPr>
        <w:t>1</w:t>
      </w:r>
      <w:r w:rsidRPr="00BF4801">
        <w:rPr>
          <w:b/>
          <w:szCs w:val="20"/>
          <w:lang w:val="en-US"/>
        </w:rPr>
        <w:t xml:space="preserve">: </w:t>
      </w:r>
      <w:r>
        <w:rPr>
          <w:b/>
          <w:szCs w:val="20"/>
          <w:lang w:val="en-US"/>
        </w:rPr>
        <w:t>The interlaced PRB allocation</w:t>
      </w:r>
      <w:r w:rsidR="004C0D34">
        <w:rPr>
          <w:b/>
          <w:szCs w:val="20"/>
          <w:lang w:val="en-US"/>
        </w:rPr>
        <w:t xml:space="preserve"> allow</w:t>
      </w:r>
      <w:r w:rsidR="008C28F2">
        <w:rPr>
          <w:b/>
          <w:szCs w:val="20"/>
          <w:lang w:val="en-US"/>
        </w:rPr>
        <w:t>s</w:t>
      </w:r>
      <w:r w:rsidR="004C0D34">
        <w:rPr>
          <w:b/>
          <w:szCs w:val="20"/>
          <w:lang w:val="en-US"/>
        </w:rPr>
        <w:t xml:space="preserve"> </w:t>
      </w:r>
      <w:r w:rsidR="008C28F2">
        <w:rPr>
          <w:b/>
          <w:szCs w:val="20"/>
          <w:lang w:val="en-US"/>
        </w:rPr>
        <w:t>some degree of freedom in allocating transmission power per PRB within the allowed PSD limit</w:t>
      </w:r>
      <w:r w:rsidR="00BB5AC3">
        <w:rPr>
          <w:b/>
          <w:szCs w:val="20"/>
          <w:lang w:val="en-US"/>
        </w:rPr>
        <w:t xml:space="preserve"> while </w:t>
      </w:r>
      <w:r w:rsidR="00D55C0B">
        <w:rPr>
          <w:b/>
          <w:szCs w:val="20"/>
          <w:lang w:val="en-US"/>
        </w:rPr>
        <w:t>satisfying</w:t>
      </w:r>
      <w:r w:rsidR="00BB5AC3">
        <w:rPr>
          <w:b/>
          <w:szCs w:val="20"/>
          <w:lang w:val="en-US"/>
        </w:rPr>
        <w:t xml:space="preserve"> OCB regulation.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3CCB7F74" w14:textId="42917335" w:rsidR="00D55C0B" w:rsidRDefault="00D55C0B" w:rsidP="00D55C0B">
      <w:r>
        <w:t>In this contribution, we first discussed the frequency range definition for lower frequency unlicensed spectrums. After that, we discussed relevant regulations that may affect physical layer design of NR-unlicensed. The following proposals and observation were made during the discussion:</w:t>
      </w:r>
    </w:p>
    <w:p w14:paraId="191D2E84" w14:textId="1C25EC5F" w:rsidR="00D55C0B" w:rsidRPr="00D55C0B" w:rsidRDefault="00D55C0B" w:rsidP="00D55C0B">
      <w:pPr>
        <w:spacing w:before="240" w:after="240"/>
        <w:rPr>
          <w:b/>
          <w:szCs w:val="20"/>
          <w:lang w:val="en-US"/>
        </w:rPr>
      </w:pPr>
      <w:r w:rsidRPr="00BF4801">
        <w:rPr>
          <w:b/>
          <w:szCs w:val="20"/>
          <w:lang w:val="en-US"/>
        </w:rPr>
        <w:t xml:space="preserve">Proposal 1: </w:t>
      </w:r>
      <w:r>
        <w:rPr>
          <w:b/>
          <w:szCs w:val="20"/>
          <w:lang w:val="en-US"/>
        </w:rPr>
        <w:t xml:space="preserve">The lower frequency range (LFR) for NR-unlicensed is defined as </w:t>
      </w:r>
      <w:r w:rsidRPr="001528C9">
        <w:rPr>
          <w:b/>
          <w:szCs w:val="20"/>
          <w:lang w:val="en-US"/>
        </w:rPr>
        <w:t>1 GHz – 7.125 GHz</w:t>
      </w:r>
      <w:r>
        <w:rPr>
          <w:b/>
          <w:szCs w:val="20"/>
          <w:lang w:val="en-US"/>
        </w:rPr>
        <w:t>.</w:t>
      </w:r>
    </w:p>
    <w:p w14:paraId="06B6BEC5" w14:textId="75E9ADA2" w:rsidR="00D55C0B" w:rsidRDefault="00D55C0B" w:rsidP="00D55C0B">
      <w:pPr>
        <w:spacing w:before="240" w:after="240"/>
        <w:rPr>
          <w:b/>
          <w:szCs w:val="20"/>
          <w:lang w:val="en-US"/>
        </w:rPr>
      </w:pPr>
      <w:r w:rsidRPr="00BF4801">
        <w:rPr>
          <w:b/>
          <w:szCs w:val="20"/>
          <w:lang w:val="en-US"/>
        </w:rPr>
        <w:t xml:space="preserve">Proposal </w:t>
      </w:r>
      <w:r>
        <w:rPr>
          <w:b/>
          <w:szCs w:val="20"/>
          <w:lang w:val="en-US"/>
        </w:rPr>
        <w:t>2</w:t>
      </w:r>
      <w:r w:rsidRPr="00BF4801">
        <w:rPr>
          <w:b/>
          <w:szCs w:val="20"/>
          <w:lang w:val="en-US"/>
        </w:rPr>
        <w:t xml:space="preserve">: </w:t>
      </w:r>
      <w:r>
        <w:rPr>
          <w:b/>
          <w:szCs w:val="20"/>
          <w:lang w:val="en-US"/>
        </w:rPr>
        <w:t xml:space="preserve">The design for NR-unlicensed physical channel for lower frequency range (LFR) assumes nominal channel bandwidth of 20 MHz and integer multiples of 20 MHz, if operating in a band where Wi-Fi is operating. </w:t>
      </w:r>
    </w:p>
    <w:p w14:paraId="5323E832" w14:textId="20B717BD" w:rsidR="0045551F" w:rsidRPr="00D55C0B" w:rsidRDefault="00D55C0B" w:rsidP="00D55C0B">
      <w:pPr>
        <w:spacing w:before="240" w:after="240"/>
        <w:rPr>
          <w:b/>
          <w:szCs w:val="20"/>
          <w:lang w:val="en-US"/>
        </w:rPr>
      </w:pPr>
      <w:r w:rsidRPr="00BF4801">
        <w:rPr>
          <w:b/>
          <w:szCs w:val="20"/>
          <w:lang w:val="en-US"/>
        </w:rPr>
        <w:t xml:space="preserve">Proposal </w:t>
      </w:r>
      <w:r>
        <w:rPr>
          <w:b/>
          <w:szCs w:val="20"/>
          <w:lang w:val="en-US"/>
        </w:rPr>
        <w:t>3</w:t>
      </w:r>
      <w:r w:rsidRPr="00BF4801">
        <w:rPr>
          <w:b/>
          <w:szCs w:val="20"/>
          <w:lang w:val="en-US"/>
        </w:rPr>
        <w:t xml:space="preserve">: </w:t>
      </w:r>
      <w:r>
        <w:rPr>
          <w:b/>
          <w:szCs w:val="20"/>
          <w:lang w:val="en-US"/>
        </w:rPr>
        <w:t xml:space="preserve">The design of NR-unlicensed physical channel for LFR shall consider minimum 80 % occupied channel bandwidth requirement. </w:t>
      </w:r>
    </w:p>
    <w:p w14:paraId="238F967D" w14:textId="391E8390" w:rsidR="00706604" w:rsidRPr="00D55C0B" w:rsidRDefault="00D55C0B" w:rsidP="00D55C0B">
      <w:pPr>
        <w:spacing w:before="240" w:after="240"/>
        <w:rPr>
          <w:b/>
          <w:szCs w:val="20"/>
          <w:lang w:val="en-US"/>
        </w:rPr>
      </w:pPr>
      <w:r>
        <w:rPr>
          <w:b/>
          <w:szCs w:val="20"/>
          <w:lang w:val="en-US"/>
        </w:rPr>
        <w:t>Observation</w:t>
      </w:r>
      <w:r w:rsidRPr="00BF4801">
        <w:rPr>
          <w:b/>
          <w:szCs w:val="20"/>
          <w:lang w:val="en-US"/>
        </w:rPr>
        <w:t xml:space="preserve"> </w:t>
      </w:r>
      <w:r>
        <w:rPr>
          <w:b/>
          <w:szCs w:val="20"/>
          <w:lang w:val="en-US"/>
        </w:rPr>
        <w:t>1</w:t>
      </w:r>
      <w:r w:rsidRPr="00BF4801">
        <w:rPr>
          <w:b/>
          <w:szCs w:val="20"/>
          <w:lang w:val="en-US"/>
        </w:rPr>
        <w:t xml:space="preserve">: </w:t>
      </w:r>
      <w:r>
        <w:rPr>
          <w:b/>
          <w:szCs w:val="20"/>
          <w:lang w:val="en-US"/>
        </w:rPr>
        <w:t xml:space="preserve">The interlaced PRB allocation allows some degree of freedom in allocating transmission power per PRB within the allowed PSD limit while satisfying OCB regulation. </w:t>
      </w:r>
      <w:bookmarkStart w:id="1" w:name="_GoBack"/>
      <w:bookmarkEnd w:id="1"/>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1A2EE56E" w14:textId="77777777" w:rsidR="00F651F0" w:rsidRPr="00F651F0" w:rsidRDefault="00F651F0" w:rsidP="00F651F0">
      <w:pPr>
        <w:pStyle w:val="BodyText"/>
        <w:overflowPunct w:val="0"/>
        <w:ind w:left="420" w:hanging="240"/>
        <w:textAlignment w:val="baseline"/>
        <w:rPr>
          <w:rFonts w:ascii="Times New Roman" w:hAnsi="Times New Roman"/>
          <w:lang w:val="en-US"/>
        </w:rPr>
      </w:pPr>
      <w:r w:rsidRPr="00F651F0">
        <w:rPr>
          <w:rFonts w:ascii="Times New Roman" w:hAnsi="Times New Roman"/>
          <w:lang w:val="en-US"/>
        </w:rPr>
        <w:t>[1] RAN1 Chairman’s Notes, 3GPP TSG RAN1 Meeting #92, Feb, 2018.</w:t>
      </w:r>
    </w:p>
    <w:p w14:paraId="38C54DC1" w14:textId="14246529" w:rsidR="00F651F0" w:rsidRPr="00F651F0" w:rsidRDefault="00F651F0" w:rsidP="00F651F0">
      <w:pPr>
        <w:pStyle w:val="BodyText"/>
        <w:overflowPunct w:val="0"/>
        <w:ind w:left="420" w:hanging="240"/>
        <w:textAlignment w:val="baseline"/>
        <w:rPr>
          <w:rFonts w:ascii="Times New Roman" w:hAnsi="Times New Roman"/>
          <w:lang w:val="en-US"/>
        </w:rPr>
      </w:pPr>
      <w:r w:rsidRPr="00F651F0">
        <w:rPr>
          <w:rFonts w:ascii="Times New Roman" w:hAnsi="Times New Roman"/>
          <w:lang w:val="en-US"/>
        </w:rPr>
        <w:t xml:space="preserve">[2] R1-1802433, “Companies’ views on candidate spectrum for NR unlicensed operation,” Intel Corporation, Sony, AT&amp;T, Nokia, Nokia Shanghai Bell, Ericsson, Charter Communications, Qualcomm Incorporated, ZTE, </w:t>
      </w:r>
      <w:proofErr w:type="spellStart"/>
      <w:r w:rsidRPr="00F651F0">
        <w:rPr>
          <w:rFonts w:ascii="Times New Roman" w:hAnsi="Times New Roman"/>
          <w:lang w:val="en-US"/>
        </w:rPr>
        <w:t>Sanechips</w:t>
      </w:r>
      <w:proofErr w:type="spellEnd"/>
      <w:r w:rsidRPr="00F651F0">
        <w:rPr>
          <w:rFonts w:ascii="Times New Roman" w:hAnsi="Times New Roman"/>
          <w:lang w:val="en-US"/>
        </w:rPr>
        <w:t xml:space="preserve">, LG Electronics, Motorola Mobility, Lenovo, </w:t>
      </w:r>
      <w:proofErr w:type="spellStart"/>
      <w:r w:rsidRPr="00F651F0">
        <w:rPr>
          <w:rFonts w:ascii="Times New Roman" w:hAnsi="Times New Roman"/>
          <w:lang w:val="en-US"/>
        </w:rPr>
        <w:t>InterDigital</w:t>
      </w:r>
      <w:proofErr w:type="spellEnd"/>
      <w:r w:rsidRPr="00F651F0">
        <w:rPr>
          <w:rFonts w:ascii="Times New Roman" w:hAnsi="Times New Roman"/>
          <w:lang w:val="en-US"/>
        </w:rPr>
        <w:t xml:space="preserve">, Huawei, </w:t>
      </w:r>
      <w:proofErr w:type="spellStart"/>
      <w:r w:rsidRPr="00F651F0">
        <w:rPr>
          <w:rFonts w:ascii="Times New Roman" w:hAnsi="Times New Roman"/>
          <w:lang w:val="en-US"/>
        </w:rPr>
        <w:t>HiSilicon</w:t>
      </w:r>
      <w:proofErr w:type="spellEnd"/>
      <w:r w:rsidRPr="00F651F0">
        <w:rPr>
          <w:rFonts w:ascii="Times New Roman" w:hAnsi="Times New Roman"/>
          <w:lang w:val="en-US"/>
        </w:rPr>
        <w:t xml:space="preserve">, Samsung, Verizon, </w:t>
      </w:r>
      <w:proofErr w:type="spellStart"/>
      <w:r w:rsidRPr="00F651F0">
        <w:rPr>
          <w:rFonts w:ascii="Times New Roman" w:hAnsi="Times New Roman"/>
          <w:lang w:val="en-US"/>
        </w:rPr>
        <w:t>MediaTek</w:t>
      </w:r>
      <w:proofErr w:type="spellEnd"/>
      <w:r w:rsidRPr="00F651F0">
        <w:rPr>
          <w:rFonts w:ascii="Times New Roman" w:hAnsi="Times New Roman"/>
          <w:lang w:val="en-US"/>
        </w:rPr>
        <w:t xml:space="preserve"> Inc., Comcast, CableLabs, CATT, Deutsche Telekom, T-Mobile USA, OPPO, NTT DOCOMO, 3GPP TSG RAN WG1 #92, Feb., 2018.</w:t>
      </w:r>
    </w:p>
    <w:p w14:paraId="4F6FCC7F" w14:textId="77777777" w:rsidR="00115AB7" w:rsidRDefault="00115AB7" w:rsidP="00115AB7">
      <w:pPr>
        <w:pStyle w:val="BodyText"/>
        <w:overflowPunct w:val="0"/>
        <w:ind w:left="420" w:hanging="240"/>
        <w:textAlignment w:val="baseline"/>
        <w:rPr>
          <w:rFonts w:ascii="Times New Roman" w:hAnsi="Times New Roman"/>
        </w:rPr>
      </w:pPr>
      <w:r>
        <w:rPr>
          <w:rFonts w:ascii="Times New Roman" w:hAnsi="Times New Roman"/>
        </w:rPr>
        <w:t xml:space="preserve">[3] ETSI EN 301.893, 5 GHz RAN; Harmonised Standard </w:t>
      </w:r>
      <w:r w:rsidRPr="00FE5E96">
        <w:rPr>
          <w:rFonts w:ascii="Times New Roman" w:hAnsi="Times New Roman"/>
        </w:rPr>
        <w:t>covering the essential requirements</w:t>
      </w:r>
      <w:r>
        <w:rPr>
          <w:rFonts w:ascii="Times New Roman" w:hAnsi="Times New Roman"/>
        </w:rPr>
        <w:t xml:space="preserve"> </w:t>
      </w:r>
      <w:r w:rsidRPr="00FE5E96">
        <w:rPr>
          <w:rFonts w:ascii="Times New Roman" w:hAnsi="Times New Roman"/>
        </w:rPr>
        <w:t>of article 3.2 of Directive 2014/53/EU</w:t>
      </w:r>
      <w:r>
        <w:rPr>
          <w:rFonts w:ascii="Times New Roman" w:hAnsi="Times New Roman"/>
        </w:rPr>
        <w:t xml:space="preserve"> V2.1.1, 2017-05</w:t>
      </w:r>
    </w:p>
    <w:p w14:paraId="2718EA6E" w14:textId="096AA13B" w:rsidR="0050700A" w:rsidRPr="00586740" w:rsidRDefault="00CF5C19" w:rsidP="00BB5AC3">
      <w:pPr>
        <w:pStyle w:val="BodyText"/>
        <w:overflowPunct w:val="0"/>
        <w:ind w:left="420" w:hanging="240"/>
        <w:textAlignment w:val="baseline"/>
        <w:rPr>
          <w:rFonts w:ascii="Times New Roman" w:hAnsi="Times New Roman"/>
        </w:rPr>
      </w:pPr>
      <w:r>
        <w:rPr>
          <w:rFonts w:ascii="Times New Roman" w:hAnsi="Times New Roman"/>
        </w:rPr>
        <w:t xml:space="preserve">[4] ETSI EN 302.567, </w:t>
      </w:r>
      <w:r w:rsidRPr="00CF5C19">
        <w:rPr>
          <w:rFonts w:ascii="Times New Roman" w:hAnsi="Times New Roman"/>
        </w:rPr>
        <w:t>Multiple-Gigabit/s radio equipment</w:t>
      </w:r>
      <w:r>
        <w:rPr>
          <w:rFonts w:ascii="Times New Roman" w:hAnsi="Times New Roman"/>
        </w:rPr>
        <w:t xml:space="preserve"> </w:t>
      </w:r>
      <w:r w:rsidRPr="00CF5C19">
        <w:rPr>
          <w:rFonts w:ascii="Times New Roman" w:hAnsi="Times New Roman"/>
        </w:rPr>
        <w:t>operating in the 60 GHz band;</w:t>
      </w:r>
      <w:r w:rsidR="00590D93">
        <w:rPr>
          <w:rFonts w:ascii="Times New Roman" w:hAnsi="Times New Roman"/>
        </w:rPr>
        <w:t xml:space="preserve"> </w:t>
      </w:r>
      <w:r>
        <w:rPr>
          <w:rFonts w:ascii="Times New Roman" w:hAnsi="Times New Roman"/>
        </w:rPr>
        <w:t xml:space="preserve">5 GHz RAN; Harmonised Standard </w:t>
      </w:r>
      <w:r w:rsidRPr="00FE5E96">
        <w:rPr>
          <w:rFonts w:ascii="Times New Roman" w:hAnsi="Times New Roman"/>
        </w:rPr>
        <w:t>covering the essential requirements</w:t>
      </w:r>
      <w:r>
        <w:rPr>
          <w:rFonts w:ascii="Times New Roman" w:hAnsi="Times New Roman"/>
        </w:rPr>
        <w:t xml:space="preserve"> </w:t>
      </w:r>
      <w:r w:rsidRPr="00FE5E96">
        <w:rPr>
          <w:rFonts w:ascii="Times New Roman" w:hAnsi="Times New Roman"/>
        </w:rPr>
        <w:t>of article 3.2 of Directive 2014/53/EU</w:t>
      </w:r>
      <w:r>
        <w:rPr>
          <w:rFonts w:ascii="Times New Roman" w:hAnsi="Times New Roman"/>
        </w:rPr>
        <w:t xml:space="preserve"> V2.1.1, 2017-05</w:t>
      </w:r>
    </w:p>
    <w:sectPr w:rsidR="0050700A" w:rsidRPr="00586740"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DF056" w14:textId="77777777" w:rsidR="00E83EFB" w:rsidRDefault="00E83EFB"/>
  </w:endnote>
  <w:endnote w:type="continuationSeparator" w:id="0">
    <w:p w14:paraId="077D0837" w14:textId="77777777" w:rsidR="00E83EFB" w:rsidRDefault="00E83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DD385" w14:textId="77777777" w:rsidR="00E83EFB" w:rsidRDefault="00E83EFB"/>
  </w:footnote>
  <w:footnote w:type="continuationSeparator" w:id="0">
    <w:p w14:paraId="52B1C914" w14:textId="77777777" w:rsidR="00E83EFB" w:rsidRDefault="00E83EFB"/>
  </w:footnote>
  <w:footnote w:id="1">
    <w:p w14:paraId="6589E9A0" w14:textId="77777777" w:rsidR="00717710" w:rsidRPr="001A3F49" w:rsidRDefault="00717710" w:rsidP="00717710">
      <w:pPr>
        <w:pStyle w:val="FootnoteText"/>
        <w:rPr>
          <w:lang w:eastAsia="ko-KR"/>
        </w:rPr>
      </w:pPr>
      <w:r>
        <w:rPr>
          <w:rStyle w:val="FootnoteReference"/>
        </w:rPr>
        <w:footnoteRef/>
      </w:r>
      <w:r>
        <w:rPr>
          <w:lang w:eastAsia="ko-KR"/>
        </w:rPr>
        <w:t xml:space="preserve"> </w:t>
      </w:r>
      <w:r w:rsidRPr="00AB6447">
        <w:rPr>
          <w:sz w:val="16"/>
          <w:lang w:eastAsia="ko-KR"/>
        </w:rPr>
        <w:t xml:space="preserve">In US, it is up to 71 GHz. In South Korea, it is 57-66 GHz. In </w:t>
      </w:r>
      <w:r w:rsidRPr="00AB6447">
        <w:rPr>
          <w:rFonts w:hint="eastAsia"/>
          <w:sz w:val="16"/>
          <w:lang w:eastAsia="ko-KR"/>
        </w:rPr>
        <w:t>Au</w:t>
      </w:r>
      <w:r w:rsidRPr="00AB6447">
        <w:rPr>
          <w:sz w:val="16"/>
          <w:lang w:eastAsia="ko-KR"/>
        </w:rPr>
        <w:t xml:space="preserve">stralia, it is 59.40-62.90 </w:t>
      </w:r>
      <w:r w:rsidRPr="00AB6447">
        <w:rPr>
          <w:rFonts w:hint="eastAsia"/>
          <w:sz w:val="16"/>
          <w:lang w:eastAsia="ko-KR"/>
        </w:rPr>
        <w:t>GH</w:t>
      </w:r>
      <w:r w:rsidRPr="00AB6447">
        <w:rPr>
          <w:sz w:val="16"/>
          <w:lang w:eastAsia="ko-KR"/>
        </w:rPr>
        <w:t xml:space="preserve">z. In China, it is 56-64 GHz spectrum. </w:t>
      </w:r>
    </w:p>
  </w:footnote>
  <w:footnote w:id="2">
    <w:p w14:paraId="7C4A04E7" w14:textId="1D2151BC" w:rsidR="00D375A8" w:rsidRDefault="00D375A8">
      <w:pPr>
        <w:pStyle w:val="FootnoteText"/>
      </w:pPr>
      <w:r>
        <w:rPr>
          <w:rStyle w:val="FootnoteReference"/>
        </w:rPr>
        <w:footnoteRef/>
      </w:r>
      <w:r>
        <w:t xml:space="preserve"> </w:t>
      </w:r>
      <w:r w:rsidRPr="00D375A8">
        <w:rPr>
          <w:sz w:val="16"/>
          <w:lang w:eastAsia="ko-KR"/>
        </w:rPr>
        <w:t xml:space="preserve">The </w:t>
      </w:r>
      <w:r>
        <w:rPr>
          <w:sz w:val="16"/>
          <w:lang w:eastAsia="ko-KR"/>
        </w:rPr>
        <w:t xml:space="preserve">applicable limit is 20 </w:t>
      </w:r>
      <w:proofErr w:type="spellStart"/>
      <w:r>
        <w:rPr>
          <w:sz w:val="16"/>
          <w:lang w:eastAsia="ko-KR"/>
        </w:rPr>
        <w:t>dBm</w:t>
      </w:r>
      <w:proofErr w:type="spellEnd"/>
      <w:r>
        <w:rPr>
          <w:sz w:val="16"/>
          <w:lang w:eastAsia="ko-KR"/>
        </w:rPr>
        <w:t xml:space="preserve">, except for transmissions whose nominal bandwidth falls completely within the band 5.15 GHz to 5.25 GHz, in which case the applicable limit is 23 </w:t>
      </w:r>
      <w:proofErr w:type="spellStart"/>
      <w:r>
        <w:rPr>
          <w:sz w:val="16"/>
          <w:lang w:eastAsia="ko-KR"/>
        </w:rPr>
        <w:t>dBm</w:t>
      </w:r>
      <w:proofErr w:type="spellEnd"/>
      <w:r>
        <w:rPr>
          <w:sz w:val="16"/>
          <w:lang w:eastAsia="ko-KR"/>
        </w:rPr>
        <w:t xml:space="preserve">. </w:t>
      </w:r>
    </w:p>
  </w:footnote>
  <w:footnote w:id="3">
    <w:p w14:paraId="19984C24" w14:textId="5B8F5A53" w:rsidR="00D375A8" w:rsidRDefault="00D375A8">
      <w:pPr>
        <w:pStyle w:val="FootnoteText"/>
      </w:pPr>
      <w:r>
        <w:rPr>
          <w:rStyle w:val="FootnoteReference"/>
        </w:rPr>
        <w:footnoteRef/>
      </w:r>
      <w:r>
        <w:t xml:space="preserve"> </w:t>
      </w:r>
      <w:r w:rsidR="00285B7B">
        <w:rPr>
          <w:sz w:val="16"/>
          <w:lang w:eastAsia="ko-KR"/>
        </w:rPr>
        <w:t xml:space="preserve">Slave devices without a Radar Interference Detection function shall comply with the limits the frequency range 5.25 GHz – 5.35 GHz. </w:t>
      </w:r>
    </w:p>
  </w:footnote>
  <w:footnote w:id="4">
    <w:p w14:paraId="0EC61C8A" w14:textId="29F8C889" w:rsidR="00F762E3" w:rsidRDefault="00F762E3" w:rsidP="00F762E3">
      <w:pPr>
        <w:pStyle w:val="FootnoteText"/>
      </w:pPr>
      <w:r>
        <w:rPr>
          <w:rStyle w:val="FootnoteReference"/>
        </w:rPr>
        <w:footnoteRef/>
      </w:r>
      <w:r>
        <w:t xml:space="preserve"> </w:t>
      </w:r>
      <w:r w:rsidRPr="00D375A8">
        <w:rPr>
          <w:sz w:val="16"/>
          <w:lang w:eastAsia="ko-KR"/>
        </w:rPr>
        <w:t xml:space="preserve">The </w:t>
      </w:r>
      <w:r>
        <w:rPr>
          <w:sz w:val="16"/>
          <w:lang w:eastAsia="ko-KR"/>
        </w:rPr>
        <w:t xml:space="preserve">applicable limit is 7 </w:t>
      </w:r>
      <w:proofErr w:type="spellStart"/>
      <w:r>
        <w:rPr>
          <w:sz w:val="16"/>
          <w:lang w:eastAsia="ko-KR"/>
        </w:rPr>
        <w:t>dBm</w:t>
      </w:r>
      <w:proofErr w:type="spellEnd"/>
      <w:r>
        <w:rPr>
          <w:sz w:val="16"/>
          <w:lang w:eastAsia="ko-KR"/>
        </w:rPr>
        <w:t xml:space="preserve">/MHz, except for transmissions whose nominal bandwidth falls completely within the band 5.15 GHz to 5.25 GHz, in which case the applicable limit is 10 </w:t>
      </w:r>
      <w:proofErr w:type="spellStart"/>
      <w:r>
        <w:rPr>
          <w:sz w:val="16"/>
          <w:lang w:eastAsia="ko-KR"/>
        </w:rPr>
        <w:t>dBm</w:t>
      </w:r>
      <w:proofErr w:type="spellEnd"/>
      <w:r>
        <w:rPr>
          <w:sz w:val="16"/>
          <w:lang w:eastAsia="ko-KR"/>
        </w:rPr>
        <w:t>/</w:t>
      </w:r>
      <w:proofErr w:type="spellStart"/>
      <w:r>
        <w:rPr>
          <w:sz w:val="16"/>
          <w:lang w:eastAsia="ko-KR"/>
        </w:rPr>
        <w:t>MHz.</w:t>
      </w:r>
      <w:proofErr w:type="spellEnd"/>
      <w:r>
        <w:rPr>
          <w:sz w:val="16"/>
          <w:lang w:eastAsia="ko-KR"/>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
  </w:num>
  <w:num w:numId="4">
    <w:abstractNumId w:val="0"/>
  </w:num>
  <w:num w:numId="5">
    <w:abstractNumId w:val="19"/>
  </w:num>
  <w:num w:numId="6">
    <w:abstractNumId w:val="5"/>
  </w:num>
  <w:num w:numId="7">
    <w:abstractNumId w:val="10"/>
  </w:num>
  <w:num w:numId="8">
    <w:abstractNumId w:val="14"/>
  </w:num>
  <w:num w:numId="9">
    <w:abstractNumId w:val="12"/>
  </w:num>
  <w:num w:numId="10">
    <w:abstractNumId w:val="8"/>
  </w:num>
  <w:num w:numId="11">
    <w:abstractNumId w:val="21"/>
  </w:num>
  <w:num w:numId="12">
    <w:abstractNumId w:val="1"/>
  </w:num>
  <w:num w:numId="13">
    <w:abstractNumId w:val="13"/>
  </w:num>
  <w:num w:numId="14">
    <w:abstractNumId w:val="9"/>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23"/>
  </w:num>
  <w:num w:numId="20">
    <w:abstractNumId w:val="22"/>
  </w:num>
  <w:num w:numId="21">
    <w:abstractNumId w:val="18"/>
  </w:num>
  <w:num w:numId="22">
    <w:abstractNumId w:val="16"/>
  </w:num>
  <w:num w:numId="23">
    <w:abstractNumId w:val="24"/>
  </w:num>
  <w:num w:numId="24">
    <w:abstractNumId w:val="6"/>
  </w:num>
  <w:num w:numId="25">
    <w:abstractNumId w:val="7"/>
  </w:num>
  <w:num w:numId="26">
    <w:abstractNumId w:val="26"/>
  </w:num>
  <w:num w:numId="27">
    <w:abstractNumId w:val="20"/>
  </w:num>
  <w:num w:numId="2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6B72"/>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10"/>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5582"/>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73A6"/>
    <w:rsid w:val="002B7715"/>
    <w:rsid w:val="002C0441"/>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3B4C"/>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6C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94E"/>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294B"/>
    <w:rsid w:val="00AA29C4"/>
    <w:rsid w:val="00AA2CF5"/>
    <w:rsid w:val="00AA313E"/>
    <w:rsid w:val="00AA3293"/>
    <w:rsid w:val="00AA334E"/>
    <w:rsid w:val="00AA3537"/>
    <w:rsid w:val="00AA356B"/>
    <w:rsid w:val="00AA3EAC"/>
    <w:rsid w:val="00AA4C6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FC"/>
    <w:rsid w:val="00B0272A"/>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33"/>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3DE2"/>
    <w:rsid w:val="00B54DD8"/>
    <w:rsid w:val="00B559EC"/>
    <w:rsid w:val="00B56218"/>
    <w:rsid w:val="00B56569"/>
    <w:rsid w:val="00B5696E"/>
    <w:rsid w:val="00B56DEC"/>
    <w:rsid w:val="00B56F44"/>
    <w:rsid w:val="00B56F94"/>
    <w:rsid w:val="00B5766B"/>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22"/>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0B"/>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EFB"/>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C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B96BB861-A73A-457A-B748-2AC1F0B2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832</TotalTime>
  <Pages>4</Pages>
  <Words>1776</Words>
  <Characters>9168</Characters>
  <Application>Microsoft Office Word</Application>
  <DocSecurity>0</DocSecurity>
  <Lines>141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10862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68</cp:revision>
  <cp:lastPrinted>2017-10-24T05:18:00Z</cp:lastPrinted>
  <dcterms:created xsi:type="dcterms:W3CDTF">2018-02-16T19:20:00Z</dcterms:created>
  <dcterms:modified xsi:type="dcterms:W3CDTF">2018-04-07T02:17:00Z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75a4982b-4302-4c90-a427-ce687705a76b</vt:lpwstr>
  </property>
  <property fmtid="{D5CDD505-2E9C-101B-9397-08002B2CF9AE}" pid="3" name="CTP_TimeStamp">
    <vt:lpwstr>2018-04-07 02:17:05Z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