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7DCEC231" w:rsidR="0030068F" w:rsidRPr="00FC7BBB" w:rsidRDefault="00D408D8" w:rsidP="0030068F">
      <w:pPr>
        <w:tabs>
          <w:tab w:val="right" w:pos="9360"/>
        </w:tabs>
        <w:spacing w:after="0"/>
        <w:rPr>
          <w:rFonts w:ascii="Arial" w:hAnsi="Arial" w:cs="Arial"/>
          <w:b/>
          <w:i/>
          <w:sz w:val="24"/>
          <w:lang w:eastAsia="zh-CN"/>
        </w:rPr>
      </w:pPr>
      <w:r w:rsidRPr="002C4AFA">
        <w:rPr>
          <w:rFonts w:ascii="Arial" w:hAnsi="Arial" w:cs="Arial"/>
          <w:b/>
          <w:sz w:val="24"/>
          <w:lang w:val="en-US"/>
        </w:rPr>
        <w:t>3GPP TSG RAN WG1 Meeting #92</w:t>
      </w:r>
      <w:r>
        <w:rPr>
          <w:rFonts w:ascii="Arial" w:hAnsi="Arial" w:cs="Arial"/>
          <w:b/>
          <w:sz w:val="24"/>
          <w:lang w:val="en-US"/>
        </w:rPr>
        <w:t>bis</w:t>
      </w:r>
      <w:r w:rsidR="00316FFE">
        <w:rPr>
          <w:rFonts w:ascii="Arial" w:hAnsi="Arial" w:cs="Arial"/>
          <w:b/>
          <w:sz w:val="24"/>
        </w:rPr>
        <w:t xml:space="preserve">       </w:t>
      </w:r>
      <w:r w:rsidR="0030068F" w:rsidRPr="00FC7BBB">
        <w:rPr>
          <w:rFonts w:ascii="Arial" w:hAnsi="Arial" w:cs="Arial"/>
          <w:b/>
          <w:sz w:val="24"/>
        </w:rPr>
        <w:t xml:space="preserve">                                                     </w:t>
      </w:r>
      <w:r w:rsidR="0030068F" w:rsidRPr="00FC7BBB">
        <w:rPr>
          <w:rFonts w:ascii="Arial" w:hAnsi="Arial" w:cs="Arial"/>
          <w:b/>
          <w:sz w:val="24"/>
        </w:rPr>
        <w:tab/>
        <w:t xml:space="preserve">     </w:t>
      </w:r>
      <w:r w:rsidR="0030068F">
        <w:rPr>
          <w:rFonts w:ascii="Arial" w:hAnsi="Arial" w:cs="Arial"/>
          <w:b/>
          <w:sz w:val="24"/>
        </w:rPr>
        <w:t xml:space="preserve"> </w:t>
      </w:r>
      <w:r w:rsidR="00E22F72" w:rsidRPr="00E22F72">
        <w:rPr>
          <w:rFonts w:ascii="Arial" w:hAnsi="Arial" w:cs="Arial"/>
          <w:b/>
          <w:sz w:val="24"/>
        </w:rPr>
        <w:t>R1-1804750</w:t>
      </w:r>
    </w:p>
    <w:p w14:paraId="719E3DBE" w14:textId="64DCFFA3" w:rsidR="0030068F" w:rsidRPr="00FC7BBB" w:rsidRDefault="00E22F72" w:rsidP="0030068F">
      <w:pPr>
        <w:spacing w:after="0"/>
        <w:rPr>
          <w:rFonts w:ascii="Arial" w:hAnsi="Arial" w:cs="Arial"/>
          <w:b/>
          <w:sz w:val="24"/>
        </w:rPr>
      </w:pPr>
      <w:proofErr w:type="spellStart"/>
      <w:r>
        <w:rPr>
          <w:rFonts w:ascii="Arial" w:hAnsi="Arial" w:cs="Arial"/>
          <w:b/>
          <w:sz w:val="24"/>
          <w:lang w:val="en-US"/>
        </w:rPr>
        <w:t>Sanya</w:t>
      </w:r>
      <w:proofErr w:type="spellEnd"/>
      <w:r>
        <w:rPr>
          <w:rFonts w:ascii="Arial" w:hAnsi="Arial" w:cs="Arial"/>
          <w:b/>
          <w:sz w:val="24"/>
          <w:lang w:val="en-US"/>
        </w:rPr>
        <w:t>, China</w:t>
      </w:r>
      <w:r w:rsidRPr="002C4AFA">
        <w:rPr>
          <w:rFonts w:ascii="Arial" w:hAnsi="Arial" w:cs="Arial"/>
          <w:b/>
          <w:sz w:val="24"/>
          <w:lang w:val="en-US"/>
        </w:rPr>
        <w:t xml:space="preserve">, </w:t>
      </w:r>
      <w:r>
        <w:rPr>
          <w:rFonts w:ascii="Arial" w:hAnsi="Arial" w:cs="Arial"/>
          <w:b/>
          <w:sz w:val="24"/>
          <w:lang w:val="en-US"/>
        </w:rPr>
        <w:t>April 16</w:t>
      </w:r>
      <w:r w:rsidRPr="003E5A52">
        <w:rPr>
          <w:rFonts w:ascii="Arial" w:hAnsi="Arial" w:cs="Arial"/>
          <w:b/>
          <w:sz w:val="24"/>
          <w:vertAlign w:val="superscript"/>
          <w:lang w:val="en-US"/>
        </w:rPr>
        <w:t>th</w:t>
      </w:r>
      <w:r>
        <w:rPr>
          <w:rFonts w:ascii="Arial" w:hAnsi="Arial" w:cs="Arial"/>
          <w:b/>
          <w:sz w:val="24"/>
          <w:lang w:val="en-US"/>
        </w:rPr>
        <w:t xml:space="preserve"> – 20</w:t>
      </w:r>
      <w:r w:rsidRPr="003E5A52">
        <w:rPr>
          <w:rFonts w:ascii="Arial" w:hAnsi="Arial" w:cs="Arial"/>
          <w:b/>
          <w:sz w:val="24"/>
          <w:vertAlign w:val="superscript"/>
          <w:lang w:val="en-US"/>
        </w:rPr>
        <w:t>th</w:t>
      </w:r>
      <w:r>
        <w:rPr>
          <w:rFonts w:ascii="Arial" w:hAnsi="Arial" w:cs="Arial"/>
          <w:b/>
          <w:sz w:val="24"/>
          <w:lang w:val="en-US"/>
        </w:rPr>
        <w:t>, 2018</w:t>
      </w:r>
      <w:r w:rsidR="0030068F" w:rsidRPr="00FC7BBB">
        <w:rPr>
          <w:rFonts w:ascii="Arial" w:hAnsi="Arial" w:cs="Arial"/>
          <w:b/>
          <w:sz w:val="24"/>
        </w:rPr>
        <w:t xml:space="preserve">  </w:t>
      </w:r>
    </w:p>
    <w:p w14:paraId="5EB3A825" w14:textId="77777777" w:rsidR="007D4C02" w:rsidRPr="00E047A5" w:rsidRDefault="007D4C02" w:rsidP="004244DD">
      <w:pPr>
        <w:pStyle w:val="Header"/>
        <w:widowControl w:val="0"/>
        <w:tabs>
          <w:tab w:val="right" w:pos="8280"/>
          <w:tab w:val="right" w:pos="9781"/>
        </w:tabs>
        <w:spacing w:after="0"/>
        <w:ind w:right="-58"/>
        <w:rPr>
          <w:rFonts w:ascii="Arial" w:eastAsia="MS Mincho" w:hAnsi="Arial" w:cs="Arial"/>
          <w:b/>
          <w:bCs/>
          <w:sz w:val="24"/>
          <w:lang w:eastAsia="ja-JP"/>
        </w:rPr>
      </w:pPr>
      <w:bookmarkStart w:id="0" w:name="Source"/>
      <w:bookmarkEnd w:id="0"/>
    </w:p>
    <w:p w14:paraId="2D4672AD" w14:textId="09D92680" w:rsidR="00ED73DD" w:rsidRDefault="00ED73DD" w:rsidP="004244DD">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E70B0E">
        <w:rPr>
          <w:rFonts w:ascii="Arial" w:hAnsi="Arial" w:cs="Arial"/>
          <w:b/>
          <w:bCs/>
          <w:sz w:val="24"/>
          <w:lang w:val="en-US"/>
        </w:rPr>
        <w:t>7.6.2</w:t>
      </w:r>
    </w:p>
    <w:p w14:paraId="02AA2B85" w14:textId="6E76D0B4" w:rsidR="007D4C02" w:rsidRPr="0099619E" w:rsidRDefault="003C0C00" w:rsidP="003C0C00">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97383" w:rsidRPr="0099619E">
        <w:rPr>
          <w:rFonts w:ascii="Arial" w:hAnsi="Arial" w:cs="Arial"/>
          <w:b/>
          <w:bCs/>
          <w:sz w:val="24"/>
          <w:lang w:val="en-US"/>
        </w:rPr>
        <w:t>Intel Corporation</w:t>
      </w:r>
    </w:p>
    <w:p w14:paraId="55544A88" w14:textId="5C1F7A68" w:rsidR="007D4C02" w:rsidRPr="0099619E" w:rsidRDefault="007D4C02" w:rsidP="004244DD">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70B0E" w:rsidRPr="00E70B0E">
        <w:rPr>
          <w:rFonts w:ascii="Arial" w:hAnsi="Arial" w:cs="Arial"/>
          <w:b/>
          <w:bCs/>
          <w:sz w:val="24"/>
          <w:lang w:val="en-US"/>
        </w:rPr>
        <w:t xml:space="preserve">On the flexibility of NR to operate in unlicensed spectrum </w:t>
      </w:r>
      <w:r w:rsidR="0030068F" w:rsidRPr="0030068F">
        <w:rPr>
          <w:rFonts w:ascii="Arial" w:hAnsi="Arial" w:cs="Arial"/>
          <w:b/>
          <w:bCs/>
          <w:sz w:val="24"/>
          <w:lang w:val="en-US"/>
        </w:rPr>
        <w:t xml:space="preserve"> </w:t>
      </w:r>
      <w:r w:rsidR="00C41D5F">
        <w:rPr>
          <w:rFonts w:ascii="Arial" w:hAnsi="Arial" w:cs="Arial"/>
          <w:b/>
          <w:bCs/>
          <w:sz w:val="24"/>
          <w:lang w:val="en-US"/>
        </w:rPr>
        <w:t xml:space="preserve"> </w:t>
      </w:r>
      <w:r w:rsidR="00725BA7">
        <w:rPr>
          <w:rFonts w:ascii="Arial" w:hAnsi="Arial" w:cs="Arial"/>
          <w:b/>
          <w:bCs/>
          <w:sz w:val="24"/>
          <w:lang w:val="en-US"/>
        </w:rPr>
        <w:t xml:space="preserve"> </w:t>
      </w:r>
    </w:p>
    <w:p w14:paraId="1DBC2C9C" w14:textId="77777777" w:rsidR="007122C4" w:rsidRPr="0099619E" w:rsidRDefault="001F3AEC" w:rsidP="004244DD">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021D9C37" w14:textId="77777777" w:rsidR="00396B04" w:rsidRDefault="00396B04" w:rsidP="00396B04">
      <w:r>
        <w:t xml:space="preserve">In RAN1 #92, the study on NR-based access to unlicensed spectrum has started with the following objectives [1]: </w:t>
      </w:r>
    </w:p>
    <w:p w14:paraId="44FE9045" w14:textId="77777777" w:rsidR="00396B04" w:rsidRPr="00706C1E" w:rsidRDefault="00396B04" w:rsidP="00396B04">
      <w:pPr>
        <w:numPr>
          <w:ilvl w:val="0"/>
          <w:numId w:val="29"/>
        </w:numPr>
        <w:overflowPunct w:val="0"/>
        <w:autoSpaceDE w:val="0"/>
        <w:autoSpaceDN w:val="0"/>
        <w:adjustRightInd w:val="0"/>
        <w:spacing w:after="180"/>
        <w:jc w:val="left"/>
        <w:rPr>
          <w:bCs/>
          <w:lang w:val="en-US"/>
        </w:rPr>
      </w:pPr>
      <w:r w:rsidRPr="00706C1E">
        <w:rPr>
          <w:bCs/>
          <w:lang w:val="en-US"/>
        </w:rPr>
        <w:t xml:space="preserve">Study NR-based operation in unlicensed spectrum (RAN1, RAN2, RAN4) including </w:t>
      </w:r>
    </w:p>
    <w:p w14:paraId="74F179F0" w14:textId="77777777" w:rsidR="00396B04" w:rsidRPr="00706C1E" w:rsidRDefault="00396B04" w:rsidP="00396B04">
      <w:pPr>
        <w:numPr>
          <w:ilvl w:val="1"/>
          <w:numId w:val="30"/>
        </w:numPr>
        <w:overflowPunct w:val="0"/>
        <w:autoSpaceDE w:val="0"/>
        <w:autoSpaceDN w:val="0"/>
        <w:adjustRightInd w:val="0"/>
        <w:spacing w:after="0"/>
        <w:jc w:val="left"/>
        <w:rPr>
          <w:bCs/>
          <w:lang w:val="en-US"/>
        </w:rPr>
      </w:pPr>
      <w:r w:rsidRPr="00706C1E">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EDFD8FB" w14:textId="77777777" w:rsidR="00396B04" w:rsidRPr="00706C1E" w:rsidRDefault="00396B04" w:rsidP="00396B04">
      <w:pPr>
        <w:numPr>
          <w:ilvl w:val="2"/>
          <w:numId w:val="30"/>
        </w:numPr>
        <w:overflowPunct w:val="0"/>
        <w:autoSpaceDE w:val="0"/>
        <w:autoSpaceDN w:val="0"/>
        <w:adjustRightInd w:val="0"/>
        <w:spacing w:after="0"/>
        <w:jc w:val="left"/>
        <w:rPr>
          <w:bCs/>
          <w:lang w:val="en-US"/>
        </w:rPr>
      </w:pPr>
      <w:r w:rsidRPr="00706C1E">
        <w:rPr>
          <w:bCs/>
          <w:lang w:val="en-US"/>
        </w:rPr>
        <w:t>Consider unlicensed bands both below and above 6GHz, up to 52.6GHz</w:t>
      </w:r>
    </w:p>
    <w:p w14:paraId="1C940B7F" w14:textId="77777777" w:rsidR="00396B04" w:rsidRPr="00706C1E" w:rsidRDefault="00396B04" w:rsidP="00396B04">
      <w:pPr>
        <w:numPr>
          <w:ilvl w:val="2"/>
          <w:numId w:val="30"/>
        </w:numPr>
        <w:overflowPunct w:val="0"/>
        <w:autoSpaceDE w:val="0"/>
        <w:autoSpaceDN w:val="0"/>
        <w:adjustRightInd w:val="0"/>
        <w:spacing w:after="0"/>
        <w:jc w:val="left"/>
        <w:rPr>
          <w:bCs/>
          <w:lang w:val="en-US"/>
        </w:rPr>
      </w:pPr>
      <w:r w:rsidRPr="00706C1E">
        <w:rPr>
          <w:bCs/>
          <w:lang w:val="en-US"/>
        </w:rPr>
        <w:t xml:space="preserve">Consider unlicensed bands above 52.6GHz to the extent that waveform design principles remain unchanged with respect to below 52.6GHz bands </w:t>
      </w:r>
    </w:p>
    <w:p w14:paraId="7689D9C8" w14:textId="77777777" w:rsidR="00396B04" w:rsidRPr="00706C1E" w:rsidRDefault="00396B04" w:rsidP="00396B04">
      <w:pPr>
        <w:numPr>
          <w:ilvl w:val="2"/>
          <w:numId w:val="30"/>
        </w:numPr>
        <w:overflowPunct w:val="0"/>
        <w:autoSpaceDE w:val="0"/>
        <w:autoSpaceDN w:val="0"/>
        <w:adjustRightInd w:val="0"/>
        <w:spacing w:after="0"/>
        <w:jc w:val="left"/>
        <w:rPr>
          <w:bCs/>
          <w:lang w:val="en-US"/>
        </w:rPr>
      </w:pPr>
      <w:r w:rsidRPr="00706C1E">
        <w:rPr>
          <w:bCs/>
          <w:lang w:val="en-US" w:eastAsia="zh-CN"/>
        </w:rPr>
        <w:t>Consider similar forward compatibility principles made in the NR WI</w:t>
      </w:r>
      <w:r w:rsidRPr="00706C1E">
        <w:rPr>
          <w:bCs/>
          <w:lang w:val="en-US"/>
        </w:rPr>
        <w:t xml:space="preserve"> </w:t>
      </w:r>
    </w:p>
    <w:p w14:paraId="2174B4E9" w14:textId="77777777" w:rsidR="00396B04" w:rsidRPr="00706C1E" w:rsidRDefault="00396B04" w:rsidP="00396B04">
      <w:pPr>
        <w:numPr>
          <w:ilvl w:val="1"/>
          <w:numId w:val="30"/>
        </w:numPr>
        <w:overflowPunct w:val="0"/>
        <w:autoSpaceDE w:val="0"/>
        <w:autoSpaceDN w:val="0"/>
        <w:adjustRightInd w:val="0"/>
        <w:spacing w:after="0"/>
        <w:jc w:val="left"/>
        <w:rPr>
          <w:bCs/>
        </w:rPr>
      </w:pPr>
      <w:r w:rsidRPr="00706C1E">
        <w:rPr>
          <w:bCs/>
        </w:rPr>
        <w:t>Initial access, channel access. Scheduling/HARQ, and mobility including connected/inactive/idle mode operation and radio-link monitoring/failure</w:t>
      </w:r>
    </w:p>
    <w:p w14:paraId="154D0DD0" w14:textId="77777777" w:rsidR="00396B04" w:rsidRPr="00706C1E" w:rsidRDefault="00396B04" w:rsidP="00396B04">
      <w:pPr>
        <w:numPr>
          <w:ilvl w:val="1"/>
          <w:numId w:val="30"/>
        </w:numPr>
        <w:overflowPunct w:val="0"/>
        <w:autoSpaceDE w:val="0"/>
        <w:autoSpaceDN w:val="0"/>
        <w:adjustRightInd w:val="0"/>
        <w:spacing w:after="0"/>
        <w:jc w:val="left"/>
        <w:rPr>
          <w:bCs/>
          <w:lang w:val="en-US"/>
        </w:rPr>
      </w:pPr>
      <w:r w:rsidRPr="00706C1E">
        <w:rPr>
          <w:bCs/>
          <w:lang w:val="en-US"/>
        </w:rPr>
        <w:t xml:space="preserve">Coexistence methods within NR-based and between NR-based operation in unlicensed and LTE-based LAA and with other incumbent RATs in accordance with regulatory requirements in e.g., 5GHz , 37GHz, 60GHz bands </w:t>
      </w:r>
    </w:p>
    <w:p w14:paraId="48179CC2" w14:textId="77777777" w:rsidR="00396B04" w:rsidRDefault="00396B04" w:rsidP="00396B04">
      <w:pPr>
        <w:numPr>
          <w:ilvl w:val="2"/>
          <w:numId w:val="30"/>
        </w:numPr>
        <w:overflowPunct w:val="0"/>
        <w:autoSpaceDE w:val="0"/>
        <w:autoSpaceDN w:val="0"/>
        <w:adjustRightInd w:val="0"/>
        <w:spacing w:after="0"/>
        <w:jc w:val="left"/>
        <w:rPr>
          <w:bCs/>
          <w:lang w:val="en-US"/>
        </w:rPr>
      </w:pPr>
      <w:r w:rsidRPr="00706C1E">
        <w:rPr>
          <w:bCs/>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14:paraId="69179744" w14:textId="77777777" w:rsidR="00396B04" w:rsidRDefault="00396B04" w:rsidP="00396B04">
      <w:pPr>
        <w:overflowPunct w:val="0"/>
        <w:autoSpaceDE w:val="0"/>
        <w:autoSpaceDN w:val="0"/>
        <w:adjustRightInd w:val="0"/>
        <w:spacing w:after="0"/>
        <w:jc w:val="left"/>
        <w:rPr>
          <w:bCs/>
          <w:lang w:val="en-US"/>
        </w:rPr>
      </w:pPr>
    </w:p>
    <w:p w14:paraId="4912EA6A" w14:textId="5F627E14" w:rsidR="00396B04" w:rsidRPr="00706C1E" w:rsidRDefault="00396B04" w:rsidP="00396B04">
      <w:pPr>
        <w:overflowPunct w:val="0"/>
        <w:autoSpaceDE w:val="0"/>
        <w:autoSpaceDN w:val="0"/>
        <w:adjustRightInd w:val="0"/>
        <w:spacing w:after="0"/>
        <w:jc w:val="left"/>
        <w:rPr>
          <w:bCs/>
          <w:lang w:val="en-US"/>
        </w:rPr>
      </w:pPr>
      <w:r>
        <w:rPr>
          <w:bCs/>
          <w:lang w:val="en-US"/>
        </w:rPr>
        <w:t>In this contribution for</w:t>
      </w:r>
      <w:r w:rsidR="00FE287C">
        <w:rPr>
          <w:bCs/>
          <w:lang w:val="en-US"/>
        </w:rPr>
        <w:t xml:space="preserve"> NR-unlicensed</w:t>
      </w:r>
      <w:r>
        <w:rPr>
          <w:bCs/>
          <w:lang w:val="en-US"/>
        </w:rPr>
        <w:t xml:space="preserve"> frame structure, we examine whether the Rel-15 NR design, </w:t>
      </w:r>
      <w:r>
        <w:rPr>
          <w:lang w:val="en-US"/>
        </w:rPr>
        <w:t>which was mainly designed for the use in licensed spectrum</w:t>
      </w:r>
      <w:r>
        <w:rPr>
          <w:bCs/>
          <w:lang w:val="en-US"/>
        </w:rPr>
        <w:t xml:space="preserve">, is flexible enough to operate in unlicensed spectrum from the perspective of frame structure. </w:t>
      </w:r>
    </w:p>
    <w:p w14:paraId="61BC2DAD" w14:textId="77699FB4" w:rsidR="00327510" w:rsidRPr="00327510" w:rsidRDefault="0025709F" w:rsidP="00327510">
      <w:pPr>
        <w:pStyle w:val="Heading1"/>
        <w:keepNext w:val="0"/>
        <w:widowControl w:val="0"/>
        <w:spacing w:before="480" w:after="120"/>
        <w:ind w:left="518" w:hanging="518"/>
        <w:rPr>
          <w:sz w:val="28"/>
        </w:rPr>
      </w:pPr>
      <w:r>
        <w:rPr>
          <w:sz w:val="28"/>
        </w:rPr>
        <w:t xml:space="preserve">Flexibility with different numerology options </w:t>
      </w:r>
    </w:p>
    <w:p w14:paraId="1D7B9EC1" w14:textId="2A861F11" w:rsidR="00E87603" w:rsidRDefault="00E41C57" w:rsidP="00D83E58">
      <w:r>
        <w:t xml:space="preserve">In NR, scalable SCS options are supported. Assuming 4K FFT, the followings describe the set of supported channel BW (CBW) for a given subcarrier spacing for frequency range 1 (FR1) and frequency range 2 (FR2). </w:t>
      </w:r>
    </w:p>
    <w:p w14:paraId="7D2CF49A" w14:textId="1670812F" w:rsidR="00E41C57" w:rsidRPr="00475B7A" w:rsidRDefault="00E41C57" w:rsidP="00E87603">
      <w:pPr>
        <w:spacing w:before="240"/>
        <w:jc w:val="center"/>
        <w:rPr>
          <w:b/>
          <w:sz w:val="18"/>
        </w:rPr>
      </w:pPr>
      <w:r w:rsidRPr="00475B7A">
        <w:rPr>
          <w:b/>
          <w:sz w:val="18"/>
        </w:rPr>
        <w:t>Table I. Maximum transmission bandwidth configuration N</w:t>
      </w:r>
      <w:r w:rsidRPr="00475B7A">
        <w:rPr>
          <w:b/>
          <w:sz w:val="18"/>
          <w:vertAlign w:val="subscript"/>
        </w:rPr>
        <w:t>RB</w:t>
      </w:r>
      <w:r w:rsidRPr="00475B7A">
        <w:rPr>
          <w:b/>
          <w:sz w:val="18"/>
        </w:rPr>
        <w:t xml:space="preserve"> for frequency range</w:t>
      </w:r>
      <w:r>
        <w:rPr>
          <w:b/>
          <w:sz w:val="18"/>
        </w:rPr>
        <w:t xml:space="preserve"> 1 (FR</w:t>
      </w:r>
      <w:r w:rsidRPr="00475B7A">
        <w:rPr>
          <w:b/>
          <w:sz w:val="18"/>
        </w:rPr>
        <w:t>1</w:t>
      </w:r>
      <w:r>
        <w:rPr>
          <w:b/>
          <w:sz w:val="18"/>
        </w:rPr>
        <w:t>)</w:t>
      </w:r>
      <w:r w:rsidRPr="00475B7A">
        <w:rPr>
          <w:b/>
          <w:sz w:val="18"/>
        </w:rPr>
        <w:t xml:space="preserve"> (450 MHz – 6000 MHz)</w:t>
      </w:r>
      <w:r>
        <w:rPr>
          <w:b/>
          <w:sz w:val="18"/>
        </w:rPr>
        <w:t xml:space="preserve"> [2]</w:t>
      </w:r>
    </w:p>
    <w:tbl>
      <w:tblPr>
        <w:tblW w:w="9710" w:type="dxa"/>
        <w:jc w:val="center"/>
        <w:tblCellMar>
          <w:left w:w="0" w:type="dxa"/>
          <w:right w:w="0" w:type="dxa"/>
        </w:tblCellMar>
        <w:tblLook w:val="0600" w:firstRow="0" w:lastRow="0" w:firstColumn="0" w:lastColumn="0" w:noHBand="1" w:noVBand="1"/>
      </w:tblPr>
      <w:tblGrid>
        <w:gridCol w:w="796"/>
        <w:gridCol w:w="813"/>
        <w:gridCol w:w="813"/>
        <w:gridCol w:w="813"/>
        <w:gridCol w:w="796"/>
        <w:gridCol w:w="796"/>
        <w:gridCol w:w="796"/>
        <w:gridCol w:w="813"/>
        <w:gridCol w:w="813"/>
        <w:gridCol w:w="796"/>
        <w:gridCol w:w="796"/>
        <w:gridCol w:w="869"/>
      </w:tblGrid>
      <w:tr w:rsidR="00E41C57" w:rsidRPr="003E7698" w14:paraId="575076CB" w14:textId="77777777" w:rsidTr="007D0379">
        <w:trPr>
          <w:trHeight w:val="217"/>
          <w:jc w:val="center"/>
        </w:trPr>
        <w:tc>
          <w:tcPr>
            <w:tcW w:w="79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0B0B5AD"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SCS (kHz)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6367FE5"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3D54A1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887016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15MHz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E4ECCF3"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0196703"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25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91A4AC"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30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367385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40 MHz</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EA5ED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50MHz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F453F23"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60 MHz</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E94042B"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80 MHz</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F70D962"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100 MHz</w:t>
            </w:r>
          </w:p>
        </w:tc>
      </w:tr>
      <w:tr w:rsidR="00E41C57" w:rsidRPr="003E7698" w14:paraId="0223A3EE" w14:textId="77777777" w:rsidTr="007D0379">
        <w:trPr>
          <w:trHeight w:val="14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EA1CB1" w14:textId="77777777" w:rsidR="00E41C57" w:rsidRPr="003E7698" w:rsidRDefault="00E41C57" w:rsidP="007D0379">
            <w:pPr>
              <w:spacing w:after="0"/>
              <w:jc w:val="center"/>
              <w:rPr>
                <w:rFonts w:ascii="Arial" w:eastAsia="Times New Roman" w:hAnsi="Arial" w:cs="Arial"/>
                <w:sz w:val="16"/>
                <w:szCs w:val="36"/>
                <w:lang w:val="en-US" w:eastAsia="ko-KR"/>
              </w:rPr>
            </w:pP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45B8F0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78C2DB5"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7C24AE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3BF503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D75037A"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353AE"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7E3DCA"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13"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15205D"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487492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50F48CC"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c>
          <w:tcPr>
            <w:tcW w:w="86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566880D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b/>
                <w:bCs/>
                <w:color w:val="000000" w:themeColor="text1"/>
                <w:kern w:val="24"/>
                <w:sz w:val="16"/>
                <w:szCs w:val="18"/>
                <w:lang w:eastAsia="ko-KR"/>
              </w:rPr>
              <w:t>N</w:t>
            </w:r>
            <w:r w:rsidRPr="003E7698">
              <w:rPr>
                <w:rFonts w:ascii="Arial" w:eastAsia="Times New Roman" w:hAnsi="Arial"/>
                <w:b/>
                <w:bCs/>
                <w:color w:val="000000" w:themeColor="text1"/>
                <w:kern w:val="24"/>
                <w:position w:val="-5"/>
                <w:sz w:val="16"/>
                <w:szCs w:val="18"/>
                <w:vertAlign w:val="subscript"/>
                <w:lang w:eastAsia="ko-KR"/>
              </w:rPr>
              <w:t>RB</w:t>
            </w:r>
          </w:p>
        </w:tc>
      </w:tr>
      <w:tr w:rsidR="00E41C57" w:rsidRPr="003E7698" w14:paraId="4772D5F1" w14:textId="77777777" w:rsidTr="007D0379">
        <w:trPr>
          <w:trHeight w:val="127"/>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C54A38D"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15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61313A5"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25</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4E56CFE"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52</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093342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A438006"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106</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A933C32"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0D793816"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E69695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216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CFC695C"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270</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A62AE09"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N/A</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6BB7146"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N/A</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FF57ABF"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N/A</w:t>
            </w:r>
          </w:p>
        </w:tc>
      </w:tr>
      <w:tr w:rsidR="00E41C57" w:rsidRPr="003E7698" w14:paraId="4B21F2A7" w14:textId="77777777" w:rsidTr="007D0379">
        <w:trPr>
          <w:trHeight w:val="172"/>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B864F4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30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A9B15C8"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A9F50BA"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24</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4CE8DCD1"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38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C6C1179"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51</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8E716BC"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54602AF3"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[78]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85C8179"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106</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FDFC696"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133</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6D25B36"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162</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F01DD9D"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217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59FB65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273</w:t>
            </w:r>
          </w:p>
        </w:tc>
      </w:tr>
      <w:tr w:rsidR="00E41C57" w:rsidRPr="003E7698" w14:paraId="4058538F" w14:textId="77777777" w:rsidTr="007D0379">
        <w:trPr>
          <w:trHeight w:val="19"/>
          <w:jc w:val="center"/>
        </w:trPr>
        <w:tc>
          <w:tcPr>
            <w:tcW w:w="79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066D778"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rsidRPr="003E7698">
              <w:rPr>
                <w:rFonts w:ascii="Arial" w:eastAsia="Times New Roman" w:hAnsi="Arial"/>
                <w:color w:val="000000" w:themeColor="text1"/>
                <w:kern w:val="24"/>
                <w:sz w:val="16"/>
                <w:szCs w:val="18"/>
                <w:lang w:eastAsia="ko-KR"/>
              </w:rPr>
              <w:t>60</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3464F88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N/A</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09F161B"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121FD31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18</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69F1E58E"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24</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0006E61"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31</w:t>
            </w:r>
          </w:p>
        </w:tc>
        <w:tc>
          <w:tcPr>
            <w:tcW w:w="796" w:type="dxa"/>
            <w:tcBorders>
              <w:top w:val="nil"/>
              <w:left w:val="nil"/>
              <w:bottom w:val="single" w:sz="8" w:space="0" w:color="auto"/>
              <w:right w:val="single" w:sz="8" w:space="0" w:color="auto"/>
            </w:tcBorders>
            <w:tcMar>
              <w:top w:w="15" w:type="dxa"/>
              <w:left w:w="15" w:type="dxa"/>
              <w:bottom w:w="0" w:type="dxa"/>
              <w:right w:w="15" w:type="dxa"/>
            </w:tcMar>
            <w:vAlign w:val="center"/>
            <w:hideMark/>
          </w:tcPr>
          <w:p w14:paraId="2B972108"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[38]</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FDB06AC"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51</w:t>
            </w:r>
          </w:p>
        </w:tc>
        <w:tc>
          <w:tcPr>
            <w:tcW w:w="813"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709BE925"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65</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284C298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79</w:t>
            </w:r>
          </w:p>
        </w:tc>
        <w:tc>
          <w:tcPr>
            <w:tcW w:w="796"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0CE1E7E7"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107</w:t>
            </w:r>
          </w:p>
        </w:tc>
        <w:tc>
          <w:tcPr>
            <w:tcW w:w="869" w:type="dxa"/>
            <w:tcBorders>
              <w:top w:val="nil"/>
              <w:left w:val="nil"/>
              <w:bottom w:val="single" w:sz="8" w:space="0" w:color="auto"/>
              <w:right w:val="single" w:sz="8" w:space="0" w:color="auto"/>
            </w:tcBorders>
            <w:tcMar>
              <w:top w:w="15" w:type="dxa"/>
              <w:left w:w="81" w:type="dxa"/>
              <w:bottom w:w="0" w:type="dxa"/>
              <w:right w:w="81" w:type="dxa"/>
            </w:tcMar>
            <w:vAlign w:val="center"/>
            <w:hideMark/>
          </w:tcPr>
          <w:p w14:paraId="518A43D0" w14:textId="77777777" w:rsidR="00E41C57" w:rsidRPr="003E7698" w:rsidRDefault="00E41C57" w:rsidP="007D0379">
            <w:pPr>
              <w:overflowPunct w:val="0"/>
              <w:spacing w:after="0"/>
              <w:jc w:val="center"/>
              <w:rPr>
                <w:rFonts w:ascii="Arial" w:eastAsia="Times New Roman" w:hAnsi="Arial" w:cs="Arial"/>
                <w:sz w:val="16"/>
                <w:szCs w:val="36"/>
                <w:lang w:val="en-US" w:eastAsia="ko-KR"/>
              </w:rPr>
            </w:pPr>
            <w:r>
              <w:t>135</w:t>
            </w:r>
          </w:p>
        </w:tc>
      </w:tr>
    </w:tbl>
    <w:p w14:paraId="178A7C5A" w14:textId="77777777" w:rsidR="00E41C57" w:rsidRDefault="00E41C57" w:rsidP="00E41C57">
      <w:pPr>
        <w:jc w:val="center"/>
      </w:pPr>
    </w:p>
    <w:p w14:paraId="36D155A6" w14:textId="4E4D684A" w:rsidR="00E41C57" w:rsidRPr="00475B7A" w:rsidRDefault="00E41C57" w:rsidP="00E41C57">
      <w:pPr>
        <w:jc w:val="center"/>
        <w:rPr>
          <w:b/>
          <w:sz w:val="18"/>
        </w:rPr>
      </w:pPr>
      <w:r w:rsidRPr="00475B7A">
        <w:rPr>
          <w:b/>
          <w:sz w:val="18"/>
        </w:rPr>
        <w:t>Table II. Maximum transmission bandwidth configuration N</w:t>
      </w:r>
      <w:r w:rsidRPr="00475B7A">
        <w:rPr>
          <w:b/>
          <w:sz w:val="18"/>
          <w:vertAlign w:val="subscript"/>
        </w:rPr>
        <w:t>RB</w:t>
      </w:r>
      <w:r w:rsidRPr="00475B7A">
        <w:rPr>
          <w:b/>
          <w:sz w:val="18"/>
        </w:rPr>
        <w:t xml:space="preserve"> for frequency range 2</w:t>
      </w:r>
      <w:r>
        <w:rPr>
          <w:b/>
          <w:sz w:val="18"/>
        </w:rPr>
        <w:t xml:space="preserve"> (FR2)</w:t>
      </w:r>
      <w:r w:rsidRPr="00475B7A">
        <w:rPr>
          <w:b/>
          <w:sz w:val="18"/>
        </w:rPr>
        <w:t xml:space="preserve"> (24250 MHz – 52600 MHz)</w:t>
      </w:r>
      <w:r>
        <w:rPr>
          <w:b/>
          <w:sz w:val="18"/>
        </w:rPr>
        <w:t xml:space="preserve"> [3]</w:t>
      </w:r>
    </w:p>
    <w:tbl>
      <w:tblPr>
        <w:tblW w:w="4045" w:type="dxa"/>
        <w:jc w:val="center"/>
        <w:tblCellMar>
          <w:left w:w="0" w:type="dxa"/>
          <w:right w:w="0" w:type="dxa"/>
        </w:tblCellMar>
        <w:tblLook w:val="0600" w:firstRow="0" w:lastRow="0" w:firstColumn="0" w:lastColumn="0" w:noHBand="1" w:noVBand="1"/>
      </w:tblPr>
      <w:tblGrid>
        <w:gridCol w:w="808"/>
        <w:gridCol w:w="809"/>
        <w:gridCol w:w="810"/>
        <w:gridCol w:w="810"/>
        <w:gridCol w:w="808"/>
      </w:tblGrid>
      <w:tr w:rsidR="00E41C57" w:rsidRPr="003E7698" w14:paraId="5190DD0F" w14:textId="77777777" w:rsidTr="007D0379">
        <w:trPr>
          <w:trHeight w:val="224"/>
          <w:jc w:val="center"/>
        </w:trPr>
        <w:tc>
          <w:tcPr>
            <w:tcW w:w="8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7CF89B0"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SCS (kHz)</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FE1EA40"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50MHz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8E44D66"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100MHz</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97A2C15"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200MHz</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EF9D5ED"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400 MHz</w:t>
            </w:r>
          </w:p>
        </w:tc>
      </w:tr>
      <w:tr w:rsidR="00E41C57" w:rsidRPr="003E7698" w14:paraId="3FC4AEAE" w14:textId="77777777" w:rsidTr="007D0379">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7D5AF2" w14:textId="77777777" w:rsidR="00E41C57" w:rsidRPr="003E7698" w:rsidRDefault="00E41C57" w:rsidP="007D0379">
            <w:pPr>
              <w:spacing w:after="0"/>
              <w:jc w:val="center"/>
              <w:rPr>
                <w:rFonts w:ascii="Arial" w:eastAsia="Times New Roman" w:hAnsi="Arial" w:cs="Arial"/>
                <w:sz w:val="16"/>
                <w:szCs w:val="36"/>
                <w:lang w:val="en-US" w:eastAsia="ko-KR"/>
              </w:rPr>
            </w:pP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D16CF3B"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F18D1B1"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631432D"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EAE0F4"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b/>
                <w:bCs/>
                <w:color w:val="000000" w:themeColor="text1"/>
                <w:kern w:val="24"/>
                <w:sz w:val="16"/>
                <w:szCs w:val="18"/>
                <w:lang w:eastAsia="ko-KR"/>
              </w:rPr>
              <w:t>N</w:t>
            </w:r>
            <w:r w:rsidRPr="003E7698">
              <w:rPr>
                <w:rFonts w:ascii="Arial" w:eastAsia="Yu Mincho" w:hAnsi="Arial"/>
                <w:b/>
                <w:bCs/>
                <w:color w:val="000000" w:themeColor="text1"/>
                <w:kern w:val="24"/>
                <w:position w:val="-5"/>
                <w:sz w:val="16"/>
                <w:szCs w:val="18"/>
                <w:vertAlign w:val="subscript"/>
                <w:lang w:eastAsia="ko-KR"/>
              </w:rPr>
              <w:t>RB</w:t>
            </w:r>
          </w:p>
        </w:tc>
      </w:tr>
      <w:tr w:rsidR="00E41C57" w:rsidRPr="003E7698" w14:paraId="27FBE55C" w14:textId="77777777" w:rsidTr="007D0379">
        <w:trPr>
          <w:trHeight w:val="127"/>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776E3255"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98DE103"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2FE0CED"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5742BBF5"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6319A5E"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N.A</w:t>
            </w:r>
          </w:p>
        </w:tc>
      </w:tr>
      <w:tr w:rsidR="00E41C57" w:rsidRPr="003E7698" w14:paraId="622070E7" w14:textId="77777777" w:rsidTr="007D0379">
        <w:trPr>
          <w:trHeight w:val="181"/>
          <w:jc w:val="center"/>
        </w:trPr>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059AD2C4"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120</w:t>
            </w:r>
          </w:p>
        </w:tc>
        <w:tc>
          <w:tcPr>
            <w:tcW w:w="809"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F94629A"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32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1A9766AB"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66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3D4A74DB"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132</w:t>
            </w:r>
          </w:p>
        </w:tc>
        <w:tc>
          <w:tcPr>
            <w:tcW w:w="80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14:paraId="6C71BB04" w14:textId="77777777" w:rsidR="00E41C57" w:rsidRPr="003E7698" w:rsidRDefault="00E41C57" w:rsidP="007D0379">
            <w:pPr>
              <w:spacing w:after="0"/>
              <w:jc w:val="center"/>
              <w:rPr>
                <w:rFonts w:ascii="Arial" w:eastAsia="Times New Roman" w:hAnsi="Arial" w:cs="Arial"/>
                <w:sz w:val="16"/>
                <w:szCs w:val="36"/>
                <w:lang w:val="en-US" w:eastAsia="ko-KR"/>
              </w:rPr>
            </w:pPr>
            <w:r w:rsidRPr="003E7698">
              <w:rPr>
                <w:rFonts w:ascii="Arial" w:eastAsia="Yu Mincho" w:hAnsi="Arial"/>
                <w:color w:val="000000" w:themeColor="text1"/>
                <w:kern w:val="24"/>
                <w:sz w:val="16"/>
                <w:szCs w:val="18"/>
                <w:lang w:eastAsia="ko-KR"/>
              </w:rPr>
              <w:t>264</w:t>
            </w:r>
          </w:p>
        </w:tc>
      </w:tr>
    </w:tbl>
    <w:p w14:paraId="753626A6" w14:textId="77777777" w:rsidR="00C93031" w:rsidRDefault="00E87603" w:rsidP="00D83E58">
      <w:pPr>
        <w:rPr>
          <w:lang w:val="en-US"/>
        </w:rPr>
      </w:pPr>
      <w:r w:rsidRPr="00E87603">
        <w:rPr>
          <w:lang w:val="en-US"/>
        </w:rPr>
        <w:lastRenderedPageBreak/>
        <w:t xml:space="preserve">There are several advantages of supporting multiple </w:t>
      </w:r>
      <w:r w:rsidR="002718CF">
        <w:rPr>
          <w:lang w:val="en-US"/>
        </w:rPr>
        <w:t>sub-carrier spacing (</w:t>
      </w:r>
      <w:r w:rsidRPr="00E87603">
        <w:rPr>
          <w:lang w:val="en-US"/>
        </w:rPr>
        <w:t>SCS</w:t>
      </w:r>
      <w:r w:rsidR="002718CF">
        <w:rPr>
          <w:lang w:val="en-US"/>
        </w:rPr>
        <w:t>)</w:t>
      </w:r>
      <w:r w:rsidRPr="00E87603">
        <w:rPr>
          <w:lang w:val="en-US"/>
        </w:rPr>
        <w:t xml:space="preserve"> options in NR</w:t>
      </w:r>
      <w:r>
        <w:rPr>
          <w:lang w:val="en-US"/>
        </w:rPr>
        <w:t xml:space="preserve"> [4]</w:t>
      </w:r>
      <w:r w:rsidRPr="00E87603">
        <w:rPr>
          <w:lang w:val="en-US"/>
        </w:rPr>
        <w:t xml:space="preserve">. </w:t>
      </w:r>
      <w:r w:rsidR="002718CF">
        <w:rPr>
          <w:lang w:val="en-US"/>
        </w:rPr>
        <w:t>The</w:t>
      </w:r>
      <w:r w:rsidR="00C93031">
        <w:rPr>
          <w:lang w:val="en-US"/>
        </w:rPr>
        <w:t xml:space="preserve"> pros/cons of larger/smaller SCS in the context of unlicensed operation can be listed as follows. </w:t>
      </w:r>
    </w:p>
    <w:p w14:paraId="72D9E137" w14:textId="5FAA2508" w:rsidR="00C93031" w:rsidRDefault="00B025C8" w:rsidP="00D83E58">
      <w:pPr>
        <w:rPr>
          <w:lang w:val="en-US"/>
        </w:rPr>
      </w:pPr>
      <w:r>
        <w:rPr>
          <w:u w:val="single"/>
          <w:lang w:val="en-US"/>
        </w:rPr>
        <w:t>Smaller</w:t>
      </w:r>
      <w:r w:rsidR="00C93031" w:rsidRPr="00C93031">
        <w:rPr>
          <w:u w:val="single"/>
          <w:lang w:val="en-US"/>
        </w:rPr>
        <w:t xml:space="preserve"> SCS</w:t>
      </w:r>
      <w:r w:rsidR="00C93031">
        <w:rPr>
          <w:lang w:val="en-US"/>
        </w:rPr>
        <w:t>:</w:t>
      </w:r>
    </w:p>
    <w:p w14:paraId="07E06FD1" w14:textId="2BEAFEBC" w:rsidR="00C93031" w:rsidRDefault="00B025C8" w:rsidP="00C93031">
      <w:pPr>
        <w:pStyle w:val="ListParagraph"/>
        <w:numPr>
          <w:ilvl w:val="0"/>
          <w:numId w:val="29"/>
        </w:numPr>
        <w:rPr>
          <w:lang w:val="en-US"/>
        </w:rPr>
      </w:pPr>
      <w:r>
        <w:rPr>
          <w:lang w:val="en-US"/>
        </w:rPr>
        <w:t>A</w:t>
      </w:r>
      <w:r w:rsidRPr="00E87603">
        <w:rPr>
          <w:lang w:val="en-US"/>
        </w:rPr>
        <w:t xml:space="preserve"> system can be made more tolerable to the effect of multi-path delay spread</w:t>
      </w:r>
      <w:r>
        <w:rPr>
          <w:lang w:val="en-US"/>
        </w:rPr>
        <w:t xml:space="preserve"> at the same CP overhead ratio.</w:t>
      </w:r>
    </w:p>
    <w:p w14:paraId="6B729A9B" w14:textId="77777777" w:rsidR="00640D4F" w:rsidRDefault="0025709F" w:rsidP="005712EA">
      <w:pPr>
        <w:pStyle w:val="ListParagraph"/>
        <w:numPr>
          <w:ilvl w:val="0"/>
          <w:numId w:val="29"/>
        </w:numPr>
        <w:rPr>
          <w:lang w:val="en-US"/>
        </w:rPr>
      </w:pPr>
      <w:r w:rsidRPr="00640D4F">
        <w:rPr>
          <w:lang w:val="en-US"/>
        </w:rPr>
        <w:t>Slot duration becomes longer</w:t>
      </w:r>
      <w:r w:rsidR="00640D4F">
        <w:rPr>
          <w:lang w:val="en-US"/>
        </w:rPr>
        <w:t>, which is disadvantageous for unlicensed band operation.</w:t>
      </w:r>
    </w:p>
    <w:p w14:paraId="6BA98A9B" w14:textId="77777777" w:rsidR="0087157A" w:rsidRDefault="00640D4F" w:rsidP="00640D4F">
      <w:pPr>
        <w:pStyle w:val="ListParagraph"/>
        <w:numPr>
          <w:ilvl w:val="0"/>
          <w:numId w:val="29"/>
        </w:numPr>
        <w:rPr>
          <w:lang w:val="en-US"/>
        </w:rPr>
      </w:pPr>
      <w:r>
        <w:rPr>
          <w:lang w:val="en-US"/>
        </w:rPr>
        <w:t>A system becomes more sensitive to phase noise and correcting the phase noise becomes more difficult.</w:t>
      </w:r>
    </w:p>
    <w:p w14:paraId="358FBAFA" w14:textId="0F391E37" w:rsidR="00640D4F" w:rsidRPr="00B025C8" w:rsidRDefault="0087157A" w:rsidP="00640D4F">
      <w:pPr>
        <w:pStyle w:val="ListParagraph"/>
        <w:numPr>
          <w:ilvl w:val="0"/>
          <w:numId w:val="29"/>
        </w:numPr>
        <w:rPr>
          <w:lang w:val="en-US"/>
        </w:rPr>
      </w:pPr>
      <w:r>
        <w:rPr>
          <w:lang w:val="en-US"/>
        </w:rPr>
        <w:t xml:space="preserve">Maximum supportable CBW is restricted by FFT size. </w:t>
      </w:r>
      <w:r w:rsidR="00640D4F">
        <w:rPr>
          <w:lang w:val="en-US"/>
        </w:rPr>
        <w:t xml:space="preserve"> </w:t>
      </w:r>
    </w:p>
    <w:p w14:paraId="185910EC" w14:textId="26A225C5" w:rsidR="00B025C8" w:rsidRPr="00640D4F" w:rsidRDefault="0025709F" w:rsidP="00640D4F">
      <w:pPr>
        <w:pStyle w:val="ListParagraph"/>
        <w:rPr>
          <w:lang w:val="en-US"/>
        </w:rPr>
      </w:pPr>
      <w:r w:rsidRPr="00640D4F">
        <w:rPr>
          <w:lang w:val="en-US"/>
        </w:rPr>
        <w:t xml:space="preserve">  </w:t>
      </w:r>
    </w:p>
    <w:p w14:paraId="470EB352" w14:textId="48186736" w:rsidR="00B025C8" w:rsidRDefault="00B025C8" w:rsidP="00B025C8">
      <w:pPr>
        <w:rPr>
          <w:lang w:val="en-US"/>
        </w:rPr>
      </w:pPr>
      <w:r w:rsidRPr="00B025C8">
        <w:rPr>
          <w:u w:val="single"/>
          <w:lang w:val="en-US"/>
        </w:rPr>
        <w:t>Larger SCS</w:t>
      </w:r>
      <w:r>
        <w:rPr>
          <w:lang w:val="en-US"/>
        </w:rPr>
        <w:t>:</w:t>
      </w:r>
    </w:p>
    <w:p w14:paraId="4E85DA0B" w14:textId="4A9D26B8" w:rsidR="00065944" w:rsidRDefault="00065944" w:rsidP="00B025C8">
      <w:pPr>
        <w:pStyle w:val="ListParagraph"/>
        <w:numPr>
          <w:ilvl w:val="0"/>
          <w:numId w:val="29"/>
        </w:numPr>
        <w:rPr>
          <w:lang w:val="en-US"/>
        </w:rPr>
      </w:pPr>
      <w:r>
        <w:rPr>
          <w:lang w:val="en-US"/>
        </w:rPr>
        <w:t>Either a system becomes less tolerable to the effect of multi-path delay spread, if the CP overhead ratio is kept</w:t>
      </w:r>
      <w:r w:rsidR="005D379D">
        <w:rPr>
          <w:lang w:val="en-US"/>
        </w:rPr>
        <w:t xml:space="preserve"> the same</w:t>
      </w:r>
      <w:r>
        <w:rPr>
          <w:lang w:val="en-US"/>
        </w:rPr>
        <w:t xml:space="preserve">, or the CP overhead needs to be increased. </w:t>
      </w:r>
    </w:p>
    <w:p w14:paraId="6B3C5A81" w14:textId="0B9507C3" w:rsidR="00B025C8" w:rsidRDefault="00640D4F" w:rsidP="00B025C8">
      <w:pPr>
        <w:pStyle w:val="ListParagraph"/>
        <w:numPr>
          <w:ilvl w:val="0"/>
          <w:numId w:val="29"/>
        </w:numPr>
        <w:rPr>
          <w:lang w:val="en-US"/>
        </w:rPr>
      </w:pPr>
      <w:r>
        <w:rPr>
          <w:lang w:val="en-US"/>
        </w:rPr>
        <w:t xml:space="preserve">Slot duration becomes </w:t>
      </w:r>
      <w:r w:rsidR="00FF0DF5">
        <w:rPr>
          <w:lang w:val="en-US"/>
        </w:rPr>
        <w:t>shorter</w:t>
      </w:r>
      <w:r>
        <w:rPr>
          <w:lang w:val="en-US"/>
        </w:rPr>
        <w:t>, which is advantageous for unlicensed band operation.</w:t>
      </w:r>
    </w:p>
    <w:p w14:paraId="0934EBB8" w14:textId="5E3515FA" w:rsidR="00640D4F" w:rsidRDefault="00640D4F" w:rsidP="0087157A">
      <w:pPr>
        <w:pStyle w:val="ListParagraph"/>
        <w:numPr>
          <w:ilvl w:val="0"/>
          <w:numId w:val="29"/>
        </w:numPr>
        <w:rPr>
          <w:lang w:val="en-US"/>
        </w:rPr>
      </w:pPr>
      <w:r>
        <w:rPr>
          <w:lang w:val="en-US"/>
        </w:rPr>
        <w:t xml:space="preserve">A system becomes less sensitive to phase </w:t>
      </w:r>
      <w:r w:rsidRPr="0087157A">
        <w:rPr>
          <w:lang w:val="en-US"/>
        </w:rPr>
        <w:t xml:space="preserve">noise. </w:t>
      </w:r>
    </w:p>
    <w:p w14:paraId="35990DFC" w14:textId="6F18A9CE" w:rsidR="0087157A" w:rsidRPr="0087157A" w:rsidRDefault="0087157A" w:rsidP="0087157A">
      <w:pPr>
        <w:pStyle w:val="ListParagraph"/>
        <w:numPr>
          <w:ilvl w:val="0"/>
          <w:numId w:val="29"/>
        </w:numPr>
        <w:rPr>
          <w:lang w:val="en-US"/>
        </w:rPr>
      </w:pPr>
      <w:r>
        <w:rPr>
          <w:lang w:val="en-US"/>
        </w:rPr>
        <w:t xml:space="preserve">Wider CBW can be used. </w:t>
      </w:r>
    </w:p>
    <w:p w14:paraId="5BBB4F07" w14:textId="1957DE20" w:rsidR="0087157A" w:rsidRPr="0050613C" w:rsidRDefault="0087157A" w:rsidP="0087157A">
      <w:pPr>
        <w:spacing w:before="240" w:after="240"/>
        <w:rPr>
          <w:b/>
          <w:szCs w:val="20"/>
          <w:lang w:val="en-US"/>
        </w:rPr>
      </w:pPr>
      <w:r>
        <w:rPr>
          <w:b/>
          <w:szCs w:val="20"/>
          <w:lang w:val="en-US"/>
        </w:rPr>
        <w:t>Observation 1</w:t>
      </w:r>
      <w:r w:rsidRPr="00BF4801">
        <w:rPr>
          <w:b/>
          <w:szCs w:val="20"/>
          <w:lang w:val="en-US"/>
        </w:rPr>
        <w:t xml:space="preserve">: </w:t>
      </w:r>
      <w:r w:rsidR="00FF0DF5">
        <w:rPr>
          <w:b/>
          <w:szCs w:val="20"/>
          <w:lang w:val="en-US"/>
        </w:rPr>
        <w:t>Larger SCS has advantage</w:t>
      </w:r>
      <w:r w:rsidR="005D379D">
        <w:rPr>
          <w:b/>
          <w:szCs w:val="20"/>
          <w:lang w:val="en-US"/>
        </w:rPr>
        <w:t>s</w:t>
      </w:r>
      <w:r w:rsidR="00FF0DF5">
        <w:rPr>
          <w:b/>
          <w:szCs w:val="20"/>
          <w:lang w:val="en-US"/>
        </w:rPr>
        <w:t xml:space="preserve"> in terms of shorter slot duration, wider usable channel BW and less sensitivity to phase noise, which</w:t>
      </w:r>
      <w:r w:rsidR="005D379D">
        <w:rPr>
          <w:b/>
          <w:szCs w:val="20"/>
          <w:lang w:val="en-US"/>
        </w:rPr>
        <w:t xml:space="preserve"> make larger SCS suitable for unlicensed band</w:t>
      </w:r>
      <w:r w:rsidR="00FF0DF5">
        <w:rPr>
          <w:b/>
          <w:szCs w:val="20"/>
          <w:lang w:val="en-US"/>
        </w:rPr>
        <w:t xml:space="preserve">. However, reduced CP duration is a drawback in handling multi-path delay spread. </w:t>
      </w:r>
    </w:p>
    <w:p w14:paraId="1E28D266" w14:textId="5E548D45" w:rsidR="00C643B8" w:rsidRDefault="00C643B8" w:rsidP="00D83E58">
      <w:pPr>
        <w:rPr>
          <w:lang w:val="en-US"/>
        </w:rPr>
      </w:pPr>
      <w:r>
        <w:rPr>
          <w:lang w:val="en-US"/>
        </w:rPr>
        <w:t>In LTE LAA, the extended CP (</w:t>
      </w:r>
      <w:proofErr w:type="spellStart"/>
      <w:r>
        <w:rPr>
          <w:lang w:val="en-US"/>
        </w:rPr>
        <w:t>eCP</w:t>
      </w:r>
      <w:proofErr w:type="spellEnd"/>
      <w:r>
        <w:rPr>
          <w:lang w:val="en-US"/>
        </w:rPr>
        <w:t>) was not considered</w:t>
      </w:r>
      <w:r w:rsidR="005D379D">
        <w:rPr>
          <w:lang w:val="en-US"/>
        </w:rPr>
        <w:t xml:space="preserve"> for frame structure type 3</w:t>
      </w:r>
      <w:r>
        <w:rPr>
          <w:lang w:val="en-US"/>
        </w:rPr>
        <w:t xml:space="preserve">. The LTE </w:t>
      </w:r>
      <w:proofErr w:type="spellStart"/>
      <w:r>
        <w:rPr>
          <w:lang w:val="en-US"/>
        </w:rPr>
        <w:t>eCP</w:t>
      </w:r>
      <w:proofErr w:type="spellEnd"/>
      <w:r>
        <w:rPr>
          <w:lang w:val="en-US"/>
        </w:rPr>
        <w:t xml:space="preserve"> has duration of 16.67 us, while normal CP has duration of 4.69 us. As </w:t>
      </w:r>
      <w:proofErr w:type="spellStart"/>
      <w:r>
        <w:rPr>
          <w:lang w:val="en-US"/>
        </w:rPr>
        <w:t>eCP</w:t>
      </w:r>
      <w:proofErr w:type="spellEnd"/>
      <w:r>
        <w:rPr>
          <w:lang w:val="en-US"/>
        </w:rPr>
        <w:t xml:space="preserve"> didn’t have much use in LTE itself, it was a natural choice to</w:t>
      </w:r>
      <w:r w:rsidR="005D379D">
        <w:rPr>
          <w:lang w:val="en-US"/>
        </w:rPr>
        <w:t xml:space="preserve"> exclude for LTE LAA</w:t>
      </w:r>
      <w:r>
        <w:rPr>
          <w:lang w:val="en-US"/>
        </w:rPr>
        <w:t xml:space="preserve">. In NR, </w:t>
      </w:r>
      <w:proofErr w:type="spellStart"/>
      <w:r>
        <w:rPr>
          <w:lang w:val="en-US"/>
        </w:rPr>
        <w:t>eCP</w:t>
      </w:r>
      <w:proofErr w:type="spellEnd"/>
      <w:r>
        <w:rPr>
          <w:lang w:val="en-US"/>
        </w:rPr>
        <w:t xml:space="preserve"> is only supported for 60 kHz SCS, whose length is scaled</w:t>
      </w:r>
      <w:r w:rsidR="005D379D">
        <w:rPr>
          <w:lang w:val="en-US"/>
        </w:rPr>
        <w:t xml:space="preserve"> down</w:t>
      </w:r>
      <w:r>
        <w:rPr>
          <w:lang w:val="en-US"/>
        </w:rPr>
        <w:t xml:space="preserve"> from LTE </w:t>
      </w:r>
      <w:proofErr w:type="spellStart"/>
      <w:r>
        <w:rPr>
          <w:lang w:val="en-US"/>
        </w:rPr>
        <w:t>eCP</w:t>
      </w:r>
      <w:proofErr w:type="spellEnd"/>
      <w:r>
        <w:rPr>
          <w:lang w:val="en-US"/>
        </w:rPr>
        <w:t xml:space="preserve">, i.e., 16.67/4 = 4.1675 us, while the normal CP duration for 60 kHz </w:t>
      </w:r>
      <w:r w:rsidR="005D379D">
        <w:rPr>
          <w:lang w:val="en-US"/>
        </w:rPr>
        <w:t>becomes</w:t>
      </w:r>
      <w:r>
        <w:rPr>
          <w:lang w:val="en-US"/>
        </w:rPr>
        <w:t xml:space="preserve"> 4.69/4 = 1.1725 us. Since the normal CP duration becomes quite short in 60 kHz, the exclusion of </w:t>
      </w:r>
      <w:proofErr w:type="spellStart"/>
      <w:r>
        <w:rPr>
          <w:lang w:val="en-US"/>
        </w:rPr>
        <w:t>eCP</w:t>
      </w:r>
      <w:proofErr w:type="spellEnd"/>
      <w:r>
        <w:rPr>
          <w:lang w:val="en-US"/>
        </w:rPr>
        <w:t xml:space="preserve"> is not as straightforward as</w:t>
      </w:r>
      <w:r w:rsidR="005D379D">
        <w:rPr>
          <w:lang w:val="en-US"/>
        </w:rPr>
        <w:t xml:space="preserve"> in</w:t>
      </w:r>
      <w:r>
        <w:rPr>
          <w:lang w:val="en-US"/>
        </w:rPr>
        <w:t xml:space="preserve"> LTE </w:t>
      </w:r>
      <w:r w:rsidR="005D379D">
        <w:rPr>
          <w:lang w:val="en-US"/>
        </w:rPr>
        <w:t>LAA</w:t>
      </w:r>
      <w:r>
        <w:rPr>
          <w:lang w:val="en-US"/>
        </w:rPr>
        <w:t xml:space="preserve">. </w:t>
      </w:r>
    </w:p>
    <w:p w14:paraId="26FD50EB" w14:textId="12FA565C" w:rsidR="00C643B8" w:rsidRPr="0050613C" w:rsidRDefault="00C643B8" w:rsidP="00C643B8">
      <w:pPr>
        <w:spacing w:before="240" w:after="240"/>
        <w:rPr>
          <w:b/>
          <w:szCs w:val="20"/>
          <w:lang w:val="en-US"/>
        </w:rPr>
      </w:pPr>
      <w:r>
        <w:rPr>
          <w:b/>
          <w:szCs w:val="20"/>
          <w:lang w:val="en-US"/>
        </w:rPr>
        <w:t>Observation 2</w:t>
      </w:r>
      <w:r w:rsidRPr="00BF4801">
        <w:rPr>
          <w:b/>
          <w:szCs w:val="20"/>
          <w:lang w:val="en-US"/>
        </w:rPr>
        <w:t xml:space="preserve">: </w:t>
      </w:r>
      <w:r>
        <w:rPr>
          <w:b/>
          <w:szCs w:val="20"/>
          <w:lang w:val="en-US"/>
        </w:rPr>
        <w:t xml:space="preserve">There is a need to study if 60 kHz </w:t>
      </w:r>
      <w:proofErr w:type="spellStart"/>
      <w:r>
        <w:rPr>
          <w:b/>
          <w:szCs w:val="20"/>
          <w:lang w:val="en-US"/>
        </w:rPr>
        <w:t>eCP</w:t>
      </w:r>
      <w:proofErr w:type="spellEnd"/>
      <w:r>
        <w:rPr>
          <w:b/>
          <w:szCs w:val="20"/>
          <w:lang w:val="en-US"/>
        </w:rPr>
        <w:t xml:space="preserve"> is necessary to be considered for NR unlicensed or not. </w:t>
      </w:r>
    </w:p>
    <w:p w14:paraId="45614E4B" w14:textId="6EE839F1" w:rsidR="00C643B8" w:rsidRPr="00327510" w:rsidRDefault="00C643B8" w:rsidP="00C643B8">
      <w:pPr>
        <w:pStyle w:val="Heading1"/>
        <w:keepNext w:val="0"/>
        <w:widowControl w:val="0"/>
        <w:spacing w:before="480" w:after="120"/>
        <w:ind w:left="518" w:hanging="518"/>
        <w:rPr>
          <w:sz w:val="28"/>
        </w:rPr>
      </w:pPr>
      <w:r>
        <w:rPr>
          <w:sz w:val="28"/>
        </w:rPr>
        <w:t xml:space="preserve">Flexibility with dynamic TDD structure </w:t>
      </w:r>
    </w:p>
    <w:p w14:paraId="795852AF" w14:textId="3B4C15C2" w:rsidR="00195E90" w:rsidRDefault="00C643B8" w:rsidP="00D83E58">
      <w:r>
        <w:rPr>
          <w:lang w:val="en-US"/>
        </w:rPr>
        <w:t xml:space="preserve">In LTE, </w:t>
      </w:r>
      <w:r w:rsidR="00195E90">
        <w:rPr>
          <w:lang w:val="en-US"/>
        </w:rPr>
        <w:t xml:space="preserve">a </w:t>
      </w:r>
      <w:r w:rsidR="005D379D">
        <w:rPr>
          <w:lang w:val="en-US"/>
        </w:rPr>
        <w:t>new frame structure type 3</w:t>
      </w:r>
      <w:r w:rsidR="00195E90">
        <w:rPr>
          <w:lang w:val="en-US"/>
        </w:rPr>
        <w:t xml:space="preserve">, was introduced to accommodate unlicensed band operation, as the </w:t>
      </w:r>
      <w:r w:rsidR="000E15ED">
        <w:rPr>
          <w:lang w:val="en-US"/>
        </w:rPr>
        <w:t xml:space="preserve">unlicensed band </w:t>
      </w:r>
      <w:r w:rsidR="00195E90">
        <w:rPr>
          <w:lang w:val="en-US"/>
        </w:rPr>
        <w:t xml:space="preserve">operation is fundamentally different from both FDD and TDD </w:t>
      </w:r>
      <w:r w:rsidR="000E15ED">
        <w:rPr>
          <w:lang w:val="en-US"/>
        </w:rPr>
        <w:t xml:space="preserve">in that the transmission of a </w:t>
      </w:r>
      <w:proofErr w:type="spellStart"/>
      <w:r w:rsidR="000E15ED">
        <w:rPr>
          <w:lang w:val="en-US"/>
        </w:rPr>
        <w:t>subframe</w:t>
      </w:r>
      <w:proofErr w:type="spellEnd"/>
      <w:r w:rsidR="000E15ED">
        <w:rPr>
          <w:lang w:val="en-US"/>
        </w:rPr>
        <w:t xml:space="preserve"> itself is not guaranteed due to LBT and also the </w:t>
      </w:r>
      <w:proofErr w:type="spellStart"/>
      <w:r w:rsidR="000E15ED">
        <w:rPr>
          <w:lang w:val="en-US"/>
        </w:rPr>
        <w:t>subframe</w:t>
      </w:r>
      <w:proofErr w:type="spellEnd"/>
      <w:r w:rsidR="000E15ED">
        <w:rPr>
          <w:lang w:val="en-US"/>
        </w:rPr>
        <w:t xml:space="preserve"> type cannot be predetermined</w:t>
      </w:r>
      <w:r w:rsidR="00114401" w:rsidRPr="00114401">
        <w:rPr>
          <w:lang w:val="en-US"/>
        </w:rPr>
        <w:t xml:space="preserve"> </w:t>
      </w:r>
      <w:r w:rsidR="00114401">
        <w:rPr>
          <w:lang w:val="en-US"/>
        </w:rPr>
        <w:t>whether it is DL or UL</w:t>
      </w:r>
      <w:r w:rsidR="00195E90">
        <w:rPr>
          <w:lang w:val="en-US"/>
        </w:rPr>
        <w:t xml:space="preserve">. </w:t>
      </w:r>
      <w:r w:rsidR="000E15ED">
        <w:rPr>
          <w:lang w:val="en-US"/>
        </w:rPr>
        <w:t xml:space="preserve">Therefore, </w:t>
      </w:r>
      <w:r w:rsidR="005D379D">
        <w:rPr>
          <w:lang w:val="en-US"/>
        </w:rPr>
        <w:t xml:space="preserve">the frame structure type 3 was made flexible such that any </w:t>
      </w:r>
      <w:proofErr w:type="spellStart"/>
      <w:r w:rsidR="005D379D">
        <w:rPr>
          <w:lang w:val="en-US"/>
        </w:rPr>
        <w:t>subframe</w:t>
      </w:r>
      <w:proofErr w:type="spellEnd"/>
      <w:r w:rsidR="005D379D">
        <w:rPr>
          <w:lang w:val="en-US"/>
        </w:rPr>
        <w:t xml:space="preserve"> can be used for either DL or UL, if available. </w:t>
      </w:r>
      <w:r w:rsidR="000E15ED">
        <w:t>Here the question is whether such a special fr</w:t>
      </w:r>
      <w:r w:rsidR="00114401">
        <w:t>ame structure definition</w:t>
      </w:r>
      <w:r w:rsidR="000E15ED">
        <w:t xml:space="preserve"> is needed</w:t>
      </w:r>
      <w:r w:rsidR="00114401">
        <w:t xml:space="preserve"> for NR-unlicensed</w:t>
      </w:r>
      <w:r w:rsidR="000E15ED">
        <w:t xml:space="preserve">. </w:t>
      </w:r>
    </w:p>
    <w:p w14:paraId="5AE10201" w14:textId="40C6ABB1" w:rsidR="0050613C" w:rsidRDefault="0047253D" w:rsidP="000E15ED">
      <w:r>
        <w:t>Rel-15</w:t>
      </w:r>
      <w:r w:rsidR="000E15ED">
        <w:t xml:space="preserve"> NR have been designed in a very flexible manner to support dynamic TDD, in which the transmission direction can change in a dynamic manner. Consequently, not only there is no distinction between FDD and TDD but also there is no need to define fixed TDD UL/DL patterns as in LTE TDD. The NR-unlicensed operation is expected to be not different from dynamic TDD in nature and thus it is </w:t>
      </w:r>
      <w:r w:rsidR="00C614AA">
        <w:t>seen</w:t>
      </w:r>
      <w:r w:rsidR="000E15ED">
        <w:t xml:space="preserve"> that NR frame structure is flexible enough to accommodate NR-unlicensed operation without change. </w:t>
      </w:r>
    </w:p>
    <w:p w14:paraId="35757AC0" w14:textId="3963BDA2" w:rsidR="00FD3B22" w:rsidRPr="00BB5AC3" w:rsidRDefault="00B46512" w:rsidP="00BB5AC3">
      <w:pPr>
        <w:spacing w:before="240" w:after="240"/>
        <w:rPr>
          <w:b/>
          <w:szCs w:val="20"/>
          <w:lang w:val="en-US"/>
        </w:rPr>
      </w:pPr>
      <w:r>
        <w:rPr>
          <w:b/>
          <w:szCs w:val="20"/>
          <w:lang w:val="en-US"/>
        </w:rPr>
        <w:t>Observation</w:t>
      </w:r>
      <w:r w:rsidR="00CA44F8">
        <w:rPr>
          <w:b/>
          <w:szCs w:val="20"/>
          <w:lang w:val="en-US"/>
        </w:rPr>
        <w:t xml:space="preserve"> 3</w:t>
      </w:r>
      <w:r w:rsidRPr="00BF4801">
        <w:rPr>
          <w:b/>
          <w:szCs w:val="20"/>
          <w:lang w:val="en-US"/>
        </w:rPr>
        <w:t>:</w:t>
      </w:r>
      <w:r w:rsidRPr="00CA44F8">
        <w:rPr>
          <w:b/>
          <w:szCs w:val="20"/>
          <w:lang w:val="en-US"/>
        </w:rPr>
        <w:t xml:space="preserve"> </w:t>
      </w:r>
      <w:r w:rsidR="00CA44F8" w:rsidRPr="00CA44F8">
        <w:rPr>
          <w:b/>
          <w:szCs w:val="20"/>
          <w:lang w:val="en-US"/>
        </w:rPr>
        <w:t>The NR-unlicensed operation is not different from dynamic TDD in nature</w:t>
      </w:r>
      <w:r w:rsidR="00CA44F8">
        <w:rPr>
          <w:b/>
          <w:szCs w:val="20"/>
          <w:lang w:val="en-US"/>
        </w:rPr>
        <w:t xml:space="preserve">. </w:t>
      </w:r>
      <w:r w:rsidR="00CA44F8" w:rsidRPr="00CA44F8">
        <w:rPr>
          <w:b/>
          <w:szCs w:val="20"/>
          <w:lang w:val="en-US"/>
        </w:rPr>
        <w:t>NR frame structure is flexible enough to accommodate NR-unlicensed operation without change.</w:t>
      </w:r>
      <w:r>
        <w:rPr>
          <w:b/>
          <w:szCs w:val="20"/>
          <w:lang w:val="en-US"/>
        </w:rPr>
        <w:t xml:space="preserve"> </w:t>
      </w:r>
    </w:p>
    <w:p w14:paraId="499EDE34" w14:textId="77777777" w:rsidR="000176A4" w:rsidRPr="0099619E" w:rsidRDefault="000D3BDE" w:rsidP="0099619E">
      <w:pPr>
        <w:pStyle w:val="Heading1"/>
        <w:keepNext w:val="0"/>
        <w:widowControl w:val="0"/>
        <w:spacing w:before="480" w:after="120"/>
        <w:ind w:left="518"/>
        <w:rPr>
          <w:sz w:val="28"/>
          <w:lang w:val="en-US"/>
        </w:rPr>
      </w:pPr>
      <w:r w:rsidRPr="0099619E">
        <w:rPr>
          <w:sz w:val="28"/>
          <w:lang w:val="en-US"/>
        </w:rPr>
        <w:t>Conclusion</w:t>
      </w:r>
    </w:p>
    <w:p w14:paraId="647B41C5" w14:textId="54A209B7" w:rsidR="00CA44F8" w:rsidRDefault="00CA44F8" w:rsidP="00CA44F8">
      <w:pPr>
        <w:overflowPunct w:val="0"/>
        <w:autoSpaceDE w:val="0"/>
        <w:autoSpaceDN w:val="0"/>
        <w:adjustRightInd w:val="0"/>
        <w:spacing w:after="0"/>
        <w:jc w:val="left"/>
        <w:rPr>
          <w:bCs/>
          <w:lang w:val="en-US"/>
        </w:rPr>
      </w:pPr>
      <w:r>
        <w:t xml:space="preserve">In this contribution, </w:t>
      </w:r>
      <w:r>
        <w:rPr>
          <w:bCs/>
          <w:lang w:val="en-US"/>
        </w:rPr>
        <w:t xml:space="preserve">we examined whether the Rel-15 NR design, </w:t>
      </w:r>
      <w:r>
        <w:rPr>
          <w:lang w:val="en-US"/>
        </w:rPr>
        <w:t>which was mainly designed for the use in licensed spectrum</w:t>
      </w:r>
      <w:r>
        <w:rPr>
          <w:bCs/>
          <w:lang w:val="en-US"/>
        </w:rPr>
        <w:t>, is flexible enough to operate in unlicensed spectrum from the perspective of frame structure. The following observations were made in that regards:</w:t>
      </w:r>
    </w:p>
    <w:p w14:paraId="63BED5C0" w14:textId="77777777" w:rsidR="005D379D" w:rsidRPr="0050613C" w:rsidRDefault="005D379D" w:rsidP="005D379D">
      <w:pPr>
        <w:spacing w:before="240" w:after="240"/>
        <w:rPr>
          <w:b/>
          <w:szCs w:val="20"/>
          <w:lang w:val="en-US"/>
        </w:rPr>
      </w:pPr>
      <w:r>
        <w:rPr>
          <w:b/>
          <w:szCs w:val="20"/>
          <w:lang w:val="en-US"/>
        </w:rPr>
        <w:t>Observation 1</w:t>
      </w:r>
      <w:r w:rsidRPr="00BF4801">
        <w:rPr>
          <w:b/>
          <w:szCs w:val="20"/>
          <w:lang w:val="en-US"/>
        </w:rPr>
        <w:t xml:space="preserve">: </w:t>
      </w:r>
      <w:r>
        <w:rPr>
          <w:b/>
          <w:szCs w:val="20"/>
          <w:lang w:val="en-US"/>
        </w:rPr>
        <w:t xml:space="preserve">Larger SCS has advantages in terms of shorter slot duration, wider usable channel BW and less sensitivity to phase noise, which make larger SCS suitable for unlicensed band. However, reduced CP duration is a drawback in handling multi-path delay spread. </w:t>
      </w:r>
    </w:p>
    <w:p w14:paraId="007CF3CF" w14:textId="15A14517" w:rsidR="00CA44F8" w:rsidRPr="00CA44F8" w:rsidRDefault="00CA44F8" w:rsidP="00CA44F8">
      <w:pPr>
        <w:spacing w:before="240" w:after="240"/>
        <w:rPr>
          <w:b/>
          <w:szCs w:val="20"/>
          <w:lang w:val="en-US"/>
        </w:rPr>
      </w:pPr>
      <w:r>
        <w:rPr>
          <w:b/>
          <w:szCs w:val="20"/>
          <w:lang w:val="en-US"/>
        </w:rPr>
        <w:lastRenderedPageBreak/>
        <w:t>Observation 2</w:t>
      </w:r>
      <w:r w:rsidRPr="00BF4801">
        <w:rPr>
          <w:b/>
          <w:szCs w:val="20"/>
          <w:lang w:val="en-US"/>
        </w:rPr>
        <w:t xml:space="preserve">: </w:t>
      </w:r>
      <w:r>
        <w:rPr>
          <w:b/>
          <w:szCs w:val="20"/>
          <w:lang w:val="en-US"/>
        </w:rPr>
        <w:t xml:space="preserve">There is a need to study if 60 kHz </w:t>
      </w:r>
      <w:proofErr w:type="spellStart"/>
      <w:r>
        <w:rPr>
          <w:b/>
          <w:szCs w:val="20"/>
          <w:lang w:val="en-US"/>
        </w:rPr>
        <w:t>eCP</w:t>
      </w:r>
      <w:proofErr w:type="spellEnd"/>
      <w:r>
        <w:rPr>
          <w:b/>
          <w:szCs w:val="20"/>
          <w:lang w:val="en-US"/>
        </w:rPr>
        <w:t xml:space="preserve"> is necessary to be considered for NR unlicensed or not. </w:t>
      </w:r>
    </w:p>
    <w:p w14:paraId="238F967D" w14:textId="3E3ED536" w:rsidR="00706604" w:rsidRPr="00C614AA" w:rsidRDefault="00CA44F8" w:rsidP="00C614AA">
      <w:pPr>
        <w:spacing w:before="240" w:after="240"/>
        <w:rPr>
          <w:b/>
          <w:szCs w:val="20"/>
          <w:lang w:val="en-US"/>
        </w:rPr>
      </w:pPr>
      <w:r>
        <w:rPr>
          <w:b/>
          <w:szCs w:val="20"/>
          <w:lang w:val="en-US"/>
        </w:rPr>
        <w:t>Observation 3</w:t>
      </w:r>
      <w:r w:rsidRPr="00BF4801">
        <w:rPr>
          <w:b/>
          <w:szCs w:val="20"/>
          <w:lang w:val="en-US"/>
        </w:rPr>
        <w:t>:</w:t>
      </w:r>
      <w:r w:rsidRPr="00CA44F8">
        <w:rPr>
          <w:b/>
          <w:szCs w:val="20"/>
          <w:lang w:val="en-US"/>
        </w:rPr>
        <w:t xml:space="preserve"> The NR-unlicensed operation is not different from dynamic TDD in nature</w:t>
      </w:r>
      <w:r>
        <w:rPr>
          <w:b/>
          <w:szCs w:val="20"/>
          <w:lang w:val="en-US"/>
        </w:rPr>
        <w:t xml:space="preserve">. </w:t>
      </w:r>
      <w:r w:rsidRPr="00CA44F8">
        <w:rPr>
          <w:b/>
          <w:szCs w:val="20"/>
          <w:lang w:val="en-US"/>
        </w:rPr>
        <w:t>NR frame structure is flexible enough to accommodate NR-unlicensed operation without change.</w:t>
      </w:r>
      <w:bookmarkStart w:id="1" w:name="_GoBack"/>
      <w:bookmarkEnd w:id="1"/>
    </w:p>
    <w:p w14:paraId="568D0875" w14:textId="77777777" w:rsidR="00427643" w:rsidRPr="0099619E" w:rsidRDefault="00427643" w:rsidP="0099619E">
      <w:pPr>
        <w:pStyle w:val="Heading1"/>
        <w:keepNext w:val="0"/>
        <w:widowControl w:val="0"/>
        <w:numPr>
          <w:ilvl w:val="0"/>
          <w:numId w:val="0"/>
        </w:numPr>
        <w:spacing w:before="480" w:after="120"/>
        <w:ind w:left="522" w:hanging="432"/>
        <w:rPr>
          <w:sz w:val="28"/>
          <w:lang w:val="en-US"/>
        </w:rPr>
      </w:pPr>
      <w:r w:rsidRPr="0099619E">
        <w:rPr>
          <w:sz w:val="28"/>
          <w:lang w:val="en-US"/>
        </w:rPr>
        <w:t>References</w:t>
      </w:r>
    </w:p>
    <w:p w14:paraId="20645DD7" w14:textId="301D24C0" w:rsidR="00396B04" w:rsidRPr="00396B04" w:rsidRDefault="00396B04" w:rsidP="00F651F0">
      <w:pPr>
        <w:pStyle w:val="BodyText"/>
        <w:overflowPunct w:val="0"/>
        <w:ind w:left="420" w:hanging="240"/>
        <w:textAlignment w:val="baseline"/>
        <w:rPr>
          <w:rFonts w:ascii="Times New Roman" w:hAnsi="Times New Roman"/>
        </w:rPr>
      </w:pPr>
      <w:r w:rsidRPr="00396B04">
        <w:rPr>
          <w:rFonts w:ascii="Times New Roman" w:hAnsi="Times New Roman"/>
        </w:rPr>
        <w:t>[1] RP-172021, “New SID on NR-based Access to Unlicensed Spectrum,” Qualcomm Inc., 3GPP TSG RAN Meeting #77, September, 2017.</w:t>
      </w:r>
    </w:p>
    <w:p w14:paraId="30879AE0" w14:textId="769531BE" w:rsidR="00E41C57" w:rsidRDefault="00E41C57" w:rsidP="00E41C57">
      <w:pPr>
        <w:pStyle w:val="BodyText"/>
        <w:overflowPunct w:val="0"/>
        <w:ind w:left="420" w:hanging="240"/>
        <w:textAlignment w:val="baseline"/>
        <w:rPr>
          <w:rFonts w:ascii="Times New Roman" w:hAnsi="Times New Roman"/>
        </w:rPr>
      </w:pPr>
      <w:r w:rsidRPr="00DE31C2">
        <w:rPr>
          <w:rFonts w:ascii="Times New Roman" w:hAnsi="Times New Roman"/>
        </w:rPr>
        <w:t>[</w:t>
      </w:r>
      <w:r>
        <w:rPr>
          <w:rFonts w:ascii="Times New Roman" w:hAnsi="Times New Roman"/>
        </w:rPr>
        <w:t>2</w:t>
      </w:r>
      <w:r w:rsidRPr="00DE31C2">
        <w:rPr>
          <w:rFonts w:ascii="Times New Roman" w:hAnsi="Times New Roman"/>
        </w:rPr>
        <w:t xml:space="preserve">] </w:t>
      </w:r>
      <w:r>
        <w:rPr>
          <w:rFonts w:ascii="Times New Roman" w:hAnsi="Times New Roman"/>
        </w:rPr>
        <w:t xml:space="preserve">3GPP TS 38.101-1, </w:t>
      </w:r>
      <w:r>
        <w:rPr>
          <w:lang w:val="en-US"/>
        </w:rPr>
        <w:t>User Equipment (UE) radio transmission and reception</w:t>
      </w:r>
      <w:r>
        <w:rPr>
          <w:rFonts w:ascii="Times New Roman" w:hAnsi="Times New Roman"/>
        </w:rPr>
        <w:t xml:space="preserve"> </w:t>
      </w:r>
      <w:r w:rsidRPr="0095698F">
        <w:rPr>
          <w:rFonts w:ascii="Times New Roman" w:hAnsi="Times New Roman"/>
        </w:rPr>
        <w:t>Part 1: Range 1 Standalone</w:t>
      </w:r>
      <w:r>
        <w:rPr>
          <w:rFonts w:ascii="Times New Roman" w:hAnsi="Times New Roman"/>
        </w:rPr>
        <w:t>, V1.0.0, 2017-12</w:t>
      </w:r>
    </w:p>
    <w:p w14:paraId="5D4D4203" w14:textId="7152E678" w:rsidR="00E41C57" w:rsidRDefault="00E41C57" w:rsidP="00E41C57">
      <w:pPr>
        <w:pStyle w:val="BodyText"/>
        <w:overflowPunct w:val="0"/>
        <w:ind w:left="420" w:hanging="240"/>
        <w:textAlignment w:val="baseline"/>
        <w:rPr>
          <w:rFonts w:ascii="Times New Roman" w:hAnsi="Times New Roman"/>
        </w:rPr>
      </w:pPr>
      <w:r w:rsidRPr="00DE31C2">
        <w:rPr>
          <w:rFonts w:ascii="Times New Roman" w:hAnsi="Times New Roman"/>
        </w:rPr>
        <w:t>[</w:t>
      </w:r>
      <w:r>
        <w:rPr>
          <w:rFonts w:ascii="Times New Roman" w:hAnsi="Times New Roman"/>
        </w:rPr>
        <w:t>3</w:t>
      </w:r>
      <w:r w:rsidRPr="00DE31C2">
        <w:rPr>
          <w:rFonts w:ascii="Times New Roman" w:hAnsi="Times New Roman"/>
        </w:rPr>
        <w:t xml:space="preserve">] </w:t>
      </w:r>
      <w:r>
        <w:rPr>
          <w:rFonts w:ascii="Times New Roman" w:hAnsi="Times New Roman"/>
        </w:rPr>
        <w:t xml:space="preserve">3GPP TS 38.101-2, </w:t>
      </w:r>
      <w:r>
        <w:rPr>
          <w:lang w:val="en-US"/>
        </w:rPr>
        <w:t>User Equipment (UE) radio transmission and reception</w:t>
      </w:r>
      <w:r>
        <w:rPr>
          <w:rFonts w:ascii="Times New Roman" w:hAnsi="Times New Roman"/>
        </w:rPr>
        <w:t xml:space="preserve"> </w:t>
      </w:r>
      <w:r w:rsidRPr="0095698F">
        <w:rPr>
          <w:rFonts w:ascii="Times New Roman" w:hAnsi="Times New Roman"/>
        </w:rPr>
        <w:t xml:space="preserve">Part 1: Range </w:t>
      </w:r>
      <w:r>
        <w:rPr>
          <w:rFonts w:ascii="Times New Roman" w:hAnsi="Times New Roman"/>
        </w:rPr>
        <w:t>2</w:t>
      </w:r>
      <w:r w:rsidRPr="0095698F">
        <w:rPr>
          <w:rFonts w:ascii="Times New Roman" w:hAnsi="Times New Roman"/>
        </w:rPr>
        <w:t xml:space="preserve"> Standalone</w:t>
      </w:r>
      <w:r>
        <w:rPr>
          <w:rFonts w:ascii="Times New Roman" w:hAnsi="Times New Roman"/>
        </w:rPr>
        <w:t>, V1.0.0, 2017-12</w:t>
      </w:r>
    </w:p>
    <w:p w14:paraId="2718EA6E" w14:textId="39A7B08F" w:rsidR="0050700A" w:rsidRPr="00586740" w:rsidRDefault="00E87603" w:rsidP="00BB5AC3">
      <w:pPr>
        <w:pStyle w:val="BodyText"/>
        <w:overflowPunct w:val="0"/>
        <w:ind w:left="420" w:hanging="240"/>
        <w:textAlignment w:val="baseline"/>
        <w:rPr>
          <w:rFonts w:ascii="Times New Roman" w:hAnsi="Times New Roman"/>
        </w:rPr>
      </w:pPr>
      <w:r>
        <w:rPr>
          <w:rFonts w:ascii="Times New Roman" w:hAnsi="Times New Roman"/>
        </w:rPr>
        <w:t xml:space="preserve">[4] </w:t>
      </w:r>
      <w:r w:rsidR="00B7154D">
        <w:rPr>
          <w:rFonts w:ascii="Times New Roman" w:hAnsi="Times New Roman"/>
        </w:rPr>
        <w:t xml:space="preserve">Jeongho Jeon, “NR Wide Bandwidth Operations,” </w:t>
      </w:r>
      <w:r w:rsidR="00B7154D" w:rsidRPr="00B7154D">
        <w:rPr>
          <w:rFonts w:ascii="Times New Roman" w:hAnsi="Times New Roman"/>
          <w:i/>
        </w:rPr>
        <w:t>IEEE Communications Magazine</w:t>
      </w:r>
      <w:r w:rsidR="00B7154D">
        <w:rPr>
          <w:rFonts w:ascii="Times New Roman" w:hAnsi="Times New Roman"/>
        </w:rPr>
        <w:t xml:space="preserve">, </w:t>
      </w:r>
      <w:r w:rsidR="002718CF">
        <w:rPr>
          <w:rFonts w:ascii="Times New Roman" w:hAnsi="Times New Roman"/>
        </w:rPr>
        <w:t>Vol. 56, Issue 3, pp. 42-46, March 2018</w:t>
      </w:r>
    </w:p>
    <w:sectPr w:rsidR="0050700A" w:rsidRPr="00586740"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D48768" w14:textId="77777777" w:rsidR="009032A0" w:rsidRDefault="009032A0"/>
  </w:endnote>
  <w:endnote w:type="continuationSeparator" w:id="0">
    <w:p w14:paraId="22DAA7A8" w14:textId="77777777" w:rsidR="009032A0" w:rsidRDefault="00903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61B2B" w14:textId="77777777" w:rsidR="009032A0" w:rsidRDefault="009032A0"/>
  </w:footnote>
  <w:footnote w:type="continuationSeparator" w:id="0">
    <w:p w14:paraId="60174DC1" w14:textId="77777777" w:rsidR="009032A0" w:rsidRDefault="009032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6090A74"/>
    <w:multiLevelType w:val="hybridMultilevel"/>
    <w:tmpl w:val="48EC16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351339"/>
    <w:multiLevelType w:val="hybridMultilevel"/>
    <w:tmpl w:val="F44A5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EA25246">
      <w:start w:val="2"/>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1075F"/>
    <w:multiLevelType w:val="hybridMultilevel"/>
    <w:tmpl w:val="E45C3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D33492"/>
    <w:multiLevelType w:val="hybridMultilevel"/>
    <w:tmpl w:val="533EE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A4395E"/>
    <w:multiLevelType w:val="hybridMultilevel"/>
    <w:tmpl w:val="2C7853D0"/>
    <w:lvl w:ilvl="0" w:tplc="2B76ACB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8EE045E"/>
    <w:multiLevelType w:val="hybridMultilevel"/>
    <w:tmpl w:val="5770F1B0"/>
    <w:lvl w:ilvl="0" w:tplc="A566B3D0">
      <w:start w:val="1"/>
      <w:numFmt w:val="bullet"/>
      <w:lvlText w:val="o"/>
      <w:lvlJc w:val="left"/>
      <w:pPr>
        <w:tabs>
          <w:tab w:val="num" w:pos="720"/>
        </w:tabs>
        <w:ind w:left="720" w:hanging="360"/>
      </w:pPr>
      <w:rPr>
        <w:rFonts w:ascii="Courier New" w:hAnsi="Courier New" w:hint="default"/>
      </w:rPr>
    </w:lvl>
    <w:lvl w:ilvl="1" w:tplc="E5F4783C" w:tentative="1">
      <w:start w:val="1"/>
      <w:numFmt w:val="bullet"/>
      <w:lvlText w:val="o"/>
      <w:lvlJc w:val="left"/>
      <w:pPr>
        <w:tabs>
          <w:tab w:val="num" w:pos="1440"/>
        </w:tabs>
        <w:ind w:left="1440" w:hanging="360"/>
      </w:pPr>
      <w:rPr>
        <w:rFonts w:ascii="Courier New" w:hAnsi="Courier New" w:hint="default"/>
      </w:rPr>
    </w:lvl>
    <w:lvl w:ilvl="2" w:tplc="F6E207E4">
      <w:start w:val="1"/>
      <w:numFmt w:val="bullet"/>
      <w:lvlText w:val="o"/>
      <w:lvlJc w:val="left"/>
      <w:pPr>
        <w:tabs>
          <w:tab w:val="num" w:pos="2160"/>
        </w:tabs>
        <w:ind w:left="2160" w:hanging="360"/>
      </w:pPr>
      <w:rPr>
        <w:rFonts w:ascii="Courier New" w:hAnsi="Courier New" w:hint="default"/>
      </w:rPr>
    </w:lvl>
    <w:lvl w:ilvl="3" w:tplc="F13E7134" w:tentative="1">
      <w:start w:val="1"/>
      <w:numFmt w:val="bullet"/>
      <w:lvlText w:val="o"/>
      <w:lvlJc w:val="left"/>
      <w:pPr>
        <w:tabs>
          <w:tab w:val="num" w:pos="2880"/>
        </w:tabs>
        <w:ind w:left="2880" w:hanging="360"/>
      </w:pPr>
      <w:rPr>
        <w:rFonts w:ascii="Courier New" w:hAnsi="Courier New" w:hint="default"/>
      </w:rPr>
    </w:lvl>
    <w:lvl w:ilvl="4" w:tplc="43626324" w:tentative="1">
      <w:start w:val="1"/>
      <w:numFmt w:val="bullet"/>
      <w:lvlText w:val="o"/>
      <w:lvlJc w:val="left"/>
      <w:pPr>
        <w:tabs>
          <w:tab w:val="num" w:pos="3600"/>
        </w:tabs>
        <w:ind w:left="3600" w:hanging="360"/>
      </w:pPr>
      <w:rPr>
        <w:rFonts w:ascii="Courier New" w:hAnsi="Courier New" w:hint="default"/>
      </w:rPr>
    </w:lvl>
    <w:lvl w:ilvl="5" w:tplc="CF4070E4" w:tentative="1">
      <w:start w:val="1"/>
      <w:numFmt w:val="bullet"/>
      <w:lvlText w:val="o"/>
      <w:lvlJc w:val="left"/>
      <w:pPr>
        <w:tabs>
          <w:tab w:val="num" w:pos="4320"/>
        </w:tabs>
        <w:ind w:left="4320" w:hanging="360"/>
      </w:pPr>
      <w:rPr>
        <w:rFonts w:ascii="Courier New" w:hAnsi="Courier New" w:hint="default"/>
      </w:rPr>
    </w:lvl>
    <w:lvl w:ilvl="6" w:tplc="6EF675A2" w:tentative="1">
      <w:start w:val="1"/>
      <w:numFmt w:val="bullet"/>
      <w:lvlText w:val="o"/>
      <w:lvlJc w:val="left"/>
      <w:pPr>
        <w:tabs>
          <w:tab w:val="num" w:pos="5040"/>
        </w:tabs>
        <w:ind w:left="5040" w:hanging="360"/>
      </w:pPr>
      <w:rPr>
        <w:rFonts w:ascii="Courier New" w:hAnsi="Courier New" w:hint="default"/>
      </w:rPr>
    </w:lvl>
    <w:lvl w:ilvl="7" w:tplc="52562B08" w:tentative="1">
      <w:start w:val="1"/>
      <w:numFmt w:val="bullet"/>
      <w:lvlText w:val="o"/>
      <w:lvlJc w:val="left"/>
      <w:pPr>
        <w:tabs>
          <w:tab w:val="num" w:pos="5760"/>
        </w:tabs>
        <w:ind w:left="5760" w:hanging="360"/>
      </w:pPr>
      <w:rPr>
        <w:rFonts w:ascii="Courier New" w:hAnsi="Courier New" w:hint="default"/>
      </w:rPr>
    </w:lvl>
    <w:lvl w:ilvl="8" w:tplc="1D1646F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C9115F3"/>
    <w:multiLevelType w:val="hybridMultilevel"/>
    <w:tmpl w:val="966EA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771F88"/>
    <w:multiLevelType w:val="hybridMultilevel"/>
    <w:tmpl w:val="A10A7672"/>
    <w:lvl w:ilvl="0" w:tplc="55040B4C">
      <w:start w:val="1"/>
      <w:numFmt w:val="bullet"/>
      <w:lvlText w:val=""/>
      <w:lvlJc w:val="left"/>
      <w:pPr>
        <w:tabs>
          <w:tab w:val="num" w:pos="720"/>
        </w:tabs>
        <w:ind w:left="720" w:hanging="360"/>
      </w:pPr>
      <w:rPr>
        <w:rFonts w:ascii="Wingdings" w:hAnsi="Wingdings" w:hint="default"/>
      </w:rPr>
    </w:lvl>
    <w:lvl w:ilvl="1" w:tplc="C7164A72">
      <w:start w:val="1"/>
      <w:numFmt w:val="bullet"/>
      <w:lvlText w:val=""/>
      <w:lvlJc w:val="left"/>
      <w:pPr>
        <w:tabs>
          <w:tab w:val="num" w:pos="1440"/>
        </w:tabs>
        <w:ind w:left="1440" w:hanging="360"/>
      </w:pPr>
      <w:rPr>
        <w:rFonts w:ascii="Wingdings" w:hAnsi="Wingdings" w:hint="default"/>
      </w:rPr>
    </w:lvl>
    <w:lvl w:ilvl="2" w:tplc="4CF48DC2" w:tentative="1">
      <w:start w:val="1"/>
      <w:numFmt w:val="bullet"/>
      <w:lvlText w:val=""/>
      <w:lvlJc w:val="left"/>
      <w:pPr>
        <w:tabs>
          <w:tab w:val="num" w:pos="2160"/>
        </w:tabs>
        <w:ind w:left="2160" w:hanging="360"/>
      </w:pPr>
      <w:rPr>
        <w:rFonts w:ascii="Wingdings" w:hAnsi="Wingdings" w:hint="default"/>
      </w:rPr>
    </w:lvl>
    <w:lvl w:ilvl="3" w:tplc="D71CEB7C" w:tentative="1">
      <w:start w:val="1"/>
      <w:numFmt w:val="bullet"/>
      <w:lvlText w:val=""/>
      <w:lvlJc w:val="left"/>
      <w:pPr>
        <w:tabs>
          <w:tab w:val="num" w:pos="2880"/>
        </w:tabs>
        <w:ind w:left="2880" w:hanging="360"/>
      </w:pPr>
      <w:rPr>
        <w:rFonts w:ascii="Wingdings" w:hAnsi="Wingdings" w:hint="default"/>
      </w:rPr>
    </w:lvl>
    <w:lvl w:ilvl="4" w:tplc="AC50194C" w:tentative="1">
      <w:start w:val="1"/>
      <w:numFmt w:val="bullet"/>
      <w:lvlText w:val=""/>
      <w:lvlJc w:val="left"/>
      <w:pPr>
        <w:tabs>
          <w:tab w:val="num" w:pos="3600"/>
        </w:tabs>
        <w:ind w:left="3600" w:hanging="360"/>
      </w:pPr>
      <w:rPr>
        <w:rFonts w:ascii="Wingdings" w:hAnsi="Wingdings" w:hint="default"/>
      </w:rPr>
    </w:lvl>
    <w:lvl w:ilvl="5" w:tplc="E1ECC8D8" w:tentative="1">
      <w:start w:val="1"/>
      <w:numFmt w:val="bullet"/>
      <w:lvlText w:val=""/>
      <w:lvlJc w:val="left"/>
      <w:pPr>
        <w:tabs>
          <w:tab w:val="num" w:pos="4320"/>
        </w:tabs>
        <w:ind w:left="4320" w:hanging="360"/>
      </w:pPr>
      <w:rPr>
        <w:rFonts w:ascii="Wingdings" w:hAnsi="Wingdings" w:hint="default"/>
      </w:rPr>
    </w:lvl>
    <w:lvl w:ilvl="6" w:tplc="A71E95DE" w:tentative="1">
      <w:start w:val="1"/>
      <w:numFmt w:val="bullet"/>
      <w:lvlText w:val=""/>
      <w:lvlJc w:val="left"/>
      <w:pPr>
        <w:tabs>
          <w:tab w:val="num" w:pos="5040"/>
        </w:tabs>
        <w:ind w:left="5040" w:hanging="360"/>
      </w:pPr>
      <w:rPr>
        <w:rFonts w:ascii="Wingdings" w:hAnsi="Wingdings" w:hint="default"/>
      </w:rPr>
    </w:lvl>
    <w:lvl w:ilvl="7" w:tplc="FDB47BF6" w:tentative="1">
      <w:start w:val="1"/>
      <w:numFmt w:val="bullet"/>
      <w:lvlText w:val=""/>
      <w:lvlJc w:val="left"/>
      <w:pPr>
        <w:tabs>
          <w:tab w:val="num" w:pos="5760"/>
        </w:tabs>
        <w:ind w:left="5760" w:hanging="360"/>
      </w:pPr>
      <w:rPr>
        <w:rFonts w:ascii="Wingdings" w:hAnsi="Wingdings" w:hint="default"/>
      </w:rPr>
    </w:lvl>
    <w:lvl w:ilvl="8" w:tplc="F02EC4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9875F58"/>
    <w:multiLevelType w:val="hybridMultilevel"/>
    <w:tmpl w:val="FB5EEC62"/>
    <w:lvl w:ilvl="0" w:tplc="091E0566">
      <w:start w:val="1"/>
      <w:numFmt w:val="bullet"/>
      <w:lvlText w:val=""/>
      <w:lvlJc w:val="left"/>
      <w:pPr>
        <w:tabs>
          <w:tab w:val="num" w:pos="720"/>
        </w:tabs>
        <w:ind w:left="720" w:hanging="360"/>
      </w:pPr>
      <w:rPr>
        <w:rFonts w:ascii="Wingdings" w:hAnsi="Wingdings" w:hint="default"/>
      </w:rPr>
    </w:lvl>
    <w:lvl w:ilvl="1" w:tplc="91E0BA12">
      <w:start w:val="1"/>
      <w:numFmt w:val="bullet"/>
      <w:lvlText w:val=""/>
      <w:lvlJc w:val="left"/>
      <w:pPr>
        <w:tabs>
          <w:tab w:val="num" w:pos="1440"/>
        </w:tabs>
        <w:ind w:left="1440" w:hanging="360"/>
      </w:pPr>
      <w:rPr>
        <w:rFonts w:ascii="Wingdings" w:hAnsi="Wingdings" w:hint="default"/>
      </w:rPr>
    </w:lvl>
    <w:lvl w:ilvl="2" w:tplc="F55A28DC" w:tentative="1">
      <w:start w:val="1"/>
      <w:numFmt w:val="bullet"/>
      <w:lvlText w:val=""/>
      <w:lvlJc w:val="left"/>
      <w:pPr>
        <w:tabs>
          <w:tab w:val="num" w:pos="2160"/>
        </w:tabs>
        <w:ind w:left="2160" w:hanging="360"/>
      </w:pPr>
      <w:rPr>
        <w:rFonts w:ascii="Wingdings" w:hAnsi="Wingdings" w:hint="default"/>
      </w:rPr>
    </w:lvl>
    <w:lvl w:ilvl="3" w:tplc="F12A88A8" w:tentative="1">
      <w:start w:val="1"/>
      <w:numFmt w:val="bullet"/>
      <w:lvlText w:val=""/>
      <w:lvlJc w:val="left"/>
      <w:pPr>
        <w:tabs>
          <w:tab w:val="num" w:pos="2880"/>
        </w:tabs>
        <w:ind w:left="2880" w:hanging="360"/>
      </w:pPr>
      <w:rPr>
        <w:rFonts w:ascii="Wingdings" w:hAnsi="Wingdings" w:hint="default"/>
      </w:rPr>
    </w:lvl>
    <w:lvl w:ilvl="4" w:tplc="F768D47E" w:tentative="1">
      <w:start w:val="1"/>
      <w:numFmt w:val="bullet"/>
      <w:lvlText w:val=""/>
      <w:lvlJc w:val="left"/>
      <w:pPr>
        <w:tabs>
          <w:tab w:val="num" w:pos="3600"/>
        </w:tabs>
        <w:ind w:left="3600" w:hanging="360"/>
      </w:pPr>
      <w:rPr>
        <w:rFonts w:ascii="Wingdings" w:hAnsi="Wingdings" w:hint="default"/>
      </w:rPr>
    </w:lvl>
    <w:lvl w:ilvl="5" w:tplc="9A90240E" w:tentative="1">
      <w:start w:val="1"/>
      <w:numFmt w:val="bullet"/>
      <w:lvlText w:val=""/>
      <w:lvlJc w:val="left"/>
      <w:pPr>
        <w:tabs>
          <w:tab w:val="num" w:pos="4320"/>
        </w:tabs>
        <w:ind w:left="4320" w:hanging="360"/>
      </w:pPr>
      <w:rPr>
        <w:rFonts w:ascii="Wingdings" w:hAnsi="Wingdings" w:hint="default"/>
      </w:rPr>
    </w:lvl>
    <w:lvl w:ilvl="6" w:tplc="B31233AE" w:tentative="1">
      <w:start w:val="1"/>
      <w:numFmt w:val="bullet"/>
      <w:lvlText w:val=""/>
      <w:lvlJc w:val="left"/>
      <w:pPr>
        <w:tabs>
          <w:tab w:val="num" w:pos="5040"/>
        </w:tabs>
        <w:ind w:left="5040" w:hanging="360"/>
      </w:pPr>
      <w:rPr>
        <w:rFonts w:ascii="Wingdings" w:hAnsi="Wingdings" w:hint="default"/>
      </w:rPr>
    </w:lvl>
    <w:lvl w:ilvl="7" w:tplc="1F56AA5A" w:tentative="1">
      <w:start w:val="1"/>
      <w:numFmt w:val="bullet"/>
      <w:lvlText w:val=""/>
      <w:lvlJc w:val="left"/>
      <w:pPr>
        <w:tabs>
          <w:tab w:val="num" w:pos="5760"/>
        </w:tabs>
        <w:ind w:left="5760" w:hanging="360"/>
      </w:pPr>
      <w:rPr>
        <w:rFonts w:ascii="Wingdings" w:hAnsi="Wingdings" w:hint="default"/>
      </w:rPr>
    </w:lvl>
    <w:lvl w:ilvl="8" w:tplc="E15E8E2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71A131A"/>
    <w:multiLevelType w:val="hybridMultilevel"/>
    <w:tmpl w:val="09CC374A"/>
    <w:lvl w:ilvl="0" w:tplc="62CC95E8">
      <w:start w:val="1"/>
      <w:numFmt w:val="bullet"/>
      <w:lvlText w:val="o"/>
      <w:lvlJc w:val="left"/>
      <w:pPr>
        <w:tabs>
          <w:tab w:val="num" w:pos="720"/>
        </w:tabs>
        <w:ind w:left="720" w:hanging="360"/>
      </w:pPr>
      <w:rPr>
        <w:rFonts w:ascii="Courier New" w:hAnsi="Courier New" w:hint="default"/>
      </w:rPr>
    </w:lvl>
    <w:lvl w:ilvl="1" w:tplc="5B5C529E" w:tentative="1">
      <w:start w:val="1"/>
      <w:numFmt w:val="bullet"/>
      <w:lvlText w:val="o"/>
      <w:lvlJc w:val="left"/>
      <w:pPr>
        <w:tabs>
          <w:tab w:val="num" w:pos="1440"/>
        </w:tabs>
        <w:ind w:left="1440" w:hanging="360"/>
      </w:pPr>
      <w:rPr>
        <w:rFonts w:ascii="Courier New" w:hAnsi="Courier New" w:hint="default"/>
      </w:rPr>
    </w:lvl>
    <w:lvl w:ilvl="2" w:tplc="DFC63804">
      <w:start w:val="1"/>
      <w:numFmt w:val="bullet"/>
      <w:lvlText w:val="o"/>
      <w:lvlJc w:val="left"/>
      <w:pPr>
        <w:tabs>
          <w:tab w:val="num" w:pos="2160"/>
        </w:tabs>
        <w:ind w:left="2160" w:hanging="360"/>
      </w:pPr>
      <w:rPr>
        <w:rFonts w:ascii="Courier New" w:hAnsi="Courier New" w:hint="default"/>
      </w:rPr>
    </w:lvl>
    <w:lvl w:ilvl="3" w:tplc="4B52DE76" w:tentative="1">
      <w:start w:val="1"/>
      <w:numFmt w:val="bullet"/>
      <w:lvlText w:val="o"/>
      <w:lvlJc w:val="left"/>
      <w:pPr>
        <w:tabs>
          <w:tab w:val="num" w:pos="2880"/>
        </w:tabs>
        <w:ind w:left="2880" w:hanging="360"/>
      </w:pPr>
      <w:rPr>
        <w:rFonts w:ascii="Courier New" w:hAnsi="Courier New" w:hint="default"/>
      </w:rPr>
    </w:lvl>
    <w:lvl w:ilvl="4" w:tplc="EE6408A6" w:tentative="1">
      <w:start w:val="1"/>
      <w:numFmt w:val="bullet"/>
      <w:lvlText w:val="o"/>
      <w:lvlJc w:val="left"/>
      <w:pPr>
        <w:tabs>
          <w:tab w:val="num" w:pos="3600"/>
        </w:tabs>
        <w:ind w:left="3600" w:hanging="360"/>
      </w:pPr>
      <w:rPr>
        <w:rFonts w:ascii="Courier New" w:hAnsi="Courier New" w:hint="default"/>
      </w:rPr>
    </w:lvl>
    <w:lvl w:ilvl="5" w:tplc="0C649D04" w:tentative="1">
      <w:start w:val="1"/>
      <w:numFmt w:val="bullet"/>
      <w:lvlText w:val="o"/>
      <w:lvlJc w:val="left"/>
      <w:pPr>
        <w:tabs>
          <w:tab w:val="num" w:pos="4320"/>
        </w:tabs>
        <w:ind w:left="4320" w:hanging="360"/>
      </w:pPr>
      <w:rPr>
        <w:rFonts w:ascii="Courier New" w:hAnsi="Courier New" w:hint="default"/>
      </w:rPr>
    </w:lvl>
    <w:lvl w:ilvl="6" w:tplc="4BDCB6B8" w:tentative="1">
      <w:start w:val="1"/>
      <w:numFmt w:val="bullet"/>
      <w:lvlText w:val="o"/>
      <w:lvlJc w:val="left"/>
      <w:pPr>
        <w:tabs>
          <w:tab w:val="num" w:pos="5040"/>
        </w:tabs>
        <w:ind w:left="5040" w:hanging="360"/>
      </w:pPr>
      <w:rPr>
        <w:rFonts w:ascii="Courier New" w:hAnsi="Courier New" w:hint="default"/>
      </w:rPr>
    </w:lvl>
    <w:lvl w:ilvl="7" w:tplc="5942B078" w:tentative="1">
      <w:start w:val="1"/>
      <w:numFmt w:val="bullet"/>
      <w:lvlText w:val="o"/>
      <w:lvlJc w:val="left"/>
      <w:pPr>
        <w:tabs>
          <w:tab w:val="num" w:pos="5760"/>
        </w:tabs>
        <w:ind w:left="5760" w:hanging="360"/>
      </w:pPr>
      <w:rPr>
        <w:rFonts w:ascii="Courier New" w:hAnsi="Courier New" w:hint="default"/>
      </w:rPr>
    </w:lvl>
    <w:lvl w:ilvl="8" w:tplc="9E9C50EE"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882022A"/>
    <w:multiLevelType w:val="hybridMultilevel"/>
    <w:tmpl w:val="7DEC5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06E7396"/>
    <w:multiLevelType w:val="hybridMultilevel"/>
    <w:tmpl w:val="3DFC4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7"/>
  </w:num>
  <w:num w:numId="3">
    <w:abstractNumId w:val="3"/>
  </w:num>
  <w:num w:numId="4">
    <w:abstractNumId w:val="0"/>
  </w:num>
  <w:num w:numId="5">
    <w:abstractNumId w:val="20"/>
  </w:num>
  <w:num w:numId="6">
    <w:abstractNumId w:val="5"/>
  </w:num>
  <w:num w:numId="7">
    <w:abstractNumId w:val="10"/>
  </w:num>
  <w:num w:numId="8">
    <w:abstractNumId w:val="15"/>
  </w:num>
  <w:num w:numId="9">
    <w:abstractNumId w:val="13"/>
  </w:num>
  <w:num w:numId="10">
    <w:abstractNumId w:val="8"/>
  </w:num>
  <w:num w:numId="11">
    <w:abstractNumId w:val="23"/>
  </w:num>
  <w:num w:numId="12">
    <w:abstractNumId w:val="1"/>
  </w:num>
  <w:num w:numId="13">
    <w:abstractNumId w:val="14"/>
  </w:num>
  <w:num w:numId="14">
    <w:abstractNumId w:val="9"/>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4"/>
  </w:num>
  <w:num w:numId="19">
    <w:abstractNumId w:val="25"/>
  </w:num>
  <w:num w:numId="20">
    <w:abstractNumId w:val="24"/>
  </w:num>
  <w:num w:numId="21">
    <w:abstractNumId w:val="19"/>
  </w:num>
  <w:num w:numId="22">
    <w:abstractNumId w:val="17"/>
  </w:num>
  <w:num w:numId="23">
    <w:abstractNumId w:val="26"/>
  </w:num>
  <w:num w:numId="24">
    <w:abstractNumId w:val="6"/>
  </w:num>
  <w:num w:numId="25">
    <w:abstractNumId w:val="7"/>
  </w:num>
  <w:num w:numId="26">
    <w:abstractNumId w:val="28"/>
  </w:num>
  <w:num w:numId="27">
    <w:abstractNumId w:val="22"/>
  </w:num>
  <w:num w:numId="28">
    <w:abstractNumId w:val="18"/>
  </w:num>
  <w:num w:numId="29">
    <w:abstractNumId w:val="11"/>
  </w:num>
  <w:num w:numId="3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41DF"/>
    <w:rsid w:val="000044A1"/>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E5"/>
    <w:rsid w:val="00097926"/>
    <w:rsid w:val="00097D28"/>
    <w:rsid w:val="000A0CB7"/>
    <w:rsid w:val="000A1935"/>
    <w:rsid w:val="000A1F96"/>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6CB"/>
    <w:rsid w:val="000D156F"/>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4612"/>
    <w:rsid w:val="000F4DC7"/>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C9"/>
    <w:rsid w:val="001529DB"/>
    <w:rsid w:val="00152A29"/>
    <w:rsid w:val="0015385D"/>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9AA"/>
    <w:rsid w:val="0017275A"/>
    <w:rsid w:val="00172D44"/>
    <w:rsid w:val="00172FF5"/>
    <w:rsid w:val="0017324A"/>
    <w:rsid w:val="00173597"/>
    <w:rsid w:val="00173F96"/>
    <w:rsid w:val="0017422D"/>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DA5"/>
    <w:rsid w:val="00427E08"/>
    <w:rsid w:val="00427E5C"/>
    <w:rsid w:val="00431F38"/>
    <w:rsid w:val="00432C90"/>
    <w:rsid w:val="00432D5E"/>
    <w:rsid w:val="004331A8"/>
    <w:rsid w:val="00433496"/>
    <w:rsid w:val="00434236"/>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D34"/>
    <w:rsid w:val="004C0EDC"/>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63CB"/>
    <w:rsid w:val="00526CE7"/>
    <w:rsid w:val="00527F4B"/>
    <w:rsid w:val="00530836"/>
    <w:rsid w:val="00530D0D"/>
    <w:rsid w:val="0053124F"/>
    <w:rsid w:val="005321AB"/>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4267"/>
    <w:rsid w:val="0058464B"/>
    <w:rsid w:val="0058465C"/>
    <w:rsid w:val="00584C9B"/>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F5D"/>
    <w:rsid w:val="005B1FB3"/>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F1B"/>
    <w:rsid w:val="00625D1F"/>
    <w:rsid w:val="00626036"/>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1225"/>
    <w:rsid w:val="00721607"/>
    <w:rsid w:val="007219F1"/>
    <w:rsid w:val="00721ACA"/>
    <w:rsid w:val="00722ECC"/>
    <w:rsid w:val="00722F5C"/>
    <w:rsid w:val="00723022"/>
    <w:rsid w:val="0072325C"/>
    <w:rsid w:val="00723B08"/>
    <w:rsid w:val="00723E3E"/>
    <w:rsid w:val="00724881"/>
    <w:rsid w:val="00725246"/>
    <w:rsid w:val="00725BA7"/>
    <w:rsid w:val="0072664C"/>
    <w:rsid w:val="007270C7"/>
    <w:rsid w:val="0072722E"/>
    <w:rsid w:val="0073034E"/>
    <w:rsid w:val="0073050A"/>
    <w:rsid w:val="00730C13"/>
    <w:rsid w:val="00731E5C"/>
    <w:rsid w:val="00732A0F"/>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A00"/>
    <w:rsid w:val="00796F57"/>
    <w:rsid w:val="00796F71"/>
    <w:rsid w:val="00797A9C"/>
    <w:rsid w:val="007A00E3"/>
    <w:rsid w:val="007A3605"/>
    <w:rsid w:val="007A3DF3"/>
    <w:rsid w:val="007A5089"/>
    <w:rsid w:val="007A5A0D"/>
    <w:rsid w:val="007A5B66"/>
    <w:rsid w:val="007A61A3"/>
    <w:rsid w:val="007A6208"/>
    <w:rsid w:val="007A6311"/>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2A49"/>
    <w:rsid w:val="00864AA0"/>
    <w:rsid w:val="00864FDB"/>
    <w:rsid w:val="00865458"/>
    <w:rsid w:val="00865C96"/>
    <w:rsid w:val="00866484"/>
    <w:rsid w:val="008666C4"/>
    <w:rsid w:val="00866708"/>
    <w:rsid w:val="00867237"/>
    <w:rsid w:val="0086746F"/>
    <w:rsid w:val="00870409"/>
    <w:rsid w:val="00870552"/>
    <w:rsid w:val="0087157A"/>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FD"/>
    <w:rsid w:val="008B300D"/>
    <w:rsid w:val="008B307D"/>
    <w:rsid w:val="008B3D0A"/>
    <w:rsid w:val="008B4658"/>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9EC"/>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1298"/>
    <w:rsid w:val="00911BCB"/>
    <w:rsid w:val="00912F71"/>
    <w:rsid w:val="00913254"/>
    <w:rsid w:val="00913441"/>
    <w:rsid w:val="00914395"/>
    <w:rsid w:val="00914820"/>
    <w:rsid w:val="0091548C"/>
    <w:rsid w:val="00915749"/>
    <w:rsid w:val="00915AD4"/>
    <w:rsid w:val="00916AA2"/>
    <w:rsid w:val="00916BB1"/>
    <w:rsid w:val="00916F7D"/>
    <w:rsid w:val="00920248"/>
    <w:rsid w:val="00920CE3"/>
    <w:rsid w:val="00921383"/>
    <w:rsid w:val="009218C4"/>
    <w:rsid w:val="00921E9A"/>
    <w:rsid w:val="00922198"/>
    <w:rsid w:val="00922973"/>
    <w:rsid w:val="00923138"/>
    <w:rsid w:val="009237C3"/>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6AF"/>
    <w:rsid w:val="00A16B34"/>
    <w:rsid w:val="00A17BCA"/>
    <w:rsid w:val="00A17CFC"/>
    <w:rsid w:val="00A210EB"/>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294B"/>
    <w:rsid w:val="00AA29C4"/>
    <w:rsid w:val="00AA2CF5"/>
    <w:rsid w:val="00AA313E"/>
    <w:rsid w:val="00AA3293"/>
    <w:rsid w:val="00AA334E"/>
    <w:rsid w:val="00AA3537"/>
    <w:rsid w:val="00AA356B"/>
    <w:rsid w:val="00AA3EAC"/>
    <w:rsid w:val="00AA4C6C"/>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73E1"/>
    <w:rsid w:val="00B27DB8"/>
    <w:rsid w:val="00B30F7E"/>
    <w:rsid w:val="00B30FC0"/>
    <w:rsid w:val="00B322BC"/>
    <w:rsid w:val="00B322D1"/>
    <w:rsid w:val="00B32767"/>
    <w:rsid w:val="00B33932"/>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316D"/>
    <w:rsid w:val="00B53DE2"/>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5AC3"/>
    <w:rsid w:val="00BB674A"/>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091"/>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13B"/>
    <w:rsid w:val="00C93862"/>
    <w:rsid w:val="00C939AC"/>
    <w:rsid w:val="00C93B48"/>
    <w:rsid w:val="00C949B6"/>
    <w:rsid w:val="00C95926"/>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EA3"/>
    <w:rsid w:val="00CA6FBA"/>
    <w:rsid w:val="00CA7435"/>
    <w:rsid w:val="00CB02A6"/>
    <w:rsid w:val="00CB0316"/>
    <w:rsid w:val="00CB1ACF"/>
    <w:rsid w:val="00CB312E"/>
    <w:rsid w:val="00CB3212"/>
    <w:rsid w:val="00CB331B"/>
    <w:rsid w:val="00CB3834"/>
    <w:rsid w:val="00CB39AC"/>
    <w:rsid w:val="00CB648D"/>
    <w:rsid w:val="00CB6538"/>
    <w:rsid w:val="00CB7014"/>
    <w:rsid w:val="00CB7541"/>
    <w:rsid w:val="00CB75BD"/>
    <w:rsid w:val="00CB7770"/>
    <w:rsid w:val="00CB7CFA"/>
    <w:rsid w:val="00CC2220"/>
    <w:rsid w:val="00CC30E9"/>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3110"/>
    <w:rsid w:val="00D432E2"/>
    <w:rsid w:val="00D4440E"/>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96C"/>
    <w:rsid w:val="00D82ABD"/>
    <w:rsid w:val="00D82FB9"/>
    <w:rsid w:val="00D83E58"/>
    <w:rsid w:val="00D8410F"/>
    <w:rsid w:val="00D84EDE"/>
    <w:rsid w:val="00D859BE"/>
    <w:rsid w:val="00D85B56"/>
    <w:rsid w:val="00D862E5"/>
    <w:rsid w:val="00D86705"/>
    <w:rsid w:val="00D86D85"/>
    <w:rsid w:val="00D86FD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5A6"/>
    <w:rsid w:val="00E53ABC"/>
    <w:rsid w:val="00E5461E"/>
    <w:rsid w:val="00E56BEF"/>
    <w:rsid w:val="00E56CD8"/>
    <w:rsid w:val="00E56DEE"/>
    <w:rsid w:val="00E56F9C"/>
    <w:rsid w:val="00E5704C"/>
    <w:rsid w:val="00E572A7"/>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FDB"/>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45AF"/>
    <w:rsid w:val="00E948D6"/>
    <w:rsid w:val="00E95182"/>
    <w:rsid w:val="00E95392"/>
    <w:rsid w:val="00E960AC"/>
    <w:rsid w:val="00E96C7E"/>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5AC"/>
    <w:rsid w:val="00ED5779"/>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941"/>
    <w:rsid w:val="00EE522C"/>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C5"/>
    <w:rsid w:val="00F11008"/>
    <w:rsid w:val="00F11B05"/>
    <w:rsid w:val="00F11CED"/>
    <w:rsid w:val="00F121ED"/>
    <w:rsid w:val="00F12253"/>
    <w:rsid w:val="00F12864"/>
    <w:rsid w:val="00F1415C"/>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8DA"/>
    <w:rsid w:val="00FD48EB"/>
    <w:rsid w:val="00FD4B48"/>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5.xml><?xml version="1.0" encoding="utf-8"?>
<ds:datastoreItem xmlns:ds="http://schemas.openxmlformats.org/officeDocument/2006/customXml" ds:itemID="{6FFB4684-4996-4A3B-AB73-AD90DF61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1510</TotalTime>
  <Pages>3</Pages>
  <Words>1181</Words>
  <Characters>6029</Characters>
  <Application>Microsoft Office Word</Application>
  <DocSecurity>0</DocSecurity>
  <Lines>174</Lines>
  <Paragraphs>127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7195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83</cp:revision>
  <cp:lastPrinted>2017-10-24T05:18:00Z</cp:lastPrinted>
  <dcterms:created xsi:type="dcterms:W3CDTF">2018-02-16T19:20:00Z</dcterms:created>
  <dcterms:modified xsi:type="dcterms:W3CDTF">2018-04-07T02:35:00Z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32065250-1b58-4739-bf84-a707a2797f17</vt:lpwstr>
  </property>
  <property fmtid="{D5CDD505-2E9C-101B-9397-08002B2CF9AE}" pid="3" name="CTP_TimeStamp">
    <vt:lpwstr>2018-04-07 02:35:47Z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