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6B2D3D24" w:rsidR="00EA6C38" w:rsidRPr="00085335" w:rsidRDefault="00EA6C38" w:rsidP="00EA6C38">
      <w:pPr>
        <w:pStyle w:val="CRCoverPage"/>
        <w:tabs>
          <w:tab w:val="right" w:pos="9639"/>
        </w:tabs>
        <w:spacing w:after="0"/>
        <w:rPr>
          <w:b/>
          <w:i/>
          <w:noProof/>
          <w:sz w:val="24"/>
          <w:szCs w:val="24"/>
          <w:lang w:eastAsia="ko-KR"/>
        </w:rPr>
      </w:pPr>
      <w:bookmarkStart w:id="0" w:name="OLE_LINK1"/>
      <w:bookmarkStart w:id="1" w:name="OLE_LINK2"/>
      <w:r w:rsidRPr="00085335">
        <w:rPr>
          <w:b/>
          <w:sz w:val="24"/>
          <w:szCs w:val="24"/>
        </w:rPr>
        <w:t xml:space="preserve">3GPP TSG </w:t>
      </w:r>
      <w:r w:rsidR="004B6B76" w:rsidRPr="00085335">
        <w:rPr>
          <w:rFonts w:hint="eastAsia"/>
          <w:b/>
          <w:sz w:val="24"/>
          <w:szCs w:val="24"/>
          <w:lang w:eastAsia="ko-KR"/>
        </w:rPr>
        <w:t>RAN WG1</w:t>
      </w:r>
      <w:r w:rsidR="00816258">
        <w:rPr>
          <w:b/>
          <w:sz w:val="24"/>
          <w:szCs w:val="24"/>
          <w:lang w:eastAsia="ko-KR"/>
        </w:rPr>
        <w:t xml:space="preserve"> </w:t>
      </w:r>
      <w:r w:rsidR="004B6B76" w:rsidRPr="00085335">
        <w:rPr>
          <w:rFonts w:hint="eastAsia"/>
          <w:b/>
          <w:sz w:val="24"/>
          <w:szCs w:val="24"/>
          <w:lang w:eastAsia="ko-KR"/>
        </w:rPr>
        <w:t>#</w:t>
      </w:r>
      <w:r w:rsidR="00816258">
        <w:rPr>
          <w:b/>
          <w:sz w:val="24"/>
          <w:szCs w:val="24"/>
          <w:lang w:eastAsia="ko-KR"/>
        </w:rPr>
        <w:t>92bis</w:t>
      </w:r>
      <w:r w:rsidRPr="00085335">
        <w:rPr>
          <w:rFonts w:hint="eastAsia"/>
          <w:b/>
          <w:sz w:val="24"/>
          <w:szCs w:val="24"/>
          <w:lang w:eastAsia="ko-KR"/>
        </w:rPr>
        <w:tab/>
      </w:r>
      <w:r w:rsidRPr="00085335">
        <w:rPr>
          <w:rFonts w:hint="eastAsia"/>
          <w:b/>
          <w:i/>
          <w:sz w:val="24"/>
          <w:szCs w:val="24"/>
          <w:lang w:eastAsia="ko-KR"/>
        </w:rPr>
        <w:t>R1-</w:t>
      </w:r>
      <w:r w:rsidR="001672F5" w:rsidRPr="00085335">
        <w:rPr>
          <w:rFonts w:hint="eastAsia"/>
          <w:b/>
          <w:i/>
          <w:noProof/>
          <w:sz w:val="24"/>
          <w:szCs w:val="24"/>
          <w:lang w:eastAsia="ko-KR"/>
        </w:rPr>
        <w:t>1</w:t>
      </w:r>
      <w:r w:rsidR="00C6063C">
        <w:rPr>
          <w:b/>
          <w:i/>
          <w:noProof/>
          <w:sz w:val="24"/>
          <w:szCs w:val="24"/>
          <w:lang w:eastAsia="ko-KR"/>
        </w:rPr>
        <w:t>804321</w:t>
      </w:r>
    </w:p>
    <w:bookmarkEnd w:id="0"/>
    <w:bookmarkEnd w:id="1"/>
    <w:p w14:paraId="7E9A5EFF" w14:textId="4C2B1455" w:rsidR="003D6F63" w:rsidRPr="00085335" w:rsidRDefault="00816258" w:rsidP="003D6F63">
      <w:pPr>
        <w:tabs>
          <w:tab w:val="center" w:pos="4536"/>
          <w:tab w:val="right" w:pos="9072"/>
        </w:tabs>
        <w:rPr>
          <w:rFonts w:ascii="Arial" w:hAnsi="Arial" w:cs="Arial"/>
          <w:b/>
          <w:bCs/>
          <w:sz w:val="24"/>
          <w:szCs w:val="24"/>
        </w:rPr>
      </w:pPr>
      <w:r>
        <w:rPr>
          <w:rFonts w:ascii="Arial" w:hAnsi="Arial" w:cs="Arial"/>
          <w:b/>
          <w:bCs/>
          <w:sz w:val="24"/>
          <w:szCs w:val="24"/>
        </w:rPr>
        <w:t>Sanya</w:t>
      </w:r>
      <w:r w:rsidR="003D6F63" w:rsidRPr="00085335">
        <w:rPr>
          <w:rFonts w:ascii="Arial" w:hAnsi="Arial" w:cs="Arial"/>
          <w:b/>
          <w:bCs/>
          <w:sz w:val="24"/>
          <w:szCs w:val="24"/>
        </w:rPr>
        <w:t xml:space="preserve">, </w:t>
      </w:r>
      <w:r>
        <w:rPr>
          <w:rFonts w:ascii="Arial" w:hAnsi="Arial" w:cs="Arial"/>
          <w:b/>
          <w:bCs/>
          <w:sz w:val="24"/>
          <w:szCs w:val="24"/>
        </w:rPr>
        <w:t>China</w:t>
      </w:r>
      <w:r w:rsidR="004B6B76" w:rsidRPr="00085335">
        <w:rPr>
          <w:rFonts w:ascii="Arial" w:hAnsi="Arial" w:cs="Arial"/>
          <w:b/>
          <w:bCs/>
          <w:sz w:val="24"/>
          <w:szCs w:val="24"/>
        </w:rPr>
        <w:t>,</w:t>
      </w:r>
      <w:r w:rsidR="00614ED4" w:rsidRPr="00085335">
        <w:rPr>
          <w:rFonts w:ascii="Arial" w:hAnsi="Arial" w:cs="Arial"/>
          <w:b/>
          <w:bCs/>
          <w:sz w:val="24"/>
          <w:szCs w:val="24"/>
        </w:rPr>
        <w:t xml:space="preserve"> </w:t>
      </w:r>
      <w:r>
        <w:rPr>
          <w:rFonts w:ascii="Arial" w:hAnsi="Arial" w:cs="Arial"/>
          <w:b/>
          <w:bCs/>
          <w:sz w:val="24"/>
          <w:szCs w:val="24"/>
        </w:rPr>
        <w:t>Apr.</w:t>
      </w:r>
      <w:r w:rsidR="00085335" w:rsidRPr="00085335">
        <w:rPr>
          <w:rFonts w:ascii="Arial" w:hAnsi="Arial" w:cs="Arial"/>
          <w:b/>
          <w:bCs/>
          <w:sz w:val="24"/>
          <w:szCs w:val="24"/>
        </w:rPr>
        <w:t xml:space="preserve"> </w:t>
      </w:r>
      <w:r>
        <w:rPr>
          <w:rFonts w:ascii="Arial" w:hAnsi="Arial" w:cs="Arial"/>
          <w:b/>
          <w:bCs/>
          <w:sz w:val="24"/>
          <w:szCs w:val="24"/>
        </w:rPr>
        <w:t>16</w:t>
      </w:r>
      <w:r w:rsidR="005A7133" w:rsidRPr="00085335">
        <w:rPr>
          <w:rFonts w:ascii="Arial" w:hAnsi="Arial" w:cs="Arial"/>
          <w:b/>
          <w:bCs/>
          <w:sz w:val="24"/>
          <w:szCs w:val="24"/>
          <w:vertAlign w:val="superscript"/>
        </w:rPr>
        <w:t>th</w:t>
      </w:r>
      <w:r w:rsidR="00832B30" w:rsidRPr="00085335">
        <w:rPr>
          <w:rFonts w:ascii="Arial" w:hAnsi="Arial" w:cs="Arial"/>
          <w:b/>
          <w:bCs/>
          <w:sz w:val="24"/>
          <w:szCs w:val="24"/>
        </w:rPr>
        <w:t xml:space="preserve"> </w:t>
      </w:r>
      <w:r w:rsidR="005A7133" w:rsidRPr="00085335">
        <w:rPr>
          <w:rFonts w:ascii="Arial" w:hAnsi="Arial" w:cs="Arial"/>
          <w:b/>
          <w:bCs/>
          <w:sz w:val="24"/>
          <w:szCs w:val="24"/>
        </w:rPr>
        <w:t>–</w:t>
      </w:r>
      <w:r>
        <w:rPr>
          <w:rFonts w:ascii="Arial" w:hAnsi="Arial" w:cs="Arial"/>
          <w:b/>
          <w:bCs/>
          <w:sz w:val="24"/>
          <w:szCs w:val="24"/>
        </w:rPr>
        <w:t xml:space="preserve"> 20</w:t>
      </w:r>
      <w:r>
        <w:rPr>
          <w:rFonts w:ascii="Arial" w:hAnsi="Arial" w:cs="Arial"/>
          <w:b/>
          <w:bCs/>
          <w:sz w:val="24"/>
          <w:szCs w:val="24"/>
          <w:vertAlign w:val="superscript"/>
        </w:rPr>
        <w:t>th</w:t>
      </w:r>
      <w:r w:rsidR="00085335" w:rsidRPr="00085335">
        <w:rPr>
          <w:rFonts w:ascii="Arial" w:hAnsi="Arial" w:cs="Arial"/>
          <w:b/>
          <w:bCs/>
          <w:sz w:val="24"/>
          <w:szCs w:val="24"/>
        </w:rPr>
        <w:t xml:space="preserve"> </w:t>
      </w:r>
      <w:r>
        <w:rPr>
          <w:rFonts w:ascii="Arial" w:hAnsi="Arial" w:cs="Arial"/>
          <w:b/>
          <w:bCs/>
          <w:sz w:val="24"/>
          <w:szCs w:val="24"/>
        </w:rPr>
        <w:t>2018</w:t>
      </w:r>
    </w:p>
    <w:p w14:paraId="42CD44DA" w14:textId="77777777" w:rsidR="0014141E" w:rsidRDefault="0014141E" w:rsidP="00012357">
      <w:pPr>
        <w:tabs>
          <w:tab w:val="left" w:pos="1985"/>
        </w:tabs>
        <w:ind w:left="2040" w:hangingChars="850" w:hanging="2040"/>
        <w:rPr>
          <w:rFonts w:ascii="Arial" w:hAnsi="Arial"/>
          <w:b/>
          <w:sz w:val="24"/>
        </w:rPr>
      </w:pPr>
    </w:p>
    <w:p w14:paraId="75CD537F" w14:textId="7DBE43A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B45D6">
        <w:rPr>
          <w:rFonts w:ascii="Arial" w:hAnsi="Arial"/>
          <w:sz w:val="24"/>
          <w:lang w:eastAsia="ko-KR"/>
        </w:rPr>
        <w:t>6</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816258">
        <w:rPr>
          <w:rFonts w:ascii="Arial" w:hAnsi="Arial"/>
          <w:sz w:val="24"/>
          <w:lang w:eastAsia="ko-KR"/>
        </w:rPr>
        <w:t>5</w:t>
      </w:r>
      <w:r w:rsidR="003A0EFA">
        <w:rPr>
          <w:rFonts w:ascii="Arial" w:hAnsi="Arial"/>
          <w:sz w:val="24"/>
          <w:lang w:eastAsia="ko-KR"/>
        </w:rPr>
        <w:t>.</w:t>
      </w:r>
      <w:r w:rsidR="00A425A3">
        <w:rPr>
          <w:rFonts w:ascii="Arial" w:hAnsi="Arial"/>
          <w:sz w:val="24"/>
          <w:lang w:eastAsia="ko-KR"/>
        </w:rPr>
        <w:t>3</w:t>
      </w:r>
      <w:r w:rsidR="006F7A67">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01C6E40" w:rsidR="0072162A" w:rsidRPr="002E119A"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E119A" w:rsidRPr="002E119A">
        <w:rPr>
          <w:rFonts w:ascii="Arial" w:hAnsi="Arial"/>
          <w:sz w:val="24"/>
        </w:rPr>
        <w:t xml:space="preserve">Transmit Diversity </w:t>
      </w:r>
      <w:r w:rsidR="006F7A67">
        <w:rPr>
          <w:rFonts w:ascii="Arial" w:hAnsi="Arial"/>
          <w:sz w:val="24"/>
        </w:rPr>
        <w:t>Schemes</w:t>
      </w:r>
      <w:r w:rsidR="002E119A" w:rsidRPr="002E119A">
        <w:rPr>
          <w:rFonts w:ascii="Arial" w:hAnsi="Arial"/>
          <w:sz w:val="24"/>
        </w:rPr>
        <w:t xml:space="preserve"> for </w:t>
      </w:r>
      <w:r w:rsidR="0007639E" w:rsidRPr="002E119A">
        <w:rPr>
          <w:rFonts w:ascii="Arial" w:hAnsi="Arial"/>
          <w:sz w:val="24"/>
        </w:rPr>
        <w:t>PSSCH</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526108">
      <w:pPr>
        <w:pStyle w:val="Style1"/>
        <w:spacing w:after="0" w:afterAutospacing="0"/>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Pr="000E2099" w:rsidRDefault="00970230" w:rsidP="00970230">
            <w:pPr>
              <w:pStyle w:val="Style1"/>
              <w:ind w:firstLine="0"/>
              <w:rPr>
                <w:sz w:val="20"/>
              </w:rPr>
            </w:pPr>
            <w:r w:rsidRPr="000E2099">
              <w:rPr>
                <w:rFonts w:hint="eastAsia"/>
                <w:i/>
                <w:sz w:val="20"/>
              </w:rPr>
              <w:t>Study the</w:t>
            </w:r>
            <w:r w:rsidRPr="000E2099">
              <w:rPr>
                <w:i/>
                <w:sz w:val="20"/>
              </w:rPr>
              <w:t xml:space="preserve"> feasibility and gain of </w:t>
            </w:r>
            <w:r w:rsidRPr="000E2099">
              <w:rPr>
                <w:rFonts w:hint="eastAsia"/>
                <w:i/>
                <w:sz w:val="20"/>
              </w:rPr>
              <w:t>PC5 operation with Transmit</w:t>
            </w:r>
            <w:r w:rsidRPr="000E2099">
              <w:rPr>
                <w:i/>
                <w:sz w:val="20"/>
              </w:rPr>
              <w:t xml:space="preserve"> </w:t>
            </w:r>
            <w:r w:rsidRPr="000E2099">
              <w:rPr>
                <w:rFonts w:hint="eastAsia"/>
                <w:i/>
                <w:sz w:val="20"/>
              </w:rPr>
              <w:t>D</w:t>
            </w:r>
            <w:r w:rsidRPr="000E2099">
              <w:rPr>
                <w:i/>
                <w:sz w:val="20"/>
              </w:rPr>
              <w:t>iversity</w:t>
            </w:r>
            <w:r w:rsidRPr="000E2099">
              <w:rPr>
                <w:rFonts w:hint="eastAsia"/>
                <w:i/>
                <w:sz w:val="20"/>
              </w:rPr>
              <w:t>,</w:t>
            </w:r>
            <w:r w:rsidRPr="000E2099">
              <w:rPr>
                <w:i/>
                <w:sz w:val="20"/>
              </w:rPr>
              <w:t xml:space="preserve"> assuming </w:t>
            </w:r>
            <w:r w:rsidRPr="000E2099">
              <w:rPr>
                <w:rFonts w:hint="eastAsia"/>
                <w:i/>
                <w:sz w:val="20"/>
              </w:rPr>
              <w:t xml:space="preserve">this </w:t>
            </w:r>
            <w:r w:rsidRPr="000E2099">
              <w:rPr>
                <w:i/>
                <w:sz w:val="20"/>
              </w:rPr>
              <w:t>PC5 functionalit</w:t>
            </w:r>
            <w:r w:rsidRPr="000E2099">
              <w:rPr>
                <w:rFonts w:hint="eastAsia"/>
                <w:i/>
                <w:sz w:val="20"/>
              </w:rPr>
              <w:t>y</w:t>
            </w:r>
            <w:r w:rsidRPr="000E2099">
              <w:rPr>
                <w:i/>
                <w:sz w:val="20"/>
              </w:rPr>
              <w:t xml:space="preserve"> would co-exist in the same resource pools as Rel-14 functionality</w:t>
            </w:r>
            <w:r w:rsidRPr="000E2099">
              <w:rPr>
                <w:rFonts w:hint="eastAsia"/>
                <w:i/>
                <w:sz w:val="20"/>
              </w:rPr>
              <w:t xml:space="preserve"> and </w:t>
            </w:r>
            <w:r w:rsidRPr="000E2099">
              <w:rPr>
                <w:i/>
                <w:sz w:val="20"/>
              </w:rPr>
              <w:t>us</w:t>
            </w:r>
            <w:r w:rsidRPr="000E2099">
              <w:rPr>
                <w:rFonts w:hint="eastAsia"/>
                <w:i/>
                <w:sz w:val="20"/>
              </w:rPr>
              <w:t>e</w:t>
            </w:r>
            <w:r w:rsidRPr="000E2099">
              <w:rPr>
                <w:i/>
                <w:sz w:val="20"/>
              </w:rPr>
              <w:t xml:space="preserve"> the same scheduling assignment format</w:t>
            </w:r>
            <w:r w:rsidRPr="000E2099">
              <w:rPr>
                <w:rFonts w:hint="eastAsia"/>
                <w:i/>
                <w:sz w:val="20"/>
              </w:rPr>
              <w:t xml:space="preserve"> (</w:t>
            </w:r>
            <w:r w:rsidRPr="000E2099">
              <w:rPr>
                <w:i/>
                <w:sz w:val="20"/>
              </w:rPr>
              <w:t>which can be decoded by Rel-14 UEs</w:t>
            </w:r>
            <w:r w:rsidRPr="000E2099">
              <w:rPr>
                <w:rFonts w:hint="eastAsia"/>
                <w:i/>
                <w:sz w:val="20"/>
              </w:rPr>
              <w:t xml:space="preserve">), </w:t>
            </w:r>
            <w:r w:rsidRPr="000E2099">
              <w:rPr>
                <w:i/>
                <w:sz w:val="20"/>
              </w:rPr>
              <w:t>without causing significant degradation to Rel-14 PC5 operation</w:t>
            </w:r>
            <w:r w:rsidRPr="000E2099">
              <w:rPr>
                <w:rFonts w:hint="eastAsia"/>
                <w:i/>
                <w:sz w:val="20"/>
              </w:rPr>
              <w:t xml:space="preserve"> compared to that of Rel-14 UEs, and specify this </w:t>
            </w:r>
            <w:r w:rsidRPr="000E2099">
              <w:rPr>
                <w:i/>
                <w:sz w:val="20"/>
              </w:rPr>
              <w:t>PC5 functionalit</w:t>
            </w:r>
            <w:r w:rsidRPr="000E2099">
              <w:rPr>
                <w:rFonts w:hint="eastAsia"/>
                <w:i/>
                <w:sz w:val="20"/>
              </w:rPr>
              <w:t>y if justified. [</w:t>
            </w:r>
            <w:r w:rsidRPr="000E2099">
              <w:rPr>
                <w:i/>
                <w:sz w:val="20"/>
              </w:rPr>
              <w:t>RAN</w:t>
            </w:r>
            <w:r w:rsidRPr="000E2099">
              <w:rPr>
                <w:rFonts w:hint="eastAsia"/>
                <w:i/>
                <w:sz w:val="20"/>
              </w:rPr>
              <w:t>1</w:t>
            </w:r>
            <w:r w:rsidRPr="000E2099">
              <w:rPr>
                <w:i/>
                <w:sz w:val="20"/>
              </w:rPr>
              <w:t>, RAN</w:t>
            </w:r>
            <w:r w:rsidRPr="000E2099">
              <w:rPr>
                <w:rFonts w:hint="eastAsia"/>
                <w:i/>
                <w:sz w:val="20"/>
              </w:rPr>
              <w:t>2</w:t>
            </w:r>
            <w:r w:rsidRPr="000E2099">
              <w:rPr>
                <w:i/>
                <w:sz w:val="20"/>
              </w:rPr>
              <w:t xml:space="preserve">, </w:t>
            </w:r>
            <w:r w:rsidRPr="000E2099">
              <w:rPr>
                <w:rFonts w:hint="eastAsia"/>
                <w:i/>
                <w:sz w:val="20"/>
              </w:rPr>
              <w:t>RAN4]</w:t>
            </w:r>
          </w:p>
        </w:tc>
      </w:tr>
    </w:tbl>
    <w:p w14:paraId="27236BDE" w14:textId="126AF369" w:rsidR="00970230" w:rsidRDefault="00526108" w:rsidP="00526108">
      <w:pPr>
        <w:pStyle w:val="Style1"/>
        <w:spacing w:before="100" w:beforeAutospacing="1" w:after="0" w:afterAutospacing="0"/>
      </w:pPr>
      <w:r>
        <w:t>The following working assumptions was made in RAN1 #90[2]:</w:t>
      </w:r>
    </w:p>
    <w:tbl>
      <w:tblPr>
        <w:tblStyle w:val="TableGrid"/>
        <w:tblW w:w="0" w:type="auto"/>
        <w:tblLook w:val="04A0" w:firstRow="1" w:lastRow="0" w:firstColumn="1" w:lastColumn="0" w:noHBand="0" w:noVBand="1"/>
      </w:tblPr>
      <w:tblGrid>
        <w:gridCol w:w="9629"/>
      </w:tblGrid>
      <w:tr w:rsidR="00526108" w:rsidRPr="000E2099" w14:paraId="28EA73F8" w14:textId="77777777" w:rsidTr="00526108">
        <w:tc>
          <w:tcPr>
            <w:tcW w:w="9629" w:type="dxa"/>
          </w:tcPr>
          <w:p w14:paraId="4427E197" w14:textId="77777777" w:rsidR="00526108" w:rsidRPr="000E2099" w:rsidRDefault="00526108" w:rsidP="00526108">
            <w:pPr>
              <w:numPr>
                <w:ilvl w:val="0"/>
                <w:numId w:val="36"/>
              </w:numPr>
              <w:tabs>
                <w:tab w:val="left" w:pos="1440"/>
              </w:tabs>
              <w:spacing w:after="0"/>
              <w:rPr>
                <w:rFonts w:eastAsia="MS Mincho"/>
                <w:i/>
                <w:lang w:val="en-US" w:eastAsia="ja-JP"/>
              </w:rPr>
            </w:pPr>
            <w:r w:rsidRPr="000E2099">
              <w:rPr>
                <w:rFonts w:eastAsia="MS Mincho"/>
                <w:i/>
                <w:lang w:val="en-US" w:eastAsia="ja-JP"/>
              </w:rPr>
              <w:t>For designing PSSCH, RAN1 assumes the use of two-port non-transparent transmit diversity</w:t>
            </w:r>
          </w:p>
          <w:p w14:paraId="490640B0"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 xml:space="preserve">The use of non-transparent transmit diversity is configured. </w:t>
            </w:r>
          </w:p>
          <w:p w14:paraId="0FEC69D2"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Details, including diversity scheme, are FFS</w:t>
            </w:r>
          </w:p>
          <w:p w14:paraId="7BA45482"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Support of transmission and/or reception up to UE capability</w:t>
            </w:r>
          </w:p>
          <w:p w14:paraId="6A4AFA68"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Note: It is RAN1 understanding that requirements on capabilities can be set at regional level and are outside 3GPP scope</w:t>
            </w:r>
          </w:p>
          <w:p w14:paraId="5975594C"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Send LS to RAN4 to ask their opinion about when non-transparent scheme for transmit diversity is used by Rel-15 UEs:</w:t>
            </w:r>
          </w:p>
          <w:p w14:paraId="05EF9992"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Impact on Rel-14 UEs of PSSCH-RSRP measurement accuracy</w:t>
            </w:r>
          </w:p>
          <w:p w14:paraId="53E32B2A" w14:textId="77777777" w:rsidR="00526108" w:rsidRPr="000E2099" w:rsidRDefault="00526108" w:rsidP="00526108">
            <w:pPr>
              <w:numPr>
                <w:ilvl w:val="2"/>
                <w:numId w:val="36"/>
              </w:numPr>
              <w:tabs>
                <w:tab w:val="left" w:pos="1440"/>
              </w:tabs>
              <w:spacing w:after="0"/>
              <w:rPr>
                <w:rFonts w:eastAsia="MS Mincho"/>
                <w:i/>
                <w:lang w:val="en-US" w:eastAsia="ja-JP"/>
              </w:rPr>
            </w:pPr>
            <w:r w:rsidRPr="000E2099">
              <w:rPr>
                <w:rFonts w:eastAsia="MS Mincho"/>
                <w:i/>
                <w:lang w:val="en-US" w:eastAsia="ja-JP"/>
              </w:rPr>
              <w:t>MPR for Rel-15 UEs</w:t>
            </w:r>
          </w:p>
          <w:p w14:paraId="4CFBBBC8" w14:textId="77777777" w:rsidR="00526108" w:rsidRPr="000E2099" w:rsidRDefault="00526108" w:rsidP="00526108">
            <w:pPr>
              <w:numPr>
                <w:ilvl w:val="0"/>
                <w:numId w:val="36"/>
              </w:numPr>
              <w:tabs>
                <w:tab w:val="left" w:pos="1440"/>
              </w:tabs>
              <w:spacing w:after="0"/>
              <w:rPr>
                <w:rFonts w:eastAsia="MS Mincho"/>
                <w:i/>
                <w:lang w:val="en-US" w:eastAsia="ja-JP"/>
              </w:rPr>
            </w:pPr>
            <w:r w:rsidRPr="000E2099">
              <w:rPr>
                <w:rFonts w:eastAsia="MS Mincho"/>
                <w:i/>
                <w:lang w:val="en-US" w:eastAsia="ja-JP"/>
              </w:rPr>
              <w:t>Non-transparent Transmit diversity is not used in the following cases:</w:t>
            </w:r>
          </w:p>
          <w:p w14:paraId="705FB31B"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When communicating with Rel-14 UEs</w:t>
            </w:r>
          </w:p>
          <w:p w14:paraId="22670FA4" w14:textId="77777777" w:rsidR="00526108" w:rsidRPr="000E2099" w:rsidRDefault="00526108" w:rsidP="00526108">
            <w:pPr>
              <w:numPr>
                <w:ilvl w:val="1"/>
                <w:numId w:val="36"/>
              </w:numPr>
              <w:tabs>
                <w:tab w:val="left" w:pos="1440"/>
              </w:tabs>
              <w:spacing w:after="0"/>
              <w:rPr>
                <w:rFonts w:eastAsia="MS Mincho"/>
                <w:i/>
                <w:lang w:val="en-US" w:eastAsia="ja-JP"/>
              </w:rPr>
            </w:pPr>
            <w:r w:rsidRPr="000E2099">
              <w:rPr>
                <w:rFonts w:eastAsia="MS Mincho"/>
                <w:i/>
                <w:lang w:val="en-US" w:eastAsia="ja-JP"/>
              </w:rPr>
              <w:t>When there is a high probability of resource collision with Rel-14 UEs</w:t>
            </w:r>
          </w:p>
          <w:p w14:paraId="78712D79" w14:textId="4DADD3E4" w:rsidR="00526108" w:rsidRPr="000E2099" w:rsidRDefault="00526108" w:rsidP="00526108">
            <w:pPr>
              <w:numPr>
                <w:ilvl w:val="0"/>
                <w:numId w:val="36"/>
              </w:numPr>
              <w:tabs>
                <w:tab w:val="left" w:pos="1440"/>
              </w:tabs>
              <w:spacing w:after="0"/>
              <w:rPr>
                <w:i/>
                <w:lang w:val="en-US"/>
              </w:rPr>
            </w:pPr>
            <w:r w:rsidRPr="000E2099">
              <w:rPr>
                <w:rFonts w:eastAsia="MS Mincho"/>
                <w:i/>
                <w:lang w:eastAsia="ja-JP"/>
              </w:rPr>
              <w:t>Note: Some companies observe that the performance of MMSE-IRC receiver degrades when a non-transparent Transmit diversity scheme is used in interference limited scenarios with a dominant interferer</w:t>
            </w:r>
          </w:p>
        </w:tc>
      </w:tr>
    </w:tbl>
    <w:p w14:paraId="1B43F582" w14:textId="77777777" w:rsidR="00424277" w:rsidRDefault="00424277" w:rsidP="00424277">
      <w:pPr>
        <w:pStyle w:val="Style1"/>
      </w:pPr>
    </w:p>
    <w:p w14:paraId="3BA4D98F" w14:textId="77777777" w:rsidR="00424277" w:rsidRDefault="00424277" w:rsidP="00424277">
      <w:pPr>
        <w:pStyle w:val="Style1"/>
        <w:spacing w:after="0" w:afterAutospacing="0"/>
      </w:pPr>
      <w:r>
        <w:t>In RAN1#90bis, the following agreement was made [3]</w:t>
      </w:r>
    </w:p>
    <w:tbl>
      <w:tblPr>
        <w:tblStyle w:val="TableGrid"/>
        <w:tblW w:w="0" w:type="auto"/>
        <w:tblLook w:val="04A0" w:firstRow="1" w:lastRow="0" w:firstColumn="1" w:lastColumn="0" w:noHBand="0" w:noVBand="1"/>
      </w:tblPr>
      <w:tblGrid>
        <w:gridCol w:w="9629"/>
      </w:tblGrid>
      <w:tr w:rsidR="00424277" w14:paraId="6F86A3B9" w14:textId="77777777" w:rsidTr="001F6C0E">
        <w:trPr>
          <w:trHeight w:val="921"/>
        </w:trPr>
        <w:tc>
          <w:tcPr>
            <w:tcW w:w="9629" w:type="dxa"/>
          </w:tcPr>
          <w:p w14:paraId="3E3B137F" w14:textId="77777777" w:rsidR="00424277" w:rsidRDefault="00424277" w:rsidP="001F6C0E">
            <w:pPr>
              <w:ind w:left="1440" w:hanging="1440"/>
            </w:pPr>
            <w:r w:rsidRPr="003427BF">
              <w:rPr>
                <w:highlight w:val="green"/>
              </w:rPr>
              <w:t>Agreement</w:t>
            </w:r>
            <w:r>
              <w:t>:</w:t>
            </w:r>
          </w:p>
          <w:p w14:paraId="7B67D316" w14:textId="77777777" w:rsidR="00424277" w:rsidRPr="003C334A" w:rsidRDefault="00424277" w:rsidP="001F6C0E">
            <w:pPr>
              <w:numPr>
                <w:ilvl w:val="0"/>
                <w:numId w:val="37"/>
              </w:numPr>
              <w:spacing w:after="0"/>
              <w:rPr>
                <w:i/>
                <w:lang w:val="en-US"/>
              </w:rPr>
            </w:pPr>
            <w:r w:rsidRPr="003C334A">
              <w:rPr>
                <w:i/>
              </w:rPr>
              <w:t>For PSCCH, small delay CDD can be used on PSCCH</w:t>
            </w:r>
          </w:p>
          <w:p w14:paraId="5559C27A" w14:textId="27271C11" w:rsidR="00424277" w:rsidRPr="003C334A" w:rsidRDefault="00424277" w:rsidP="00424277">
            <w:pPr>
              <w:numPr>
                <w:ilvl w:val="1"/>
                <w:numId w:val="37"/>
              </w:numPr>
              <w:spacing w:after="0"/>
              <w:rPr>
                <w:lang w:val="en-US"/>
              </w:rPr>
            </w:pPr>
            <w:r w:rsidRPr="003C334A">
              <w:rPr>
                <w:i/>
              </w:rPr>
              <w:t>FFS whether the cyclic delay value is specified or left for UE implementation</w:t>
            </w:r>
          </w:p>
        </w:tc>
      </w:tr>
    </w:tbl>
    <w:p w14:paraId="46234168" w14:textId="7421930A" w:rsidR="00E50AEC" w:rsidRDefault="00E50AEC" w:rsidP="00EE37A9">
      <w:pPr>
        <w:pStyle w:val="Style1"/>
        <w:spacing w:before="100" w:beforeAutospacing="1" w:after="0" w:afterAutospacing="0"/>
      </w:pPr>
      <w:r>
        <w:t xml:space="preserve">In this contribution, we present our views on the </w:t>
      </w:r>
      <w:r w:rsidR="00EE37A9">
        <w:t xml:space="preserve">transmit diversity schemes for PSSCH channel and also the related control </w:t>
      </w:r>
      <w:r w:rsidR="003A266B">
        <w:t>signalling</w:t>
      </w:r>
      <w:bookmarkStart w:id="4" w:name="_GoBack"/>
      <w:bookmarkEnd w:id="4"/>
      <w:r w:rsidR="00EE37A9">
        <w:t>.</w:t>
      </w:r>
    </w:p>
    <w:p w14:paraId="28826F10" w14:textId="1B4F65E8" w:rsidR="00EE37A9" w:rsidRDefault="00EE37A9" w:rsidP="00526108">
      <w:pPr>
        <w:pStyle w:val="Heading1"/>
        <w:tabs>
          <w:tab w:val="num" w:pos="0"/>
        </w:tabs>
        <w:ind w:left="799" w:hanging="799"/>
      </w:pPr>
      <w:r>
        <w:t>Discussion on transmit diversity for PSSCH</w:t>
      </w:r>
    </w:p>
    <w:p w14:paraId="0190C413" w14:textId="7CD5AF12" w:rsidR="00F92DBC" w:rsidRDefault="00C66A37" w:rsidP="00C66A37">
      <w:pPr>
        <w:pStyle w:val="Style1"/>
        <w:rPr>
          <w:lang w:eastAsia="ko-KR"/>
        </w:rPr>
      </w:pPr>
      <w:r>
        <w:rPr>
          <w:lang w:eastAsia="ko-KR"/>
        </w:rPr>
        <w:t xml:space="preserve">For PSCCH channel, it has been agreed that small delay CDD (cyclic delay diversity) can be used per UE’s implementation. There has been an on-going discussion on whether non-transparent transmit diversity scheme shall be specified for PSSCH or not. Candidates of non-transparent transmit diversity schemes include </w:t>
      </w:r>
      <w:r w:rsidR="00F92DBC">
        <w:rPr>
          <w:lang w:eastAsia="ko-KR"/>
        </w:rPr>
        <w:t xml:space="preserve">2-port SFBC (space frequency block coding) and STBC (space time block coding). Transparent transmit diversity scheme can be any transmit scheme per UE implementation without </w:t>
      </w:r>
      <w:r w:rsidR="00CC093D">
        <w:rPr>
          <w:lang w:eastAsia="ko-KR"/>
        </w:rPr>
        <w:t xml:space="preserve">the need of </w:t>
      </w:r>
      <w:r w:rsidR="00F92DBC">
        <w:rPr>
          <w:lang w:eastAsia="ko-KR"/>
        </w:rPr>
        <w:t xml:space="preserve">any specification supporting. One example can be small delay CDD. </w:t>
      </w:r>
    </w:p>
    <w:p w14:paraId="08AA737B" w14:textId="0C8535BE" w:rsidR="00384CF5" w:rsidRDefault="00F92DBC" w:rsidP="00C66A37">
      <w:pPr>
        <w:pStyle w:val="Style1"/>
        <w:rPr>
          <w:lang w:eastAsia="ko-KR"/>
        </w:rPr>
      </w:pPr>
      <w:r>
        <w:rPr>
          <w:lang w:eastAsia="ko-KR"/>
        </w:rPr>
        <w:lastRenderedPageBreak/>
        <w:t>Various evaluation results has shown the link performance improvement from SFBC or STBC.</w:t>
      </w:r>
      <w:r w:rsidR="00C66A37">
        <w:rPr>
          <w:lang w:eastAsia="ko-KR"/>
        </w:rPr>
        <w:t xml:space="preserve"> </w:t>
      </w:r>
      <w:r>
        <w:rPr>
          <w:lang w:eastAsia="ko-KR"/>
        </w:rPr>
        <w:t>However, technical concerns are raised for them. One concern is the performance degradation in the scenario of one dominant</w:t>
      </w:r>
      <w:r w:rsidR="00870195">
        <w:rPr>
          <w:lang w:eastAsia="ko-KR"/>
        </w:rPr>
        <w:t xml:space="preserve"> strong</w:t>
      </w:r>
      <w:r>
        <w:rPr>
          <w:lang w:eastAsia="ko-KR"/>
        </w:rPr>
        <w:t xml:space="preserve"> interferer.</w:t>
      </w:r>
      <w:r w:rsidR="003A62F7">
        <w:rPr>
          <w:lang w:eastAsia="ko-KR"/>
        </w:rPr>
        <w:t xml:space="preserve"> The transmit scheme like SFBC or STBC basically change the transmission from single stream to a double-stream, which impair the interference reduction capability of receiver. </w:t>
      </w:r>
      <w:r w:rsidR="00CC093D" w:rsidRPr="00CC093D">
        <w:rPr>
          <w:lang w:eastAsia="ko-KR"/>
        </w:rPr>
        <w:t xml:space="preserve">The non-transparent transmit diversity schemes need </w:t>
      </w:r>
      <w:r w:rsidR="00CC093D">
        <w:rPr>
          <w:lang w:eastAsia="ko-KR"/>
        </w:rPr>
        <w:t>a</w:t>
      </w:r>
      <w:r w:rsidR="00CC093D" w:rsidRPr="00CC093D">
        <w:rPr>
          <w:lang w:eastAsia="ko-KR"/>
        </w:rPr>
        <w:t xml:space="preserve"> two-port DMRS </w:t>
      </w:r>
      <w:r w:rsidR="00CC093D">
        <w:rPr>
          <w:lang w:eastAsia="ko-KR"/>
        </w:rPr>
        <w:t>transmission for PSSCH and thus a</w:t>
      </w:r>
      <w:r w:rsidR="003A62F7">
        <w:rPr>
          <w:lang w:eastAsia="ko-KR"/>
        </w:rPr>
        <w:t xml:space="preserve">nother technical concern is the impact of two-port DMRS design on the </w:t>
      </w:r>
      <w:r w:rsidR="008731F1">
        <w:rPr>
          <w:lang w:eastAsia="ko-KR"/>
        </w:rPr>
        <w:t>PSSCH-RSRP measurement accuracy of legacy rel-14 UEs.</w:t>
      </w:r>
    </w:p>
    <w:p w14:paraId="32355A5D" w14:textId="4D3ABA56" w:rsidR="00E118BB" w:rsidRDefault="00384CF5" w:rsidP="00E118BB">
      <w:pPr>
        <w:pStyle w:val="Style1"/>
        <w:rPr>
          <w:lang w:eastAsia="ko-KR"/>
        </w:rPr>
      </w:pPr>
      <w:r>
        <w:rPr>
          <w:lang w:eastAsia="ko-KR"/>
        </w:rPr>
        <w:t xml:space="preserve">With considering all the technical concerns on non-transparent transmit scheme, in our view, transparent transmit diversity shall be </w:t>
      </w:r>
      <w:r w:rsidR="00175240">
        <w:rPr>
          <w:lang w:eastAsia="ko-KR"/>
        </w:rPr>
        <w:t xml:space="preserve">used </w:t>
      </w:r>
      <w:r>
        <w:rPr>
          <w:lang w:eastAsia="ko-KR"/>
        </w:rPr>
        <w:t>for PSSCH</w:t>
      </w:r>
      <w:r w:rsidR="00175240">
        <w:rPr>
          <w:lang w:eastAsia="ko-KR"/>
        </w:rPr>
        <w:t xml:space="preserve"> in rel15</w:t>
      </w:r>
      <w:r>
        <w:rPr>
          <w:lang w:eastAsia="ko-KR"/>
        </w:rPr>
        <w:t>. On</w:t>
      </w:r>
      <w:r w:rsidR="00CC093D">
        <w:rPr>
          <w:lang w:eastAsia="ko-KR"/>
        </w:rPr>
        <w:t>e</w:t>
      </w:r>
      <w:r>
        <w:rPr>
          <w:lang w:eastAsia="ko-KR"/>
        </w:rPr>
        <w:t xml:space="preserve"> example scheme is the small delay CDD, as we have agreed that small delay CDD can be used on PSCCH.</w:t>
      </w:r>
      <w:r w:rsidR="00E118BB">
        <w:rPr>
          <w:lang w:eastAsia="ko-KR"/>
        </w:rPr>
        <w:t xml:space="preserve"> With transparent scheme, the DMRS design in rel14 can be re-used here without any updates and the receiver is not need</w:t>
      </w:r>
      <w:r w:rsidR="00CC093D">
        <w:rPr>
          <w:lang w:eastAsia="ko-KR"/>
        </w:rPr>
        <w:t>ed</w:t>
      </w:r>
      <w:r w:rsidR="00E118BB">
        <w:rPr>
          <w:lang w:eastAsia="ko-KR"/>
        </w:rPr>
        <w:t xml:space="preserve"> to be aware of what transmit scheme is used at transmitter side. The implementation of small delay CDD can be up to UE’s implementation. </w:t>
      </w:r>
    </w:p>
    <w:p w14:paraId="25457346" w14:textId="61DA2EC6" w:rsidR="00E118BB" w:rsidRDefault="00E118BB" w:rsidP="00E118BB">
      <w:pPr>
        <w:pStyle w:val="maintext"/>
        <w:ind w:firstLineChars="0" w:firstLine="0"/>
        <w:rPr>
          <w:i/>
          <w:sz w:val="22"/>
        </w:rPr>
      </w:pPr>
      <w:r w:rsidRPr="00325383">
        <w:rPr>
          <w:b/>
          <w:i/>
          <w:sz w:val="22"/>
          <w:u w:val="single"/>
        </w:rPr>
        <w:t>Proposal</w:t>
      </w:r>
      <w:r w:rsidRPr="00325383">
        <w:rPr>
          <w:rFonts w:hint="eastAsia"/>
          <w:b/>
          <w:i/>
          <w:sz w:val="22"/>
          <w:u w:val="single"/>
        </w:rPr>
        <w:t xml:space="preserve"> 1</w:t>
      </w:r>
      <w:r w:rsidRPr="00325383">
        <w:rPr>
          <w:i/>
          <w:sz w:val="22"/>
        </w:rPr>
        <w:t xml:space="preserve">: </w:t>
      </w:r>
      <w:r>
        <w:rPr>
          <w:i/>
          <w:sz w:val="22"/>
        </w:rPr>
        <w:t xml:space="preserve">For PSSCH, transparent transmit diversity scheme </w:t>
      </w:r>
      <w:r w:rsidR="00DA78EE">
        <w:rPr>
          <w:i/>
          <w:sz w:val="22"/>
        </w:rPr>
        <w:t>shall</w:t>
      </w:r>
      <w:r>
        <w:rPr>
          <w:i/>
          <w:sz w:val="22"/>
        </w:rPr>
        <w:t xml:space="preserve"> be used and one example scheme is small delay CDD. </w:t>
      </w:r>
    </w:p>
    <w:p w14:paraId="1B1B0797" w14:textId="7DDC2C59" w:rsidR="00E118BB" w:rsidRPr="00526A65" w:rsidRDefault="00E118BB" w:rsidP="00E118BB">
      <w:pPr>
        <w:pStyle w:val="Heading1"/>
        <w:tabs>
          <w:tab w:val="num" w:pos="0"/>
        </w:tabs>
        <w:ind w:left="799" w:hanging="799"/>
      </w:pPr>
      <w:r>
        <w:t>Discussion on configuration for small delay CDD</w:t>
      </w:r>
    </w:p>
    <w:p w14:paraId="20744AF8" w14:textId="610B4D6E" w:rsidR="00F50767" w:rsidRDefault="005B545A" w:rsidP="009C7BB0">
      <w:pPr>
        <w:pStyle w:val="Style1"/>
      </w:pPr>
      <w:r>
        <w:t>In small delay CDD, the transmitter implement</w:t>
      </w:r>
      <w:r w:rsidR="00CC093D">
        <w:t>s</w:t>
      </w:r>
      <w:r>
        <w:t xml:space="preserve"> a cyclic delay on the second transmit chain to introduce some delay diversity, as shown in Figure 1. The key implementation of small CDD is the choice of this cyclic delay value. </w:t>
      </w:r>
    </w:p>
    <w:p w14:paraId="21837B32" w14:textId="54E74424" w:rsidR="005B545A" w:rsidRDefault="005B545A" w:rsidP="005B545A">
      <w:pPr>
        <w:pStyle w:val="Style1"/>
        <w:jc w:val="center"/>
      </w:pPr>
      <w:r w:rsidRPr="005B545A">
        <w:rPr>
          <w:noProof/>
          <w:lang w:val="en-US" w:eastAsia="zh-CN"/>
        </w:rPr>
        <w:drawing>
          <wp:inline distT="0" distB="0" distL="0" distR="0" wp14:anchorId="472E0A85" wp14:editId="4C566A4E">
            <wp:extent cx="1683450" cy="1228667"/>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1683450" cy="1228667"/>
                    </a:xfrm>
                    <a:prstGeom prst="rect">
                      <a:avLst/>
                    </a:prstGeom>
                  </pic:spPr>
                </pic:pic>
              </a:graphicData>
            </a:graphic>
          </wp:inline>
        </w:drawing>
      </w:r>
    </w:p>
    <w:p w14:paraId="5DD8C017" w14:textId="20C78329" w:rsidR="005B545A" w:rsidRPr="005B545A" w:rsidRDefault="005B545A" w:rsidP="005B545A">
      <w:pPr>
        <w:pStyle w:val="Style1"/>
        <w:jc w:val="center"/>
        <w:rPr>
          <w:b/>
        </w:rPr>
      </w:pPr>
      <w:r w:rsidRPr="005B545A">
        <w:rPr>
          <w:b/>
        </w:rPr>
        <w:t>Figure 1</w:t>
      </w:r>
    </w:p>
    <w:p w14:paraId="1F4D98C4" w14:textId="613821E5" w:rsidR="008F3BB3" w:rsidRDefault="005B545A" w:rsidP="009C7BB0">
      <w:pPr>
        <w:pStyle w:val="Style1"/>
      </w:pPr>
      <w:r>
        <w:t xml:space="preserve">There are a few alternatives regarding how to specify the cyclic delay value. </w:t>
      </w:r>
      <w:r w:rsidR="008F3BB3">
        <w:t xml:space="preserve">Alt#1 is that the cyclic shift value is up to UE’s implementation and we do not </w:t>
      </w:r>
      <w:r w:rsidR="00CC093D">
        <w:t>define</w:t>
      </w:r>
      <w:r w:rsidR="008F3BB3">
        <w:t xml:space="preserve"> anything in the specification. Alt#2 is to specify some value</w:t>
      </w:r>
      <w:r w:rsidR="00CC093D">
        <w:t>s</w:t>
      </w:r>
      <w:r w:rsidR="008F3BB3">
        <w:t xml:space="preserve">. One method for Alt#2 is that the NW can </w:t>
      </w:r>
      <w:r>
        <w:t>configure</w:t>
      </w:r>
      <w:r w:rsidR="00CC093D">
        <w:t xml:space="preserve"> or indicate</w:t>
      </w:r>
      <w:r>
        <w:t xml:space="preserve"> a cyclic delay value to the UE. Another</w:t>
      </w:r>
      <w:r w:rsidR="008F3BB3">
        <w:t xml:space="preserve"> possible</w:t>
      </w:r>
      <w:r>
        <w:t xml:space="preserve"> </w:t>
      </w:r>
      <w:r w:rsidR="008F3BB3">
        <w:t xml:space="preserve">method for Alt#2 </w:t>
      </w:r>
      <w:r>
        <w:t xml:space="preserve">is </w:t>
      </w:r>
      <w:r w:rsidR="008F3BB3">
        <w:t>that we can</w:t>
      </w:r>
      <w:r>
        <w:t xml:space="preserve"> specify a</w:t>
      </w:r>
      <w:r w:rsidR="00CC093D">
        <w:t>n</w:t>
      </w:r>
      <w:r>
        <w:t xml:space="preserve"> upper bound for the cyclic delay and the UE can choose one value within the defined upper bound. In our view, either of these </w:t>
      </w:r>
      <w:r w:rsidR="00CC093D">
        <w:t>methods</w:t>
      </w:r>
      <w:r>
        <w:t xml:space="preserve"> have some issues and neither of them are preferred. A proper value of cyclic delay shift </w:t>
      </w:r>
      <w:r w:rsidR="00CC093D">
        <w:t xml:space="preserve">critically </w:t>
      </w:r>
      <w:r>
        <w:t xml:space="preserve">depends on the channel condition between the transmitter UE and receiver UE. </w:t>
      </w:r>
      <w:r w:rsidR="009050B9">
        <w:t xml:space="preserve">The transmitter should choose one value that does not result in equivalent channel </w:t>
      </w:r>
      <w:r w:rsidR="00E70C3E">
        <w:t>with</w:t>
      </w:r>
      <w:r w:rsidR="009050B9">
        <w:t xml:space="preserve"> </w:t>
      </w:r>
      <w:r w:rsidR="00E70C3E">
        <w:t xml:space="preserve">equivalent </w:t>
      </w:r>
      <w:r w:rsidR="009050B9">
        <w:t xml:space="preserve">delay spread </w:t>
      </w:r>
      <w:r w:rsidR="00E70C3E">
        <w:t xml:space="preserve">being larger than the </w:t>
      </w:r>
      <w:r w:rsidR="009050B9">
        <w:t xml:space="preserve">assumption at the receiver side. </w:t>
      </w:r>
      <w:r>
        <w:t xml:space="preserve">And the channel condition between UEs could be quite different from the channel condition between UE and system. </w:t>
      </w:r>
      <w:r w:rsidR="009050B9">
        <w:t>The delay value for small delay CDD should be decided based on the channel characteristics of PC5. But the eNB can only measure the channel characteristics of Uu interface. To enable eNB to configure, we need request the V2X UE to measure the PC5 channel and then report the channel characteristics to the eNB. That would result in significant uplink transmission overhead. In our view, there is no technical benefit to allow the NW to configure delay value for small delay CDD for PS</w:t>
      </w:r>
      <w:r w:rsidR="00E70C3E">
        <w:t>S</w:t>
      </w:r>
      <w:r w:rsidR="009050B9">
        <w:t>CH. A</w:t>
      </w:r>
      <w:r w:rsidR="008F3BB3">
        <w:t xml:space="preserve"> value configured by the system </w:t>
      </w:r>
      <w:r w:rsidR="009050B9">
        <w:t xml:space="preserve">does not deliver </w:t>
      </w:r>
      <w:r w:rsidR="008F3BB3">
        <w:t xml:space="preserve">performance improvement </w:t>
      </w:r>
      <w:r w:rsidR="009050B9">
        <w:t>that can</w:t>
      </w:r>
      <w:r w:rsidR="008F3BB3">
        <w:t xml:space="preserve"> justify the introduction of extra control </w:t>
      </w:r>
      <w:r w:rsidR="00E70C3E">
        <w:t>signalling</w:t>
      </w:r>
      <w:r w:rsidR="008F3BB3">
        <w:t xml:space="preserve">. A predefined upper bound seems not </w:t>
      </w:r>
      <w:r w:rsidR="009050B9">
        <w:t xml:space="preserve">so </w:t>
      </w:r>
      <w:r w:rsidR="008F3BB3">
        <w:t xml:space="preserve">useful due to the same reason </w:t>
      </w:r>
      <w:r w:rsidR="00E36863">
        <w:t>as above.</w:t>
      </w:r>
      <w:r w:rsidR="00CC0584">
        <w:t xml:space="preserve"> Therefore, to summarize, the cyclic delay value in small delay CDD shall be left </w:t>
      </w:r>
      <w:r w:rsidR="00E36863">
        <w:t>to</w:t>
      </w:r>
      <w:r w:rsidR="00CC0584">
        <w:t xml:space="preserve"> UE’s </w:t>
      </w:r>
      <w:r w:rsidR="009050B9">
        <w:t>implementation and no definition/configuration in specification is needed.</w:t>
      </w:r>
      <w:r w:rsidR="008F3BB3">
        <w:t xml:space="preserve">    </w:t>
      </w:r>
    </w:p>
    <w:p w14:paraId="398D204C" w14:textId="3C980127" w:rsidR="0038300F" w:rsidRDefault="009B3EE7" w:rsidP="009B3EE7">
      <w:pPr>
        <w:pStyle w:val="maintext"/>
        <w:ind w:firstLineChars="0" w:firstLine="0"/>
        <w:rPr>
          <w:i/>
          <w:sz w:val="22"/>
        </w:rPr>
      </w:pPr>
      <w:r w:rsidRPr="00325383">
        <w:rPr>
          <w:b/>
          <w:i/>
          <w:sz w:val="22"/>
          <w:u w:val="single"/>
        </w:rPr>
        <w:lastRenderedPageBreak/>
        <w:t>Proposal</w:t>
      </w:r>
      <w:r w:rsidRPr="00325383">
        <w:rPr>
          <w:rFonts w:hint="eastAsia"/>
          <w:b/>
          <w:i/>
          <w:sz w:val="22"/>
          <w:u w:val="single"/>
        </w:rPr>
        <w:t xml:space="preserve"> </w:t>
      </w:r>
      <w:r w:rsidR="005C4D9D">
        <w:rPr>
          <w:rFonts w:hint="eastAsia"/>
          <w:b/>
          <w:i/>
          <w:sz w:val="22"/>
          <w:u w:val="single"/>
        </w:rPr>
        <w:t>2</w:t>
      </w:r>
      <w:r w:rsidRPr="00325383">
        <w:rPr>
          <w:i/>
          <w:sz w:val="22"/>
        </w:rPr>
        <w:t xml:space="preserve">: </w:t>
      </w:r>
      <w:r w:rsidR="0038300F">
        <w:rPr>
          <w:i/>
          <w:sz w:val="22"/>
        </w:rPr>
        <w:t xml:space="preserve">Cyclic delay value </w:t>
      </w:r>
      <w:r w:rsidR="00DA78EE">
        <w:rPr>
          <w:i/>
          <w:sz w:val="22"/>
        </w:rPr>
        <w:t>used in</w:t>
      </w:r>
      <w:r w:rsidR="0038300F">
        <w:rPr>
          <w:i/>
          <w:sz w:val="22"/>
        </w:rPr>
        <w:t xml:space="preserve"> smal</w:t>
      </w:r>
      <w:r w:rsidR="009050B9">
        <w:rPr>
          <w:i/>
          <w:sz w:val="22"/>
        </w:rPr>
        <w:t>l delay CDD of PSS</w:t>
      </w:r>
      <w:r w:rsidR="0038300F">
        <w:rPr>
          <w:i/>
          <w:sz w:val="22"/>
        </w:rPr>
        <w:t>C</w:t>
      </w:r>
      <w:r w:rsidR="003F2910">
        <w:rPr>
          <w:i/>
          <w:sz w:val="22"/>
        </w:rPr>
        <w:t>H is up to UE’s implementation and no specification is needed.</w:t>
      </w:r>
    </w:p>
    <w:p w14:paraId="25B88AF4" w14:textId="77777777" w:rsidR="00A54FCB" w:rsidRDefault="00A54FCB" w:rsidP="00A54FCB">
      <w:pPr>
        <w:pStyle w:val="Heading1"/>
        <w:tabs>
          <w:tab w:val="num" w:pos="0"/>
        </w:tabs>
        <w:ind w:left="799" w:hanging="799"/>
      </w:pPr>
      <w:r>
        <w:rPr>
          <w:rFonts w:hint="eastAsia"/>
        </w:rPr>
        <w:t>Conclusions</w:t>
      </w:r>
    </w:p>
    <w:p w14:paraId="56EF469E" w14:textId="6C1189C9" w:rsidR="00C91FBC" w:rsidRDefault="00C91FBC" w:rsidP="00C91FBC">
      <w:pPr>
        <w:pStyle w:val="Style1"/>
      </w:pPr>
      <w:r w:rsidRPr="00C91FBC">
        <w:t xml:space="preserve">In this contribution, we </w:t>
      </w:r>
      <w:r w:rsidR="00FA189E">
        <w:t xml:space="preserve">consider the </w:t>
      </w:r>
      <w:r w:rsidR="00195CB0">
        <w:t xml:space="preserve">transmit diversity schemes for </w:t>
      </w:r>
      <w:r w:rsidR="005D0C3F">
        <w:t>PSSCH channel</w:t>
      </w:r>
      <w:r w:rsidR="00195CB0">
        <w:t xml:space="preserve"> and the </w:t>
      </w:r>
      <w:r w:rsidR="00E36863">
        <w:t>related control signalling. The following proposals are made</w:t>
      </w:r>
      <w:r w:rsidRPr="00C91FBC">
        <w:t>:</w:t>
      </w:r>
    </w:p>
    <w:p w14:paraId="2EACFB19" w14:textId="1342BCE1" w:rsidR="00900035" w:rsidRDefault="009E512C" w:rsidP="00FE35E9">
      <w:pPr>
        <w:pStyle w:val="Style1"/>
        <w:ind w:firstLine="0"/>
        <w:rPr>
          <w:i/>
        </w:rPr>
      </w:pPr>
      <w:r w:rsidRPr="00325383">
        <w:rPr>
          <w:b/>
          <w:i/>
          <w:u w:val="single"/>
        </w:rPr>
        <w:t>Proposal</w:t>
      </w:r>
      <w:r w:rsidRPr="00325383">
        <w:rPr>
          <w:rFonts w:hint="eastAsia"/>
          <w:b/>
          <w:i/>
          <w:u w:val="single"/>
        </w:rPr>
        <w:t xml:space="preserve"> 1</w:t>
      </w:r>
      <w:r w:rsidRPr="00325383">
        <w:rPr>
          <w:i/>
        </w:rPr>
        <w:t xml:space="preserve">: </w:t>
      </w:r>
      <w:r>
        <w:rPr>
          <w:i/>
        </w:rPr>
        <w:t xml:space="preserve">For PSSCH, transparent transmit diversity scheme </w:t>
      </w:r>
      <w:r w:rsidR="00DA78EE">
        <w:rPr>
          <w:i/>
        </w:rPr>
        <w:t>shall</w:t>
      </w:r>
      <w:r>
        <w:rPr>
          <w:i/>
        </w:rPr>
        <w:t xml:space="preserve"> be used and one example scheme is small delay CDD</w:t>
      </w:r>
      <w:r w:rsidR="003F2910">
        <w:rPr>
          <w:i/>
        </w:rPr>
        <w:t>.</w:t>
      </w:r>
    </w:p>
    <w:p w14:paraId="14DDD7D6" w14:textId="40262ABF" w:rsidR="009E512C" w:rsidRDefault="009E512C" w:rsidP="009E512C">
      <w:pPr>
        <w:pStyle w:val="maintext"/>
        <w:ind w:firstLineChars="0" w:firstLine="0"/>
        <w:rPr>
          <w:i/>
          <w:sz w:val="22"/>
        </w:rPr>
      </w:pPr>
      <w:r w:rsidRPr="00325383">
        <w:rPr>
          <w:b/>
          <w:i/>
          <w:sz w:val="22"/>
          <w:u w:val="single"/>
        </w:rPr>
        <w:t>Proposal</w:t>
      </w:r>
      <w:r w:rsidRPr="00325383">
        <w:rPr>
          <w:rFonts w:hint="eastAsia"/>
          <w:b/>
          <w:i/>
          <w:sz w:val="22"/>
          <w:u w:val="single"/>
        </w:rPr>
        <w:t xml:space="preserve"> </w:t>
      </w:r>
      <w:r>
        <w:rPr>
          <w:rFonts w:hint="eastAsia"/>
          <w:b/>
          <w:i/>
          <w:sz w:val="22"/>
          <w:u w:val="single"/>
        </w:rPr>
        <w:t>2</w:t>
      </w:r>
      <w:r w:rsidRPr="00325383">
        <w:rPr>
          <w:i/>
          <w:sz w:val="22"/>
        </w:rPr>
        <w:t xml:space="preserve">: </w:t>
      </w:r>
      <w:r>
        <w:rPr>
          <w:i/>
          <w:sz w:val="22"/>
        </w:rPr>
        <w:t xml:space="preserve">Cyclic delay value </w:t>
      </w:r>
      <w:r w:rsidR="00DA78EE">
        <w:rPr>
          <w:i/>
          <w:sz w:val="22"/>
        </w:rPr>
        <w:t>used in</w:t>
      </w:r>
      <w:r>
        <w:rPr>
          <w:i/>
          <w:sz w:val="22"/>
        </w:rPr>
        <w:t xml:space="preserve"> small delay CDD of PSS</w:t>
      </w:r>
      <w:r w:rsidR="003F2910">
        <w:rPr>
          <w:i/>
          <w:sz w:val="22"/>
        </w:rPr>
        <w:t>CH is up to UE’s implementation and no specification is needed.</w:t>
      </w:r>
      <w:r>
        <w:rPr>
          <w:i/>
          <w:sz w:val="22"/>
        </w:rPr>
        <w:t xml:space="preserv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29F32A87" w14:textId="35BB2452" w:rsidR="00526108" w:rsidRDefault="00526108"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Chairman’s Notes, RAN1 #90.</w:t>
      </w:r>
    </w:p>
    <w:p w14:paraId="292D4763" w14:textId="787E0631" w:rsidR="000B083B" w:rsidRDefault="000B083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color w:val="000000"/>
          <w:kern w:val="24"/>
          <w:sz w:val="20"/>
          <w:szCs w:val="20"/>
          <w:lang w:val="en-US" w:eastAsia="zh-CN"/>
        </w:rPr>
        <w:t>Chairman’s Notes, RAN1 #90bis</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44C39" w14:textId="77777777" w:rsidR="007F008C" w:rsidRDefault="007F008C">
      <w:r>
        <w:separator/>
      </w:r>
    </w:p>
  </w:endnote>
  <w:endnote w:type="continuationSeparator" w:id="0">
    <w:p w14:paraId="27B8D09D" w14:textId="77777777" w:rsidR="007F008C" w:rsidRDefault="007F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E2820" w14:textId="77777777" w:rsidR="007F008C" w:rsidRDefault="007F008C">
      <w:r>
        <w:separator/>
      </w:r>
    </w:p>
  </w:footnote>
  <w:footnote w:type="continuationSeparator" w:id="0">
    <w:p w14:paraId="74AA0E64" w14:textId="77777777" w:rsidR="007F008C" w:rsidRDefault="007F0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BC10F4A"/>
    <w:multiLevelType w:val="hybridMultilevel"/>
    <w:tmpl w:val="870422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D2E2E"/>
    <w:multiLevelType w:val="hybridMultilevel"/>
    <w:tmpl w:val="CAEE8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6"/>
  </w:num>
  <w:num w:numId="4">
    <w:abstractNumId w:val="36"/>
  </w:num>
  <w:num w:numId="5">
    <w:abstractNumId w:val="4"/>
  </w:num>
  <w:num w:numId="6">
    <w:abstractNumId w:val="28"/>
  </w:num>
  <w:num w:numId="7">
    <w:abstractNumId w:val="22"/>
  </w:num>
  <w:num w:numId="8">
    <w:abstractNumId w:val="33"/>
  </w:num>
  <w:num w:numId="9">
    <w:abstractNumId w:val="32"/>
  </w:num>
  <w:num w:numId="10">
    <w:abstractNumId w:val="13"/>
  </w:num>
  <w:num w:numId="11">
    <w:abstractNumId w:val="19"/>
  </w:num>
  <w:num w:numId="12">
    <w:abstractNumId w:val="29"/>
  </w:num>
  <w:num w:numId="13">
    <w:abstractNumId w:val="12"/>
  </w:num>
  <w:num w:numId="14">
    <w:abstractNumId w:val="1"/>
  </w:num>
  <w:num w:numId="15">
    <w:abstractNumId w:val="27"/>
  </w:num>
  <w:num w:numId="16">
    <w:abstractNumId w:val="24"/>
  </w:num>
  <w:num w:numId="17">
    <w:abstractNumId w:val="11"/>
  </w:num>
  <w:num w:numId="18">
    <w:abstractNumId w:val="35"/>
  </w:num>
  <w:num w:numId="19">
    <w:abstractNumId w:val="5"/>
  </w:num>
  <w:num w:numId="20">
    <w:abstractNumId w:val="21"/>
  </w:num>
  <w:num w:numId="21">
    <w:abstractNumId w:val="9"/>
  </w:num>
  <w:num w:numId="22">
    <w:abstractNumId w:val="7"/>
  </w:num>
  <w:num w:numId="23">
    <w:abstractNumId w:val="0"/>
  </w:num>
  <w:num w:numId="24">
    <w:abstractNumId w:val="15"/>
  </w:num>
  <w:num w:numId="25">
    <w:abstractNumId w:val="37"/>
  </w:num>
  <w:num w:numId="26">
    <w:abstractNumId w:val="14"/>
  </w:num>
  <w:num w:numId="27">
    <w:abstractNumId w:val="2"/>
  </w:num>
  <w:num w:numId="28">
    <w:abstractNumId w:val="16"/>
  </w:num>
  <w:num w:numId="29">
    <w:abstractNumId w:val="20"/>
  </w:num>
  <w:num w:numId="30">
    <w:abstractNumId w:val="31"/>
  </w:num>
  <w:num w:numId="31">
    <w:abstractNumId w:val="34"/>
  </w:num>
  <w:num w:numId="32">
    <w:abstractNumId w:val="30"/>
  </w:num>
  <w:num w:numId="33">
    <w:abstractNumId w:val="25"/>
  </w:num>
  <w:num w:numId="34">
    <w:abstractNumId w:val="3"/>
  </w:num>
  <w:num w:numId="35">
    <w:abstractNumId w:val="10"/>
  </w:num>
  <w:num w:numId="36">
    <w:abstractNumId w:val="23"/>
  </w:num>
  <w:num w:numId="37">
    <w:abstractNumId w:val="18"/>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39E"/>
    <w:rsid w:val="00076FF5"/>
    <w:rsid w:val="00077222"/>
    <w:rsid w:val="000775AB"/>
    <w:rsid w:val="00077B96"/>
    <w:rsid w:val="00082C19"/>
    <w:rsid w:val="00083457"/>
    <w:rsid w:val="00083DE3"/>
    <w:rsid w:val="00085335"/>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83B"/>
    <w:rsid w:val="000B0B99"/>
    <w:rsid w:val="000B25B1"/>
    <w:rsid w:val="000B2B68"/>
    <w:rsid w:val="000B4FD7"/>
    <w:rsid w:val="000B7E59"/>
    <w:rsid w:val="000C074E"/>
    <w:rsid w:val="000C14C1"/>
    <w:rsid w:val="000C272D"/>
    <w:rsid w:val="000C2DAC"/>
    <w:rsid w:val="000C3A4B"/>
    <w:rsid w:val="000C3C17"/>
    <w:rsid w:val="000C40E8"/>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099"/>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2F5"/>
    <w:rsid w:val="0016793B"/>
    <w:rsid w:val="00167D7B"/>
    <w:rsid w:val="00167F3F"/>
    <w:rsid w:val="0017033E"/>
    <w:rsid w:val="00170CD5"/>
    <w:rsid w:val="0017106C"/>
    <w:rsid w:val="00171E74"/>
    <w:rsid w:val="00172663"/>
    <w:rsid w:val="00174E38"/>
    <w:rsid w:val="00175240"/>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5CB0"/>
    <w:rsid w:val="00196998"/>
    <w:rsid w:val="00196F06"/>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2B3C"/>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14E5"/>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5C6E"/>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206"/>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060"/>
    <w:rsid w:val="002D1A4F"/>
    <w:rsid w:val="002D225B"/>
    <w:rsid w:val="002D233C"/>
    <w:rsid w:val="002D2EF7"/>
    <w:rsid w:val="002D488B"/>
    <w:rsid w:val="002D53AF"/>
    <w:rsid w:val="002D5B2B"/>
    <w:rsid w:val="002D6FEE"/>
    <w:rsid w:val="002E119A"/>
    <w:rsid w:val="002E11B9"/>
    <w:rsid w:val="002E2CB4"/>
    <w:rsid w:val="002E315D"/>
    <w:rsid w:val="002E333E"/>
    <w:rsid w:val="002E3CF3"/>
    <w:rsid w:val="002E4938"/>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2FD"/>
    <w:rsid w:val="00323455"/>
    <w:rsid w:val="003237AF"/>
    <w:rsid w:val="00324A53"/>
    <w:rsid w:val="00324DCD"/>
    <w:rsid w:val="003250F2"/>
    <w:rsid w:val="00325383"/>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4C7"/>
    <w:rsid w:val="0034194A"/>
    <w:rsid w:val="0034437D"/>
    <w:rsid w:val="0034557C"/>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00F"/>
    <w:rsid w:val="0038352B"/>
    <w:rsid w:val="00383DB4"/>
    <w:rsid w:val="00384CF5"/>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6B"/>
    <w:rsid w:val="003A26A9"/>
    <w:rsid w:val="003A4806"/>
    <w:rsid w:val="003A5945"/>
    <w:rsid w:val="003A62F7"/>
    <w:rsid w:val="003A633C"/>
    <w:rsid w:val="003A69C3"/>
    <w:rsid w:val="003A730C"/>
    <w:rsid w:val="003B0AC6"/>
    <w:rsid w:val="003B33FB"/>
    <w:rsid w:val="003B3878"/>
    <w:rsid w:val="003B3E1F"/>
    <w:rsid w:val="003B5A10"/>
    <w:rsid w:val="003B784F"/>
    <w:rsid w:val="003B7FCB"/>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2910"/>
    <w:rsid w:val="003F3471"/>
    <w:rsid w:val="003F48AA"/>
    <w:rsid w:val="003F4981"/>
    <w:rsid w:val="003F4D6D"/>
    <w:rsid w:val="003F4E14"/>
    <w:rsid w:val="003F5201"/>
    <w:rsid w:val="003F540A"/>
    <w:rsid w:val="003F680E"/>
    <w:rsid w:val="003F6B28"/>
    <w:rsid w:val="003F7398"/>
    <w:rsid w:val="00401F93"/>
    <w:rsid w:val="0040329D"/>
    <w:rsid w:val="00404B4A"/>
    <w:rsid w:val="0040633D"/>
    <w:rsid w:val="00407AAC"/>
    <w:rsid w:val="004107E6"/>
    <w:rsid w:val="004134B7"/>
    <w:rsid w:val="00420853"/>
    <w:rsid w:val="00421C23"/>
    <w:rsid w:val="00421E04"/>
    <w:rsid w:val="004239D8"/>
    <w:rsid w:val="004240D5"/>
    <w:rsid w:val="00424277"/>
    <w:rsid w:val="00424A72"/>
    <w:rsid w:val="00424A97"/>
    <w:rsid w:val="00424D6E"/>
    <w:rsid w:val="004254DF"/>
    <w:rsid w:val="004254EE"/>
    <w:rsid w:val="00427387"/>
    <w:rsid w:val="004300DC"/>
    <w:rsid w:val="004303C1"/>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3A66"/>
    <w:rsid w:val="00465A26"/>
    <w:rsid w:val="0046666D"/>
    <w:rsid w:val="00467A29"/>
    <w:rsid w:val="00470D36"/>
    <w:rsid w:val="0047128F"/>
    <w:rsid w:val="00471923"/>
    <w:rsid w:val="00473944"/>
    <w:rsid w:val="00474060"/>
    <w:rsid w:val="00474BDC"/>
    <w:rsid w:val="00474D44"/>
    <w:rsid w:val="00474F44"/>
    <w:rsid w:val="0047692C"/>
    <w:rsid w:val="00477672"/>
    <w:rsid w:val="004800A8"/>
    <w:rsid w:val="0048015F"/>
    <w:rsid w:val="00480709"/>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044E"/>
    <w:rsid w:val="0052348B"/>
    <w:rsid w:val="005239F4"/>
    <w:rsid w:val="00526108"/>
    <w:rsid w:val="00526A64"/>
    <w:rsid w:val="00526A65"/>
    <w:rsid w:val="00526BC4"/>
    <w:rsid w:val="00526FD1"/>
    <w:rsid w:val="00527339"/>
    <w:rsid w:val="00527FA8"/>
    <w:rsid w:val="005301A2"/>
    <w:rsid w:val="0053211B"/>
    <w:rsid w:val="00533D37"/>
    <w:rsid w:val="00534DF6"/>
    <w:rsid w:val="00535E8C"/>
    <w:rsid w:val="00535EE7"/>
    <w:rsid w:val="00536EC3"/>
    <w:rsid w:val="00537389"/>
    <w:rsid w:val="00537F42"/>
    <w:rsid w:val="00540BAC"/>
    <w:rsid w:val="00541207"/>
    <w:rsid w:val="00542708"/>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45A"/>
    <w:rsid w:val="005B5832"/>
    <w:rsid w:val="005B5915"/>
    <w:rsid w:val="005B5C71"/>
    <w:rsid w:val="005B7E9A"/>
    <w:rsid w:val="005C105E"/>
    <w:rsid w:val="005C1174"/>
    <w:rsid w:val="005C1FE0"/>
    <w:rsid w:val="005C2E5B"/>
    <w:rsid w:val="005C3014"/>
    <w:rsid w:val="005C38FB"/>
    <w:rsid w:val="005C4D9D"/>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0C8"/>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3EF5"/>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A67"/>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3FE4"/>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08C"/>
    <w:rsid w:val="007F0D2B"/>
    <w:rsid w:val="007F3748"/>
    <w:rsid w:val="007F400E"/>
    <w:rsid w:val="007F4F1D"/>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143"/>
    <w:rsid w:val="00815694"/>
    <w:rsid w:val="00815D7A"/>
    <w:rsid w:val="0081600E"/>
    <w:rsid w:val="00816258"/>
    <w:rsid w:val="008166DC"/>
    <w:rsid w:val="00817914"/>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195"/>
    <w:rsid w:val="00870CAB"/>
    <w:rsid w:val="00872047"/>
    <w:rsid w:val="0087249F"/>
    <w:rsid w:val="008731F1"/>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BB3"/>
    <w:rsid w:val="008F3F16"/>
    <w:rsid w:val="008F55A4"/>
    <w:rsid w:val="008F6B64"/>
    <w:rsid w:val="00900035"/>
    <w:rsid w:val="0090039D"/>
    <w:rsid w:val="00900726"/>
    <w:rsid w:val="00900885"/>
    <w:rsid w:val="00901A1C"/>
    <w:rsid w:val="00902F8A"/>
    <w:rsid w:val="009038A9"/>
    <w:rsid w:val="00903A2F"/>
    <w:rsid w:val="00904908"/>
    <w:rsid w:val="009050B9"/>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0577"/>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6D5"/>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3EE7"/>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BB0"/>
    <w:rsid w:val="009C7F5A"/>
    <w:rsid w:val="009D0202"/>
    <w:rsid w:val="009D0769"/>
    <w:rsid w:val="009D0E74"/>
    <w:rsid w:val="009D0F6C"/>
    <w:rsid w:val="009D1438"/>
    <w:rsid w:val="009D15E4"/>
    <w:rsid w:val="009D17C2"/>
    <w:rsid w:val="009D26AB"/>
    <w:rsid w:val="009D45C5"/>
    <w:rsid w:val="009E2872"/>
    <w:rsid w:val="009E4A14"/>
    <w:rsid w:val="009E4A21"/>
    <w:rsid w:val="009E512C"/>
    <w:rsid w:val="009F0D5B"/>
    <w:rsid w:val="009F0F9B"/>
    <w:rsid w:val="009F1A2B"/>
    <w:rsid w:val="009F307D"/>
    <w:rsid w:val="009F30FA"/>
    <w:rsid w:val="009F34AE"/>
    <w:rsid w:val="009F451D"/>
    <w:rsid w:val="009F5B4F"/>
    <w:rsid w:val="00A0136C"/>
    <w:rsid w:val="00A01AA9"/>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899"/>
    <w:rsid w:val="00A425A3"/>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4C7F"/>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1ECE"/>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2B54"/>
    <w:rsid w:val="00C5377B"/>
    <w:rsid w:val="00C53A87"/>
    <w:rsid w:val="00C543CC"/>
    <w:rsid w:val="00C54940"/>
    <w:rsid w:val="00C5519F"/>
    <w:rsid w:val="00C551A9"/>
    <w:rsid w:val="00C56034"/>
    <w:rsid w:val="00C57126"/>
    <w:rsid w:val="00C57482"/>
    <w:rsid w:val="00C57D8A"/>
    <w:rsid w:val="00C6063C"/>
    <w:rsid w:val="00C60A25"/>
    <w:rsid w:val="00C61217"/>
    <w:rsid w:val="00C62546"/>
    <w:rsid w:val="00C62BAD"/>
    <w:rsid w:val="00C63980"/>
    <w:rsid w:val="00C63E32"/>
    <w:rsid w:val="00C643E9"/>
    <w:rsid w:val="00C6489F"/>
    <w:rsid w:val="00C64FF0"/>
    <w:rsid w:val="00C6683F"/>
    <w:rsid w:val="00C66A37"/>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0584"/>
    <w:rsid w:val="00CC093D"/>
    <w:rsid w:val="00CC109A"/>
    <w:rsid w:val="00CC27A1"/>
    <w:rsid w:val="00CC29CE"/>
    <w:rsid w:val="00CC2EC6"/>
    <w:rsid w:val="00CC36A5"/>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1CC9"/>
    <w:rsid w:val="00D2719E"/>
    <w:rsid w:val="00D27B3D"/>
    <w:rsid w:val="00D3051E"/>
    <w:rsid w:val="00D32097"/>
    <w:rsid w:val="00D33009"/>
    <w:rsid w:val="00D33ACD"/>
    <w:rsid w:val="00D348E4"/>
    <w:rsid w:val="00D34C4C"/>
    <w:rsid w:val="00D35392"/>
    <w:rsid w:val="00D40DAB"/>
    <w:rsid w:val="00D4171F"/>
    <w:rsid w:val="00D41C47"/>
    <w:rsid w:val="00D43205"/>
    <w:rsid w:val="00D442EB"/>
    <w:rsid w:val="00D45FF2"/>
    <w:rsid w:val="00D51146"/>
    <w:rsid w:val="00D5147E"/>
    <w:rsid w:val="00D51890"/>
    <w:rsid w:val="00D51B09"/>
    <w:rsid w:val="00D52477"/>
    <w:rsid w:val="00D52ED3"/>
    <w:rsid w:val="00D53155"/>
    <w:rsid w:val="00D53BD8"/>
    <w:rsid w:val="00D54DB1"/>
    <w:rsid w:val="00D5568B"/>
    <w:rsid w:val="00D55C99"/>
    <w:rsid w:val="00D56243"/>
    <w:rsid w:val="00D56839"/>
    <w:rsid w:val="00D56A09"/>
    <w:rsid w:val="00D57F60"/>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A78EE"/>
    <w:rsid w:val="00DB11AA"/>
    <w:rsid w:val="00DB14D9"/>
    <w:rsid w:val="00DB20BE"/>
    <w:rsid w:val="00DB3288"/>
    <w:rsid w:val="00DB3B5E"/>
    <w:rsid w:val="00DB3D27"/>
    <w:rsid w:val="00DB5770"/>
    <w:rsid w:val="00DC1896"/>
    <w:rsid w:val="00DC19D1"/>
    <w:rsid w:val="00DC1D4C"/>
    <w:rsid w:val="00DC309C"/>
    <w:rsid w:val="00DC3F52"/>
    <w:rsid w:val="00DC45F4"/>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8BB"/>
    <w:rsid w:val="00E11BD7"/>
    <w:rsid w:val="00E11D4C"/>
    <w:rsid w:val="00E13802"/>
    <w:rsid w:val="00E14E0C"/>
    <w:rsid w:val="00E14E59"/>
    <w:rsid w:val="00E152CF"/>
    <w:rsid w:val="00E158C4"/>
    <w:rsid w:val="00E15AA3"/>
    <w:rsid w:val="00E1657F"/>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36863"/>
    <w:rsid w:val="00E40768"/>
    <w:rsid w:val="00E41835"/>
    <w:rsid w:val="00E42776"/>
    <w:rsid w:val="00E4454D"/>
    <w:rsid w:val="00E44835"/>
    <w:rsid w:val="00E455C2"/>
    <w:rsid w:val="00E45723"/>
    <w:rsid w:val="00E45DD4"/>
    <w:rsid w:val="00E46774"/>
    <w:rsid w:val="00E469D9"/>
    <w:rsid w:val="00E479B9"/>
    <w:rsid w:val="00E50821"/>
    <w:rsid w:val="00E50AEC"/>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88C"/>
    <w:rsid w:val="00E64EAD"/>
    <w:rsid w:val="00E65EE0"/>
    <w:rsid w:val="00E66160"/>
    <w:rsid w:val="00E66A34"/>
    <w:rsid w:val="00E67F31"/>
    <w:rsid w:val="00E70C3E"/>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45D6"/>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37A9"/>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9D0"/>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ABE"/>
    <w:rsid w:val="00F50767"/>
    <w:rsid w:val="00F50EF1"/>
    <w:rsid w:val="00F51F25"/>
    <w:rsid w:val="00F534C0"/>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DC0"/>
    <w:rsid w:val="00F85EDA"/>
    <w:rsid w:val="00F866FB"/>
    <w:rsid w:val="00F901D6"/>
    <w:rsid w:val="00F902CB"/>
    <w:rsid w:val="00F90D2E"/>
    <w:rsid w:val="00F91292"/>
    <w:rsid w:val="00F92B60"/>
    <w:rsid w:val="00F92DBC"/>
    <w:rsid w:val="00F9397F"/>
    <w:rsid w:val="00F93DAF"/>
    <w:rsid w:val="00F94036"/>
    <w:rsid w:val="00F94410"/>
    <w:rsid w:val="00F94C74"/>
    <w:rsid w:val="00F95ADC"/>
    <w:rsid w:val="00F97AB2"/>
    <w:rsid w:val="00FA1886"/>
    <w:rsid w:val="00FA189E"/>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784"/>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35E9"/>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A0ECAD79-FD28-4C45-AF57-43C358E6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E6488C"/>
    <w:pPr>
      <w:spacing w:before="0" w:after="100" w:afterAutospacing="1" w:line="264" w:lineRule="auto"/>
      <w:ind w:firstLineChars="0" w:firstLine="360"/>
    </w:pPr>
    <w:rPr>
      <w:sz w:val="22"/>
      <w:lang w:eastAsia="en-US"/>
    </w:rPr>
  </w:style>
  <w:style w:type="character" w:customStyle="1" w:styleId="Style1Char">
    <w:name w:val="Style1 Char"/>
    <w:basedOn w:val="maintextChar"/>
    <w:link w:val="Style1"/>
    <w:rsid w:val="00E6488C"/>
    <w:rPr>
      <w:rFonts w:eastAsia="Malgun Gothic" w:cs="Batang"/>
      <w:sz w:val="22"/>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A9F89-2630-4F24-88CC-2710CF0D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30</cp:revision>
  <cp:lastPrinted>2012-03-15T10:36:00Z</cp:lastPrinted>
  <dcterms:created xsi:type="dcterms:W3CDTF">2017-11-15T20:38:00Z</dcterms:created>
  <dcterms:modified xsi:type="dcterms:W3CDTF">2018-04-04T21:02:00Z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C:\Users\samsung\AppData\Local\Microsoft\Windows\INetCache\Content.Outlook\QSL8OW98\R1-17xxx control signaling.docx</vt:lpwstr>
  </property>
</Properties>
</file>