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8E7" w:rsidRDefault="006D64EF">
      <w:pPr>
        <w:pStyle w:val="CRCoverPage"/>
        <w:tabs>
          <w:tab w:val="right" w:pos="9639"/>
        </w:tabs>
        <w:spacing w:after="0"/>
        <w:jc w:val="both"/>
      </w:pPr>
      <w:r>
        <w:rPr>
          <w:rFonts w:cs="Arial"/>
          <w:b/>
          <w:position w:val="6"/>
          <w:szCs w:val="24"/>
          <w:lang w:val="de-DE"/>
        </w:rPr>
        <w:t>3GPP TSG RAN WG1 Meeting #</w:t>
      </w:r>
      <w:r>
        <w:rPr>
          <w:rFonts w:cs="Arial"/>
          <w:b/>
          <w:szCs w:val="24"/>
          <w:lang w:val="de-DE"/>
        </w:rPr>
        <w:t>92bis</w:t>
      </w:r>
      <w:r>
        <w:rPr>
          <w:rFonts w:cs="Arial"/>
          <w:b/>
          <w:szCs w:val="24"/>
          <w:lang w:val="de-DE"/>
        </w:rPr>
        <w:tab/>
      </w:r>
      <w:r w:rsidR="007A24FB">
        <w:rPr>
          <w:rFonts w:eastAsia="SimSun" w:cs="Arial"/>
          <w:b/>
          <w:szCs w:val="24"/>
          <w:lang w:val="de-DE" w:eastAsia="zh-CN"/>
        </w:rPr>
        <w:t xml:space="preserve">     R1-1804171</w:t>
      </w:r>
    </w:p>
    <w:p w:rsidR="002908E7" w:rsidRDefault="006D64EF">
      <w:pPr>
        <w:pStyle w:val="Header"/>
        <w:jc w:val="both"/>
      </w:pPr>
      <w:r>
        <w:rPr>
          <w:rFonts w:eastAsia="SimSun" w:cs="Arial"/>
          <w:sz w:val="24"/>
          <w:lang w:val="de-DE" w:eastAsia="zh-CN"/>
        </w:rPr>
        <w:t>Sanya, China, 16</w:t>
      </w:r>
      <w:r>
        <w:rPr>
          <w:rFonts w:eastAsia="SimSun" w:cs="Arial"/>
          <w:sz w:val="24"/>
          <w:vertAlign w:val="superscript"/>
          <w:lang w:val="de-DE" w:eastAsia="zh-CN"/>
        </w:rPr>
        <w:t>th</w:t>
      </w:r>
      <w:r>
        <w:rPr>
          <w:rFonts w:eastAsia="SimSun" w:cs="Arial"/>
          <w:sz w:val="24"/>
          <w:lang w:val="de-DE" w:eastAsia="zh-CN"/>
        </w:rPr>
        <w:t xml:space="preserve"> – 20</w:t>
      </w:r>
      <w:bookmarkStart w:id="0" w:name="OLE_LINK1"/>
      <w:bookmarkEnd w:id="0"/>
      <w:r>
        <w:rPr>
          <w:rFonts w:eastAsia="SimSun" w:cs="Arial"/>
          <w:sz w:val="24"/>
          <w:vertAlign w:val="superscript"/>
          <w:lang w:val="de-DE" w:eastAsia="zh-CN"/>
        </w:rPr>
        <w:t>th</w:t>
      </w:r>
      <w:r>
        <w:rPr>
          <w:rFonts w:eastAsia="SimSun" w:cs="Arial"/>
          <w:sz w:val="24"/>
          <w:lang w:val="de-DE" w:eastAsia="zh-CN"/>
        </w:rPr>
        <w:t xml:space="preserve"> April 2018</w:t>
      </w:r>
    </w:p>
    <w:p w:rsidR="002908E7" w:rsidRDefault="002908E7">
      <w:pPr>
        <w:pBdr>
          <w:bottom w:val="single" w:sz="12" w:space="1" w:color="00000A"/>
        </w:pBdr>
        <w:tabs>
          <w:tab w:val="left" w:pos="1985"/>
        </w:tabs>
        <w:jc w:val="both"/>
        <w:rPr>
          <w:rFonts w:ascii="Arial" w:hAnsi="Arial"/>
          <w:b/>
          <w:lang w:val="de-DE" w:eastAsia="ja-JP"/>
        </w:rPr>
      </w:pPr>
    </w:p>
    <w:p w:rsidR="002908E7" w:rsidRDefault="006D64EF">
      <w:pPr>
        <w:pBdr>
          <w:bottom w:val="single" w:sz="12" w:space="1" w:color="00000A"/>
        </w:pBdr>
        <w:tabs>
          <w:tab w:val="left" w:pos="1985"/>
        </w:tabs>
        <w:spacing w:before="62" w:after="62"/>
        <w:jc w:val="both"/>
      </w:pPr>
      <w:r>
        <w:rPr>
          <w:rFonts w:ascii="Arial" w:hAnsi="Arial" w:cs="Arial"/>
          <w:b/>
        </w:rPr>
        <w:t>Agenda Item:</w:t>
      </w:r>
      <w:bookmarkStart w:id="1" w:name="Source"/>
      <w:bookmarkEnd w:id="1"/>
      <w:r>
        <w:rPr>
          <w:rFonts w:ascii="Arial" w:hAnsi="Arial" w:cs="Arial"/>
          <w:b/>
        </w:rPr>
        <w:tab/>
        <w:t>7.4.4</w:t>
      </w:r>
    </w:p>
    <w:p w:rsidR="002908E7" w:rsidRDefault="006D64EF">
      <w:pPr>
        <w:pBdr>
          <w:bottom w:val="single" w:sz="12" w:space="1" w:color="00000A"/>
        </w:pBdr>
        <w:tabs>
          <w:tab w:val="left" w:pos="1985"/>
        </w:tabs>
        <w:spacing w:before="62" w:after="62"/>
        <w:jc w:val="both"/>
      </w:pPr>
      <w:r>
        <w:rPr>
          <w:rFonts w:ascii="Arial" w:hAnsi="Arial" w:cs="Arial"/>
          <w:b/>
        </w:rPr>
        <w:t xml:space="preserve">Source: </w:t>
      </w:r>
      <w:r>
        <w:rPr>
          <w:rFonts w:ascii="Arial" w:hAnsi="Arial" w:cs="Arial"/>
          <w:b/>
        </w:rPr>
        <w:tab/>
      </w:r>
      <w:r>
        <w:rPr>
          <w:rFonts w:ascii="Arial" w:hAnsi="Arial" w:cs="Arial"/>
          <w:b/>
          <w:lang w:eastAsia="ja-JP"/>
        </w:rPr>
        <w:t>Hughes</w:t>
      </w:r>
    </w:p>
    <w:p w:rsidR="002908E7" w:rsidRDefault="006D64EF">
      <w:pPr>
        <w:pBdr>
          <w:bottom w:val="single" w:sz="12" w:space="1" w:color="00000A"/>
        </w:pBdr>
        <w:tabs>
          <w:tab w:val="left" w:pos="1985"/>
        </w:tabs>
        <w:spacing w:before="62" w:after="62"/>
        <w:ind w:left="1983" w:hanging="1983"/>
        <w:jc w:val="both"/>
      </w:pPr>
      <w:r>
        <w:rPr>
          <w:rFonts w:ascii="Arial" w:hAnsi="Arial" w:cs="Arial"/>
          <w:b/>
        </w:rPr>
        <w:t xml:space="preserve">Title:                  </w:t>
      </w:r>
      <w:r>
        <w:rPr>
          <w:rFonts w:ascii="Arial" w:hAnsi="Arial" w:cs="Arial"/>
          <w:b/>
        </w:rPr>
        <w:tab/>
        <w:t>ACMA-OFDM for Uplink NOMA</w:t>
      </w:r>
    </w:p>
    <w:p w:rsidR="002908E7" w:rsidRDefault="006D64EF">
      <w:pPr>
        <w:pBdr>
          <w:bottom w:val="single" w:sz="12" w:space="1" w:color="00000A"/>
        </w:pBdr>
        <w:tabs>
          <w:tab w:val="left" w:pos="1985"/>
        </w:tabs>
        <w:spacing w:before="62" w:after="62"/>
        <w:jc w:val="both"/>
      </w:pPr>
      <w:r>
        <w:rPr>
          <w:rFonts w:ascii="Arial" w:hAnsi="Arial" w:cs="Arial"/>
          <w:b/>
        </w:rPr>
        <w:t>Document for:</w:t>
      </w:r>
      <w:r>
        <w:rPr>
          <w:rFonts w:ascii="Arial" w:hAnsi="Arial" w:cs="Arial"/>
          <w:b/>
        </w:rPr>
        <w:tab/>
      </w:r>
      <w:r>
        <w:rPr>
          <w:rFonts w:ascii="Arial" w:eastAsia="SimSun" w:hAnsi="Arial" w:cs="Arial"/>
          <w:b/>
          <w:lang w:eastAsia="zh-CN"/>
        </w:rPr>
        <w:t xml:space="preserve">Discussion </w:t>
      </w:r>
    </w:p>
    <w:p w:rsidR="002908E7" w:rsidRDefault="006D64EF">
      <w:pPr>
        <w:pStyle w:val="Heading1"/>
        <w:numPr>
          <w:ilvl w:val="0"/>
          <w:numId w:val="2"/>
        </w:numPr>
      </w:pPr>
      <w:r>
        <w:rPr>
          <w:b/>
          <w:sz w:val="24"/>
          <w:lang w:eastAsia="ko-KR"/>
        </w:rPr>
        <w:t>Introduction</w:t>
      </w:r>
    </w:p>
    <w:p w:rsidR="002908E7" w:rsidRDefault="006D64EF">
      <w:pPr>
        <w:pStyle w:val="BodyText"/>
        <w:spacing w:after="156"/>
        <w:jc w:val="both"/>
      </w:pPr>
      <w:r>
        <w:rPr>
          <w:rFonts w:eastAsia="SimSun"/>
          <w:lang w:eastAsia="zh-CN"/>
        </w:rPr>
        <w:t xml:space="preserve">In RAN1 #86, it was agreed that NR should target to support UL NOMA access for at least </w:t>
      </w:r>
      <w:proofErr w:type="spellStart"/>
      <w:r>
        <w:rPr>
          <w:rFonts w:eastAsia="SimSun"/>
          <w:lang w:eastAsia="zh-CN"/>
        </w:rPr>
        <w:t>mMTC</w:t>
      </w:r>
      <w:proofErr w:type="spellEnd"/>
      <w:r>
        <w:rPr>
          <w:rFonts w:eastAsia="SimSun"/>
          <w:lang w:eastAsia="zh-CN"/>
        </w:rPr>
        <w:t xml:space="preserve"> [1]. Our earlier contribution at </w:t>
      </w:r>
      <w:r>
        <w:rPr>
          <w:rFonts w:eastAsia="SimSun"/>
          <w:color w:val="212121"/>
          <w:shd w:val="clear" w:color="auto" w:fill="FFFFFF"/>
          <w:lang w:eastAsia="zh-CN"/>
        </w:rPr>
        <w:t>RAN1#88bis</w:t>
      </w:r>
      <w:r>
        <w:rPr>
          <w:rFonts w:eastAsia="SimSun"/>
          <w:lang w:eastAsia="zh-CN"/>
        </w:rPr>
        <w:t xml:space="preserve"> [2] described A-SCMA.</w:t>
      </w:r>
      <w:r>
        <w:rPr>
          <w:rStyle w:val="FootnoteAnchor"/>
          <w:rFonts w:eastAsia="SimSun"/>
          <w:lang w:eastAsia="zh-CN"/>
        </w:rPr>
        <w:footnoteReference w:id="1"/>
      </w:r>
      <w:r>
        <w:rPr>
          <w:rFonts w:eastAsia="SimSun"/>
          <w:lang w:eastAsia="zh-CN"/>
        </w:rPr>
        <w:t xml:space="preserve">  Here, we elaborate on application of this waveform to terrestrial multipath channels using CP-OFDM waveform.</w:t>
      </w:r>
    </w:p>
    <w:p w:rsidR="002908E7" w:rsidRDefault="006D64EF">
      <w:pPr>
        <w:pStyle w:val="Heading1"/>
        <w:numPr>
          <w:ilvl w:val="0"/>
          <w:numId w:val="2"/>
        </w:numPr>
        <w:spacing w:before="156" w:after="156"/>
        <w:ind w:left="432" w:hanging="432"/>
        <w:jc w:val="both"/>
      </w:pPr>
      <w:r>
        <w:rPr>
          <w:rFonts w:eastAsia="SimSun"/>
          <w:b/>
          <w:sz w:val="24"/>
          <w:lang w:eastAsia="zh-CN"/>
        </w:rPr>
        <w:t>Design Description</w:t>
      </w:r>
    </w:p>
    <w:p w:rsidR="002908E7" w:rsidRDefault="006D64EF">
      <w:pPr>
        <w:pStyle w:val="BodyText"/>
      </w:pPr>
      <w:r>
        <w:t xml:space="preserve">Figure 1 shows a block diagram of the </w:t>
      </w:r>
      <w:r w:rsidR="00080F69">
        <w:t>Asynchronous Coded Multiple Access (</w:t>
      </w:r>
      <w:r>
        <w:t>ACMA</w:t>
      </w:r>
      <w:r w:rsidR="00080F69">
        <w:t>)</w:t>
      </w:r>
      <w:bookmarkStart w:id="2" w:name="_GoBack"/>
      <w:bookmarkEnd w:id="2"/>
      <w:r>
        <w:t xml:space="preserve"> transmitter and receiver.  Although not further discussed here, an optional DFT pre-coding block can be added at the transmitter for reduced PAPR.</w:t>
      </w:r>
    </w:p>
    <w:p w:rsidR="002908E7" w:rsidRDefault="006D64EF">
      <w:pPr>
        <w:pStyle w:val="BodyText"/>
      </w:pPr>
      <w:r>
        <w:t>When ACMA is applied in a</w:t>
      </w:r>
      <w:r w:rsidR="007A24FB">
        <w:t>n</w:t>
      </w:r>
      <w:r>
        <w:t xml:space="preserve"> OFDM context, the signals can be symbol-synchronous, but </w:t>
      </w:r>
      <w:r>
        <w:rPr>
          <w:i/>
        </w:rPr>
        <w:t>not</w:t>
      </w:r>
      <w:r>
        <w:t xml:space="preserve"> </w:t>
      </w:r>
      <w:proofErr w:type="spellStart"/>
      <w:r>
        <w:t>codeblock</w:t>
      </w:r>
      <w:proofErr w:type="spellEnd"/>
      <w:r>
        <w:t xml:space="preserve"> synchronous. Symbol synchronization is necessary for OFDM operation.  However, in ACMA the </w:t>
      </w:r>
      <w:proofErr w:type="spellStart"/>
      <w:r>
        <w:t>codeblocks</w:t>
      </w:r>
      <w:proofErr w:type="spellEnd"/>
      <w:r>
        <w:t xml:space="preserve"> are not aligned with </w:t>
      </w:r>
      <w:proofErr w:type="spellStart"/>
      <w:r>
        <w:t>subframe</w:t>
      </w:r>
      <w:proofErr w:type="spellEnd"/>
      <w:r>
        <w:t xml:space="preserve"> timing boundaries; </w:t>
      </w:r>
      <w:proofErr w:type="spellStart"/>
      <w:r>
        <w:t>codeblocks</w:t>
      </w:r>
      <w:proofErr w:type="spellEnd"/>
      <w:r>
        <w:t xml:space="preserve"> may begin at any symbol and so they are asynchronous to the </w:t>
      </w:r>
      <w:proofErr w:type="spellStart"/>
      <w:r>
        <w:t>subframes</w:t>
      </w:r>
      <w:proofErr w:type="spellEnd"/>
      <w:r>
        <w:t xml:space="preserve">.  This is in contrast to existing OFDM designs, for example LTE cellular standard.  In that case </w:t>
      </w:r>
      <w:proofErr w:type="spellStart"/>
      <w:r>
        <w:t>codeblocks</w:t>
      </w:r>
      <w:proofErr w:type="spellEnd"/>
      <w:r>
        <w:t xml:space="preserve"> are aligned to </w:t>
      </w:r>
      <w:proofErr w:type="spellStart"/>
      <w:r>
        <w:t>subframe</w:t>
      </w:r>
      <w:proofErr w:type="spellEnd"/>
      <w:r>
        <w:t xml:space="preserve"> time boundaries.  In ACMA-OFDM </w:t>
      </w:r>
      <w:proofErr w:type="spellStart"/>
      <w:r>
        <w:t>codeblocks</w:t>
      </w:r>
      <w:proofErr w:type="spellEnd"/>
      <w:r>
        <w:t xml:space="preserve"> start on any OFDM symbol.</w:t>
      </w:r>
    </w:p>
    <w:p w:rsidR="002908E7" w:rsidRDefault="006D64EF">
      <w:pPr>
        <w:pStyle w:val="BodyText"/>
      </w:pPr>
      <w:r>
        <w:t>An alternative design in which symbols between simultaneous users are not constrained to be synchronous is also possible but is not discussed further here.  Based on our previous experience, it would be expected to produce similar results.</w:t>
      </w:r>
    </w:p>
    <w:p w:rsidR="002908E7" w:rsidRDefault="006D64EF">
      <w:pPr>
        <w:pStyle w:val="BodyText"/>
        <w:rPr>
          <w:rFonts w:ascii="Arial" w:hAnsi="Arial"/>
          <w:sz w:val="22"/>
        </w:rPr>
      </w:pPr>
      <w:r>
        <w:t xml:space="preserve">Besides the enhancement of spectral density provided by asynchronous operation, a further important benefit is provided.  In order to perform the SIC, it is first necessary to detect the individual RA burst arrivals and be able to distinguish them. Typically some type of preamble code is added to the burst for this purpose.  To prevent collision between bursts from different users it is necessary to have a large enough pool of preamble codes to select from. Typically in synchronous designs this pool is limited, and this sets the upper limit on the number of simultaneous users supported, independent of any limits set by FEC/SIC design. (FEC design may include low-rate coding and/or spreading). Since the bursts are free to arrive at any symbol boundary in asynchronous operation, rather than being </w:t>
      </w:r>
      <w:proofErr w:type="gramStart"/>
      <w:r>
        <w:t>constrained</w:t>
      </w:r>
      <w:proofErr w:type="gramEnd"/>
      <w:r>
        <w:rPr>
          <w:rFonts w:ascii="Arial" w:hAnsi="Arial"/>
          <w:sz w:val="22"/>
        </w:rPr>
        <w:t xml:space="preserve"> </w:t>
      </w:r>
      <w:r>
        <w:t>to start on frames, the pool of preamble codes that can be distinguished is drastically expanded.  This allows reliable operation at much higher values of simultaneous users, achieving the promise of the FEC/SIC design.</w:t>
      </w:r>
    </w:p>
    <w:p w:rsidR="002908E7" w:rsidRDefault="006D64EF">
      <w:pPr>
        <w:pStyle w:val="BodyText"/>
      </w:pPr>
      <w:r>
        <w:rPr>
          <w:noProof/>
        </w:rPr>
        <w:lastRenderedPageBreak/>
        <w:drawing>
          <wp:inline distT="0" distB="0" distL="0" distR="1905">
            <wp:extent cx="6627495" cy="12192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8"/>
                    <a:stretch>
                      <a:fillRect/>
                    </a:stretch>
                  </pic:blipFill>
                  <pic:spPr bwMode="auto">
                    <a:xfrm>
                      <a:off x="0" y="0"/>
                      <a:ext cx="6627495" cy="1219200"/>
                    </a:xfrm>
                    <a:prstGeom prst="rect">
                      <a:avLst/>
                    </a:prstGeom>
                  </pic:spPr>
                </pic:pic>
              </a:graphicData>
            </a:graphic>
          </wp:inline>
        </w:drawing>
      </w:r>
    </w:p>
    <w:p w:rsidR="002908E7" w:rsidRDefault="006D64EF">
      <w:pPr>
        <w:spacing w:before="156" w:after="156"/>
        <w:ind w:left="432" w:hanging="432"/>
        <w:jc w:val="center"/>
        <w:rPr>
          <w:sz w:val="20"/>
          <w:szCs w:val="20"/>
        </w:rPr>
      </w:pPr>
      <w:r>
        <w:rPr>
          <w:rFonts w:eastAsia="SimSun"/>
          <w:sz w:val="20"/>
          <w:szCs w:val="20"/>
          <w:lang w:eastAsia="zh-CN"/>
        </w:rPr>
        <w:t>Figure 1. ACMA-OFDM Block Diagram</w:t>
      </w:r>
    </w:p>
    <w:p w:rsidR="002908E7" w:rsidRDefault="002908E7">
      <w:pPr>
        <w:pStyle w:val="BodyText"/>
      </w:pPr>
    </w:p>
    <w:p w:rsidR="002908E7" w:rsidRDefault="002908E7">
      <w:pPr>
        <w:spacing w:before="156" w:after="156"/>
        <w:ind w:left="432" w:hanging="432"/>
        <w:jc w:val="both"/>
        <w:rPr>
          <w:rFonts w:eastAsia="SimSun"/>
          <w:b/>
          <w:lang w:eastAsia="zh-CN"/>
        </w:rPr>
      </w:pPr>
    </w:p>
    <w:p w:rsidR="002908E7" w:rsidRDefault="002908E7">
      <w:pPr>
        <w:spacing w:before="156" w:after="156"/>
        <w:ind w:left="432" w:hanging="432"/>
        <w:rPr>
          <w:sz w:val="20"/>
          <w:szCs w:val="20"/>
        </w:rPr>
      </w:pPr>
    </w:p>
    <w:p w:rsidR="002908E7" w:rsidRDefault="006D64EF">
      <w:pPr>
        <w:pStyle w:val="Heading1"/>
        <w:numPr>
          <w:ilvl w:val="0"/>
          <w:numId w:val="2"/>
        </w:numPr>
        <w:spacing w:before="156" w:after="156"/>
        <w:ind w:left="432" w:hanging="432"/>
        <w:jc w:val="both"/>
      </w:pPr>
      <w:r>
        <w:rPr>
          <w:rFonts w:eastAsia="SimSun"/>
          <w:b/>
          <w:sz w:val="24"/>
          <w:lang w:eastAsia="zh-CN"/>
        </w:rPr>
        <w:t>Example Results</w:t>
      </w:r>
    </w:p>
    <w:p w:rsidR="002908E7" w:rsidRDefault="006D64EF">
      <w:pPr>
        <w:spacing w:after="158"/>
        <w:rPr>
          <w:sz w:val="20"/>
          <w:szCs w:val="20"/>
        </w:rPr>
      </w:pPr>
      <w:r>
        <w:rPr>
          <w:rFonts w:eastAsia="SimSun"/>
          <w:sz w:val="20"/>
          <w:szCs w:val="20"/>
          <w:lang w:eastAsia="zh-CN"/>
        </w:rPr>
        <w:t>Here are presented some example results of ACMA-OFDM. Test conditions are summarized in Table 1.</w:t>
      </w:r>
    </w:p>
    <w:p w:rsidR="002908E7" w:rsidRDefault="006D64EF">
      <w:pPr>
        <w:spacing w:after="158"/>
        <w:rPr>
          <w:sz w:val="20"/>
          <w:szCs w:val="20"/>
        </w:rPr>
      </w:pPr>
      <w:r>
        <w:rPr>
          <w:rFonts w:eastAsia="SimSun"/>
          <w:sz w:val="20"/>
          <w:szCs w:val="20"/>
          <w:lang w:eastAsia="zh-CN"/>
        </w:rPr>
        <w:t xml:space="preserve">Test results are presented first as BLER vs. arrival rate, which is a useful performance metric for Random Access (RA) channels.  BLER performance vs. </w:t>
      </w:r>
      <w:proofErr w:type="spellStart"/>
      <w:r>
        <w:rPr>
          <w:rFonts w:eastAsia="SimSun"/>
          <w:sz w:val="20"/>
          <w:szCs w:val="20"/>
          <w:lang w:eastAsia="zh-CN"/>
        </w:rPr>
        <w:t>Es</w:t>
      </w:r>
      <w:proofErr w:type="spellEnd"/>
      <w:r>
        <w:rPr>
          <w:rFonts w:eastAsia="SimSun"/>
          <w:sz w:val="20"/>
          <w:szCs w:val="20"/>
          <w:lang w:eastAsia="zh-CN"/>
        </w:rPr>
        <w:t>/No is also provided.  Note that these 2 sets of charts are the same data merely plotted on different x-axis.</w:t>
      </w:r>
    </w:p>
    <w:p w:rsidR="002908E7" w:rsidRDefault="006D64EF">
      <w:pPr>
        <w:spacing w:after="158"/>
        <w:rPr>
          <w:sz w:val="20"/>
          <w:szCs w:val="20"/>
        </w:rPr>
      </w:pPr>
      <w:r>
        <w:rPr>
          <w:rFonts w:eastAsia="SimSun"/>
          <w:sz w:val="20"/>
          <w:szCs w:val="20"/>
          <w:lang w:eastAsia="zh-CN"/>
        </w:rPr>
        <w:t>Performance is characterized both with constant arrival rate, and with a more realistic Poisson random arrival process.</w:t>
      </w:r>
    </w:p>
    <w:p w:rsidR="002908E7" w:rsidRDefault="002908E7">
      <w:pPr>
        <w:rPr>
          <w:rFonts w:eastAsia="SimSun"/>
          <w:lang w:eastAsia="zh-CN"/>
        </w:rPr>
      </w:pPr>
    </w:p>
    <w:p w:rsidR="002908E7" w:rsidRDefault="006D64EF">
      <w:pPr>
        <w:jc w:val="center"/>
        <w:rPr>
          <w:sz w:val="20"/>
          <w:szCs w:val="20"/>
        </w:rPr>
      </w:pPr>
      <w:r>
        <w:rPr>
          <w:sz w:val="20"/>
          <w:szCs w:val="20"/>
          <w:lang w:eastAsia="zh-CN"/>
        </w:rPr>
        <w:t>Table 1. Test Conditions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4A0" w:firstRow="1" w:lastRow="0" w:firstColumn="1" w:lastColumn="0" w:noHBand="0" w:noVBand="1"/>
      </w:tblPr>
      <w:tblGrid>
        <w:gridCol w:w="4820"/>
        <w:gridCol w:w="4818"/>
      </w:tblGrid>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rPr>
            </w:pPr>
            <w:r>
              <w:rPr>
                <w:sz w:val="20"/>
              </w:rPr>
              <w:t>Channel</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rPr>
            </w:pPr>
            <w:r>
              <w:rPr>
                <w:sz w:val="20"/>
              </w:rPr>
              <w:t>TDLA</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rPr>
            </w:pPr>
            <w:r>
              <w:rPr>
                <w:sz w:val="20"/>
              </w:rPr>
              <w:t>RMS Delay Spread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rPr>
            </w:pPr>
            <w:r>
              <w:rPr>
                <w:sz w:val="20"/>
              </w:rPr>
              <w:t>30ns</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rPr>
            </w:pPr>
            <w:proofErr w:type="spellStart"/>
            <w:r>
              <w:rPr>
                <w:sz w:val="20"/>
              </w:rPr>
              <w:t>Freq</w:t>
            </w:r>
            <w:proofErr w:type="spellEnd"/>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rPr>
            </w:pPr>
            <w:r>
              <w:rPr>
                <w:sz w:val="20"/>
              </w:rPr>
              <w:t>2GHz</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rPr>
            </w:pPr>
            <w:r>
              <w:rPr>
                <w:sz w:val="20"/>
              </w:rPr>
              <w:t>Speed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rPr>
            </w:pPr>
            <w:r>
              <w:rPr>
                <w:sz w:val="20"/>
              </w:rPr>
              <w:t>3km/</w:t>
            </w:r>
            <w:proofErr w:type="spellStart"/>
            <w:r>
              <w:rPr>
                <w:sz w:val="20"/>
              </w:rPr>
              <w:t>hr</w:t>
            </w:r>
            <w:proofErr w:type="spellEnd"/>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rPr>
            </w:pPr>
            <w:r>
              <w:rPr>
                <w:sz w:val="20"/>
              </w:rPr>
              <w:t>Code Rate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rPr>
            </w:pPr>
            <w:r>
              <w:rPr>
                <w:sz w:val="20"/>
              </w:rPr>
              <w:t>1/8</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pPr>
            <w:r>
              <w:rPr>
                <w:sz w:val="20"/>
              </w:rPr>
              <w:t>Information Block Size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rPr>
            </w:pPr>
            <w:r>
              <w:rPr>
                <w:sz w:val="20"/>
              </w:rPr>
              <w:t>160 bit</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szCs w:val="20"/>
              </w:rPr>
            </w:pPr>
            <w:r>
              <w:rPr>
                <w:sz w:val="20"/>
                <w:szCs w:val="20"/>
              </w:rPr>
              <w:t>Modulation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szCs w:val="20"/>
              </w:rPr>
            </w:pPr>
            <w:r>
              <w:rPr>
                <w:sz w:val="20"/>
                <w:szCs w:val="20"/>
              </w:rPr>
              <w:t>QPSK</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rPr>
            </w:pPr>
            <w:r>
              <w:rPr>
                <w:sz w:val="20"/>
              </w:rPr>
              <w:t>Antenna</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rPr>
            </w:pPr>
            <w:r>
              <w:rPr>
                <w:sz w:val="20"/>
              </w:rPr>
              <w:t xml:space="preserve">1 </w:t>
            </w:r>
            <w:proofErr w:type="spellStart"/>
            <w:r>
              <w:rPr>
                <w:sz w:val="20"/>
              </w:rPr>
              <w:t>Tx</w:t>
            </w:r>
            <w:proofErr w:type="spellEnd"/>
            <w:r>
              <w:rPr>
                <w:sz w:val="20"/>
              </w:rPr>
              <w:t>, 2 Rx</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szCs w:val="20"/>
              </w:rPr>
            </w:pPr>
            <w:r>
              <w:rPr>
                <w:sz w:val="20"/>
                <w:szCs w:val="20"/>
              </w:rPr>
              <w:t>Channel State Estimation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szCs w:val="20"/>
              </w:rPr>
            </w:pPr>
            <w:r>
              <w:rPr>
                <w:sz w:val="20"/>
                <w:szCs w:val="20"/>
              </w:rPr>
              <w:t>Perfect</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szCs w:val="20"/>
              </w:rPr>
            </w:pPr>
            <w:r>
              <w:rPr>
                <w:sz w:val="20"/>
                <w:szCs w:val="20"/>
              </w:rPr>
              <w:t>Synchronization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szCs w:val="20"/>
              </w:rPr>
            </w:pPr>
            <w:r>
              <w:rPr>
                <w:sz w:val="20"/>
                <w:szCs w:val="20"/>
              </w:rPr>
              <w:t>Perfect</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rPr>
            </w:pPr>
            <w:r>
              <w:rPr>
                <w:sz w:val="20"/>
              </w:rPr>
              <w:t>Subcarrier Spacing</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rPr>
            </w:pPr>
            <w:r>
              <w:rPr>
                <w:sz w:val="20"/>
              </w:rPr>
              <w:t>15kHz</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szCs w:val="20"/>
              </w:rPr>
            </w:pPr>
            <w:proofErr w:type="spellStart"/>
            <w:r>
              <w:rPr>
                <w:sz w:val="20"/>
                <w:szCs w:val="20"/>
              </w:rPr>
              <w:t>Δ</w:t>
            </w:r>
            <w:r>
              <w:rPr>
                <w:sz w:val="20"/>
                <w:szCs w:val="20"/>
                <w:vertAlign w:val="subscript"/>
              </w:rPr>
              <w:t>f</w:t>
            </w:r>
            <w:proofErr w:type="spellEnd"/>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szCs w:val="20"/>
              </w:rPr>
            </w:pPr>
            <w:r>
              <w:rPr>
                <w:sz w:val="20"/>
                <w:szCs w:val="20"/>
              </w:rPr>
              <w:t xml:space="preserve">1 (subcarrier spacing rel. to </w:t>
            </w:r>
            <w:proofErr w:type="spellStart"/>
            <w:r>
              <w:rPr>
                <w:sz w:val="20"/>
                <w:szCs w:val="20"/>
              </w:rPr>
              <w:t>sym</w:t>
            </w:r>
            <w:proofErr w:type="spellEnd"/>
            <w:r>
              <w:rPr>
                <w:sz w:val="20"/>
                <w:szCs w:val="20"/>
              </w:rPr>
              <w:t xml:space="preserve"> rate </w:t>
            </w:r>
            <w:proofErr w:type="spellStart"/>
            <w:r>
              <w:rPr>
                <w:i/>
                <w:iCs/>
                <w:sz w:val="20"/>
                <w:szCs w:val="20"/>
              </w:rPr>
              <w:t>R</w:t>
            </w:r>
            <w:r>
              <w:rPr>
                <w:sz w:val="20"/>
                <w:szCs w:val="20"/>
                <w:vertAlign w:val="subscript"/>
              </w:rPr>
              <w:t>s</w:t>
            </w:r>
            <w:proofErr w:type="spellEnd"/>
            <w:r>
              <w:rPr>
                <w:sz w:val="20"/>
                <w:szCs w:val="20"/>
              </w:rPr>
              <w:t>)</w:t>
            </w:r>
          </w:p>
        </w:tc>
      </w:tr>
      <w:tr w:rsidR="002908E7">
        <w:tc>
          <w:tcPr>
            <w:tcW w:w="4819" w:type="dxa"/>
            <w:tcBorders>
              <w:top w:val="single" w:sz="2" w:space="0" w:color="000001"/>
              <w:left w:val="single" w:sz="2" w:space="0" w:color="000001"/>
              <w:bottom w:val="single" w:sz="2" w:space="0" w:color="000001"/>
            </w:tcBorders>
            <w:shd w:val="clear" w:color="auto" w:fill="auto"/>
            <w:tcMar>
              <w:left w:w="45" w:type="dxa"/>
            </w:tcMar>
          </w:tcPr>
          <w:p w:rsidR="002908E7" w:rsidRDefault="006D64EF">
            <w:pPr>
              <w:pStyle w:val="TableContents"/>
              <w:rPr>
                <w:sz w:val="20"/>
              </w:rPr>
            </w:pPr>
            <w:r>
              <w:rPr>
                <w:sz w:val="20"/>
              </w:rPr>
              <w:t>Total Subcarriers Used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908E7" w:rsidRDefault="006D64EF">
            <w:pPr>
              <w:pStyle w:val="TableContents"/>
              <w:rPr>
                <w:sz w:val="20"/>
              </w:rPr>
            </w:pPr>
            <w:r>
              <w:rPr>
                <w:sz w:val="20"/>
              </w:rPr>
              <w:t>72</w:t>
            </w:r>
          </w:p>
        </w:tc>
      </w:tr>
    </w:tbl>
    <w:p w:rsidR="002908E7" w:rsidRDefault="002908E7">
      <w:pPr>
        <w:rPr>
          <w:sz w:val="20"/>
          <w:szCs w:val="20"/>
          <w:lang w:eastAsia="zh-CN"/>
        </w:rPr>
      </w:pPr>
    </w:p>
    <w:p w:rsidR="002908E7" w:rsidRDefault="006D64EF">
      <w:pPr>
        <w:pStyle w:val="BodyText"/>
        <w:jc w:val="center"/>
        <w:rPr>
          <w:sz w:val="24"/>
          <w:szCs w:val="24"/>
        </w:rPr>
      </w:pPr>
      <w:r>
        <w:br w:type="page"/>
      </w:r>
    </w:p>
    <w:p w:rsidR="002908E7" w:rsidRDefault="002908E7">
      <w:pPr>
        <w:pStyle w:val="Heading2"/>
        <w:numPr>
          <w:ilvl w:val="0"/>
          <w:numId w:val="0"/>
        </w:numPr>
        <w:ind w:left="567"/>
      </w:pPr>
    </w:p>
    <w:p w:rsidR="002908E7" w:rsidRDefault="006D64EF">
      <w:pPr>
        <w:pStyle w:val="BodyText"/>
        <w:jc w:val="center"/>
        <w:rPr>
          <w:sz w:val="24"/>
          <w:szCs w:val="24"/>
        </w:rPr>
      </w:pPr>
      <w:r>
        <w:rPr>
          <w:noProof/>
        </w:rPr>
        <w:drawing>
          <wp:inline distT="0" distB="0" distL="0" distR="0">
            <wp:extent cx="5867400" cy="439102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9"/>
                    <a:stretch>
                      <a:fillRect/>
                    </a:stretch>
                  </pic:blipFill>
                  <pic:spPr bwMode="auto">
                    <a:xfrm>
                      <a:off x="0" y="0"/>
                      <a:ext cx="5867400" cy="4391025"/>
                    </a:xfrm>
                    <a:prstGeom prst="rect">
                      <a:avLst/>
                    </a:prstGeom>
                  </pic:spPr>
                </pic:pic>
              </a:graphicData>
            </a:graphic>
          </wp:inline>
        </w:drawing>
      </w:r>
    </w:p>
    <w:p w:rsidR="002908E7" w:rsidRDefault="006D64EF">
      <w:pPr>
        <w:pStyle w:val="BodyText"/>
        <w:jc w:val="center"/>
        <w:rPr>
          <w:sz w:val="24"/>
          <w:szCs w:val="24"/>
        </w:rPr>
      </w:pPr>
      <w:r>
        <w:rPr>
          <w:sz w:val="24"/>
          <w:szCs w:val="24"/>
        </w:rPr>
        <w:t>Figure 2. ACMA-OFDM BLER vs. arrival rate, constant arrivals</w:t>
      </w:r>
    </w:p>
    <w:p w:rsidR="002908E7" w:rsidRDefault="006D64EF">
      <w:pPr>
        <w:pStyle w:val="BodyText"/>
        <w:jc w:val="center"/>
        <w:rPr>
          <w:sz w:val="24"/>
          <w:szCs w:val="24"/>
        </w:rPr>
      </w:pPr>
      <w:r>
        <w:rPr>
          <w:noProof/>
        </w:rPr>
        <w:lastRenderedPageBreak/>
        <w:drawing>
          <wp:anchor distT="0" distB="0" distL="0" distR="0" simplePos="0" relativeHeight="4"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3"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8"/>
                    <pic:cNvPicPr>
                      <a:picLocks noChangeAspect="1" noChangeArrowheads="1"/>
                    </pic:cNvPicPr>
                  </pic:nvPicPr>
                  <pic:blipFill>
                    <a:blip r:embed="rId10"/>
                    <a:stretch>
                      <a:fillRect/>
                    </a:stretch>
                  </pic:blipFill>
                  <pic:spPr bwMode="auto">
                    <a:xfrm>
                      <a:off x="0" y="0"/>
                      <a:ext cx="5868035" cy="4392295"/>
                    </a:xfrm>
                    <a:prstGeom prst="rect">
                      <a:avLst/>
                    </a:prstGeom>
                  </pic:spPr>
                </pic:pic>
              </a:graphicData>
            </a:graphic>
          </wp:anchor>
        </w:drawing>
      </w:r>
      <w:r>
        <w:rPr>
          <w:sz w:val="24"/>
          <w:szCs w:val="24"/>
        </w:rPr>
        <w:t>Figure 3. ACMA-OFDM BLER vs. arrival rate, Poisson arrivals</w:t>
      </w:r>
      <w:r>
        <w:br w:type="page"/>
      </w:r>
    </w:p>
    <w:p w:rsidR="002908E7" w:rsidRDefault="006D64EF">
      <w:pPr>
        <w:pStyle w:val="BodyText"/>
        <w:jc w:val="center"/>
        <w:rPr>
          <w:sz w:val="24"/>
          <w:szCs w:val="24"/>
        </w:rPr>
      </w:pPr>
      <w:r>
        <w:rPr>
          <w:noProof/>
        </w:rPr>
        <w:lastRenderedPageBreak/>
        <w:drawing>
          <wp:anchor distT="0" distB="0" distL="0" distR="0" simplePos="0" relativeHeight="2"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4"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6"/>
                    <pic:cNvPicPr>
                      <a:picLocks noChangeAspect="1" noChangeArrowheads="1"/>
                    </pic:cNvPicPr>
                  </pic:nvPicPr>
                  <pic:blipFill>
                    <a:blip r:embed="rId11"/>
                    <a:stretch>
                      <a:fillRect/>
                    </a:stretch>
                  </pic:blipFill>
                  <pic:spPr bwMode="auto">
                    <a:xfrm>
                      <a:off x="0" y="0"/>
                      <a:ext cx="5868035" cy="4392295"/>
                    </a:xfrm>
                    <a:prstGeom prst="rect">
                      <a:avLst/>
                    </a:prstGeom>
                  </pic:spPr>
                </pic:pic>
              </a:graphicData>
            </a:graphic>
          </wp:anchor>
        </w:drawing>
      </w:r>
      <w:r>
        <w:rPr>
          <w:sz w:val="24"/>
          <w:szCs w:val="24"/>
        </w:rPr>
        <w:t xml:space="preserve">Figure 4. ACMA-OFDM BLER vs. </w:t>
      </w:r>
      <w:proofErr w:type="spellStart"/>
      <w:r>
        <w:rPr>
          <w:sz w:val="24"/>
          <w:szCs w:val="24"/>
        </w:rPr>
        <w:t>Es</w:t>
      </w:r>
      <w:proofErr w:type="spellEnd"/>
      <w:r>
        <w:rPr>
          <w:sz w:val="24"/>
          <w:szCs w:val="24"/>
        </w:rPr>
        <w:t>/No, constant arrivals</w:t>
      </w:r>
    </w:p>
    <w:p w:rsidR="002908E7" w:rsidRDefault="006D64EF">
      <w:pPr>
        <w:pStyle w:val="BodyText"/>
        <w:jc w:val="center"/>
      </w:pPr>
      <w:r>
        <w:rPr>
          <w:noProof/>
        </w:rPr>
        <w:drawing>
          <wp:anchor distT="0" distB="0" distL="0" distR="0" simplePos="0" relativeHeight="3"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5"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7"/>
                    <pic:cNvPicPr>
                      <a:picLocks noChangeAspect="1" noChangeArrowheads="1"/>
                    </pic:cNvPicPr>
                  </pic:nvPicPr>
                  <pic:blipFill>
                    <a:blip r:embed="rId12"/>
                    <a:stretch>
                      <a:fillRect/>
                    </a:stretch>
                  </pic:blipFill>
                  <pic:spPr bwMode="auto">
                    <a:xfrm>
                      <a:off x="0" y="0"/>
                      <a:ext cx="5868035" cy="4392295"/>
                    </a:xfrm>
                    <a:prstGeom prst="rect">
                      <a:avLst/>
                    </a:prstGeom>
                  </pic:spPr>
                </pic:pic>
              </a:graphicData>
            </a:graphic>
          </wp:anchor>
        </w:drawing>
      </w:r>
      <w:r>
        <w:rPr>
          <w:rFonts w:eastAsia="SimSun"/>
          <w:sz w:val="24"/>
          <w:szCs w:val="24"/>
          <w:lang w:eastAsia="zh-CN"/>
        </w:rPr>
        <w:t xml:space="preserve">Figure 5. ACMA-OFDM BLER vs. </w:t>
      </w:r>
      <w:proofErr w:type="spellStart"/>
      <w:r>
        <w:rPr>
          <w:rFonts w:eastAsia="SimSun"/>
          <w:sz w:val="24"/>
          <w:szCs w:val="24"/>
          <w:lang w:eastAsia="zh-CN"/>
        </w:rPr>
        <w:t>Es</w:t>
      </w:r>
      <w:proofErr w:type="spellEnd"/>
      <w:r>
        <w:rPr>
          <w:rFonts w:eastAsia="SimSun"/>
          <w:sz w:val="24"/>
          <w:szCs w:val="24"/>
          <w:lang w:eastAsia="zh-CN"/>
        </w:rPr>
        <w:t>/No, Poisson arrivals</w:t>
      </w:r>
    </w:p>
    <w:p w:rsidR="002908E7" w:rsidRDefault="002908E7">
      <w:pPr>
        <w:spacing w:before="156" w:after="156"/>
        <w:ind w:left="432" w:hanging="432"/>
        <w:jc w:val="both"/>
      </w:pPr>
    </w:p>
    <w:p w:rsidR="002908E7" w:rsidRDefault="006D64EF">
      <w:pPr>
        <w:pStyle w:val="Heading1"/>
        <w:numPr>
          <w:ilvl w:val="0"/>
          <w:numId w:val="2"/>
        </w:numPr>
        <w:spacing w:before="156" w:after="156"/>
        <w:ind w:left="432" w:hanging="432"/>
        <w:jc w:val="both"/>
        <w:rPr>
          <w:sz w:val="24"/>
        </w:rPr>
      </w:pPr>
      <w:r>
        <w:rPr>
          <w:rFonts w:eastAsia="SimSun"/>
          <w:b/>
          <w:sz w:val="24"/>
          <w:lang w:eastAsia="zh-CN"/>
        </w:rPr>
        <w:t>Conclusions</w:t>
      </w:r>
    </w:p>
    <w:p w:rsidR="002908E7" w:rsidRDefault="006D64EF">
      <w:pPr>
        <w:spacing w:after="158"/>
        <w:jc w:val="both"/>
        <w:rPr>
          <w:sz w:val="20"/>
          <w:szCs w:val="20"/>
        </w:rPr>
      </w:pPr>
      <w:r>
        <w:rPr>
          <w:rFonts w:eastAsia="SimSun"/>
          <w:sz w:val="20"/>
          <w:szCs w:val="20"/>
          <w:lang w:eastAsia="zh-CN"/>
        </w:rPr>
        <w:t xml:space="preserve">The ACMA family of waveforms has been shown to provide high spectral efficiency for Random Access applications and is well suited to </w:t>
      </w:r>
      <w:proofErr w:type="spellStart"/>
      <w:r>
        <w:rPr>
          <w:rFonts w:eastAsia="SimSun"/>
          <w:sz w:val="20"/>
          <w:szCs w:val="20"/>
          <w:lang w:eastAsia="zh-CN"/>
        </w:rPr>
        <w:t>mMTC</w:t>
      </w:r>
      <w:proofErr w:type="spellEnd"/>
      <w:r>
        <w:rPr>
          <w:rFonts w:eastAsia="SimSun"/>
          <w:sz w:val="20"/>
          <w:szCs w:val="20"/>
          <w:lang w:eastAsia="zh-CN"/>
        </w:rPr>
        <w:t xml:space="preserve"> usage.</w:t>
      </w:r>
    </w:p>
    <w:p w:rsidR="002908E7" w:rsidRDefault="006D64EF">
      <w:pPr>
        <w:pStyle w:val="Heading1"/>
        <w:numPr>
          <w:ilvl w:val="0"/>
          <w:numId w:val="2"/>
        </w:numPr>
        <w:spacing w:before="156" w:after="156"/>
        <w:ind w:left="432" w:hanging="432"/>
        <w:jc w:val="both"/>
      </w:pPr>
      <w:r>
        <w:rPr>
          <w:rFonts w:eastAsia="SimSun"/>
          <w:b/>
          <w:sz w:val="24"/>
          <w:lang w:eastAsia="zh-CN"/>
        </w:rPr>
        <w:t>Proposal</w:t>
      </w:r>
    </w:p>
    <w:p w:rsidR="002908E7" w:rsidRDefault="006D64EF">
      <w:pPr>
        <w:pStyle w:val="BodyText"/>
      </w:pPr>
      <w:r>
        <w:t xml:space="preserve">ACMA should be considered for U/L NOMA applications, especially for </w:t>
      </w:r>
      <w:proofErr w:type="spellStart"/>
      <w:r>
        <w:t>mMTC</w:t>
      </w:r>
      <w:proofErr w:type="spellEnd"/>
      <w:r>
        <w:t>.</w:t>
      </w:r>
    </w:p>
    <w:p w:rsidR="002908E7" w:rsidRDefault="006D64EF">
      <w:pPr>
        <w:pStyle w:val="Heading1"/>
        <w:numPr>
          <w:ilvl w:val="0"/>
          <w:numId w:val="0"/>
        </w:numPr>
        <w:spacing w:before="156" w:after="156"/>
        <w:jc w:val="both"/>
      </w:pPr>
      <w:r>
        <w:rPr>
          <w:rFonts w:eastAsia="SimSun"/>
          <w:b/>
          <w:sz w:val="24"/>
          <w:lang w:eastAsia="zh-CN"/>
        </w:rPr>
        <w:t>References</w:t>
      </w:r>
    </w:p>
    <w:p w:rsidR="002908E7" w:rsidRDefault="006D64EF">
      <w:pPr>
        <w:pStyle w:val="BodyText"/>
        <w:numPr>
          <w:ilvl w:val="0"/>
          <w:numId w:val="3"/>
        </w:numPr>
        <w:suppressAutoHyphens/>
        <w:spacing w:after="0"/>
        <w:ind w:right="1"/>
        <w:jc w:val="both"/>
      </w:pPr>
      <w:bookmarkStart w:id="3" w:name="_Ref355718930"/>
      <w:bookmarkStart w:id="4" w:name="_Ref446329069"/>
      <w:r>
        <w:rPr>
          <w:rFonts w:eastAsia="SimSun"/>
          <w:lang w:val="it-IT" w:eastAsia="zh-CN"/>
        </w:rPr>
        <w:t>RAN1 Chairman’s notes, RAN1#86, Gothenburg, Sweden, Aug 22-26, 2016</w:t>
      </w:r>
      <w:bookmarkStart w:id="5" w:name="_Ref322350683"/>
      <w:bookmarkStart w:id="6" w:name="_Ref352838604"/>
      <w:bookmarkEnd w:id="3"/>
      <w:bookmarkEnd w:id="4"/>
      <w:bookmarkEnd w:id="5"/>
      <w:bookmarkEnd w:id="6"/>
      <w:r>
        <w:rPr>
          <w:rFonts w:eastAsia="SimSun"/>
          <w:lang w:val="it-IT" w:eastAsia="zh-CN"/>
        </w:rPr>
        <w:t>.</w:t>
      </w:r>
    </w:p>
    <w:p w:rsidR="002908E7" w:rsidRDefault="006D64EF">
      <w:pPr>
        <w:pStyle w:val="BodyText"/>
        <w:widowControl w:val="0"/>
        <w:suppressAutoHyphens/>
        <w:ind w:right="1"/>
        <w:jc w:val="both"/>
        <w:textAlignment w:val="baseline"/>
      </w:pPr>
      <w:r>
        <w:rPr>
          <w:rFonts w:eastAsia="SimSun"/>
          <w:lang w:eastAsia="zh-CN"/>
        </w:rPr>
        <w:t>[2]   R1-1704818,</w:t>
      </w:r>
      <w:r>
        <w:rPr>
          <w:sz w:val="27"/>
          <w:szCs w:val="27"/>
        </w:rPr>
        <w:t xml:space="preserve"> </w:t>
      </w:r>
      <w:r>
        <w:rPr>
          <w:rFonts w:eastAsia="SimSun"/>
          <w:lang w:eastAsia="zh-CN"/>
        </w:rPr>
        <w:t>“Asynchronous Scrambled Coded Multiple Access (A-SCMA)”, RAN1#88bis</w:t>
      </w:r>
    </w:p>
    <w:sectPr w:rsidR="002908E7">
      <w:footerReference w:type="default" r:id="rId13"/>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4E0" w:rsidRDefault="008744E0">
      <w:r>
        <w:separator/>
      </w:r>
    </w:p>
  </w:endnote>
  <w:endnote w:type="continuationSeparator" w:id="0">
    <w:p w:rsidR="008744E0" w:rsidRDefault="0087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8E7" w:rsidRDefault="006D64EF">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080F69">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4E0" w:rsidRDefault="008744E0"/>
  </w:footnote>
  <w:footnote w:type="continuationSeparator" w:id="0">
    <w:p w:rsidR="008744E0" w:rsidRDefault="008744E0">
      <w:r>
        <w:continuationSeparator/>
      </w:r>
    </w:p>
  </w:footnote>
  <w:footnote w:id="1">
    <w:p w:rsidR="002908E7" w:rsidRDefault="006D64EF">
      <w:pPr>
        <w:pStyle w:val="FootnoteText"/>
      </w:pPr>
      <w:r>
        <w:footnoteRef/>
      </w:r>
      <w:r>
        <w:tab/>
      </w:r>
      <w:r>
        <w:tab/>
        <w:t>We have changed the name from ASCMA to ACMA to prevent confusion with another NOMA design called SCMA.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80EC6"/>
    <w:multiLevelType w:val="multilevel"/>
    <w:tmpl w:val="F192FCB6"/>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 w15:restartNumberingAfterBreak="0">
    <w:nsid w:val="08566D78"/>
    <w:multiLevelType w:val="multilevel"/>
    <w:tmpl w:val="E1BA3E16"/>
    <w:lvl w:ilvl="0">
      <w:start w:val="1"/>
      <w:numFmt w:val="decimal"/>
      <w:pStyle w:val="Heading1"/>
      <w:lvlText w:val="%1."/>
      <w:lvlJc w:val="left"/>
      <w:pPr>
        <w:ind w:left="425" w:firstLine="0"/>
      </w:pPr>
    </w:lvl>
    <w:lvl w:ilvl="1">
      <w:start w:val="1"/>
      <w:numFmt w:val="decimal"/>
      <w:pStyle w:val="Heading2"/>
      <w:lvlText w:val="%1.%2."/>
      <w:lvlJc w:val="left"/>
      <w:pPr>
        <w:ind w:left="567" w:firstLine="0"/>
      </w:pPr>
      <w:rPr>
        <w:sz w:val="24"/>
        <w:szCs w:val="28"/>
      </w:rPr>
    </w:lvl>
    <w:lvl w:ilvl="2">
      <w:start w:val="1"/>
      <w:numFmt w:val="decimal"/>
      <w:pStyle w:val="Heading3"/>
      <w:lvlText w:val="%1.%2.%3."/>
      <w:lvlJc w:val="left"/>
      <w:pPr>
        <w:ind w:left="709" w:firstLine="0"/>
      </w:pPr>
    </w:lvl>
    <w:lvl w:ilvl="3">
      <w:start w:val="1"/>
      <w:numFmt w:val="decimal"/>
      <w:pStyle w:val="Heading4"/>
      <w:lvlText w:val="%1.%2.%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66B4B3B"/>
    <w:multiLevelType w:val="multilevel"/>
    <w:tmpl w:val="A7E2FB94"/>
    <w:lvl w:ilvl="0">
      <w:start w:val="1"/>
      <w:numFmt w:val="decimal"/>
      <w:lvlText w:val="%1."/>
      <w:lvlJc w:val="left"/>
      <w:pPr>
        <w:tabs>
          <w:tab w:val="num" w:pos="425"/>
        </w:tabs>
        <w:ind w:left="425" w:hanging="425"/>
      </w:pPr>
      <w:rPr>
        <w:b/>
        <w:sz w:val="24"/>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8E7"/>
    <w:rsid w:val="00080F69"/>
    <w:rsid w:val="002908E7"/>
    <w:rsid w:val="006D64EF"/>
    <w:rsid w:val="007A24FB"/>
    <w:rsid w:val="008744E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B5A1CC-41B1-4E13-9ED0-C417DE0A1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E"/>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ind w:left="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numPr>
        <w:ilvl w:val="1"/>
        <w:numId w:val="1"/>
      </w:numPr>
      <w:spacing w:line="480" w:lineRule="auto"/>
      <w:ind w:left="0"/>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SimSun"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SimSun"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SimSun"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55">
    <w:name w:val="ListLabel 55"/>
    <w:qFormat/>
    <w:rPr>
      <w:sz w:val="24"/>
      <w:szCs w:val="28"/>
    </w:rPr>
  </w:style>
  <w:style w:type="character" w:customStyle="1" w:styleId="ListLabel56">
    <w:name w:val="ListLabel 56"/>
    <w:qFormat/>
    <w:rPr>
      <w:b/>
      <w:sz w:val="24"/>
      <w:szCs w:val="28"/>
    </w:rPr>
  </w:style>
  <w:style w:type="character" w:customStyle="1" w:styleId="ListLabel57">
    <w:name w:val="ListLabel 57"/>
    <w:qFormat/>
    <w:rPr>
      <w:b/>
      <w:sz w:val="24"/>
      <w:szCs w:val="28"/>
    </w:rPr>
  </w:style>
  <w:style w:type="character" w:customStyle="1" w:styleId="ListLabel58">
    <w:name w:val="ListLabel 58"/>
    <w:qFormat/>
    <w:rPr>
      <w:rFonts w:eastAsia="Times New Roman"/>
      <w:sz w:val="20"/>
      <w:lang w:val="it-IT"/>
    </w:rPr>
  </w:style>
  <w:style w:type="character" w:customStyle="1" w:styleId="ListLabel59">
    <w:name w:val="ListLabel 59"/>
    <w:qFormat/>
    <w:rPr>
      <w:sz w:val="24"/>
      <w:szCs w:val="28"/>
    </w:rPr>
  </w:style>
  <w:style w:type="character" w:customStyle="1" w:styleId="ListLabel60">
    <w:name w:val="ListLabel 60"/>
    <w:qFormat/>
    <w:rPr>
      <w:sz w:val="24"/>
      <w:szCs w:val="28"/>
    </w:rPr>
  </w:style>
  <w:style w:type="character" w:customStyle="1" w:styleId="ListLabel61">
    <w:name w:val="ListLabel 61"/>
    <w:qFormat/>
    <w:rPr>
      <w:b/>
      <w:sz w:val="24"/>
      <w:szCs w:val="28"/>
    </w:rPr>
  </w:style>
  <w:style w:type="character" w:customStyle="1" w:styleId="ListLabel62">
    <w:name w:val="ListLabel 62"/>
    <w:qFormat/>
    <w:rPr>
      <w:b/>
      <w:sz w:val="24"/>
      <w:szCs w:val="28"/>
    </w:rPr>
  </w:style>
  <w:style w:type="character" w:customStyle="1" w:styleId="ListLabel63">
    <w:name w:val="ListLabel 63"/>
    <w:qFormat/>
    <w:rPr>
      <w:rFonts w:eastAsia="Times New Roman"/>
      <w:sz w:val="20"/>
      <w:lang w:val="it-IT"/>
    </w:rPr>
  </w:style>
  <w:style w:type="character" w:customStyle="1" w:styleId="ListLabel64">
    <w:name w:val="ListLabel 64"/>
    <w:qFormat/>
    <w:rPr>
      <w:sz w:val="24"/>
      <w:szCs w:val="28"/>
    </w:rPr>
  </w:style>
  <w:style w:type="character" w:customStyle="1" w:styleId="ListLabel65">
    <w:name w:val="ListLabel 65"/>
    <w:qFormat/>
    <w:rPr>
      <w:b/>
      <w:sz w:val="24"/>
      <w:szCs w:val="28"/>
    </w:rPr>
  </w:style>
  <w:style w:type="character" w:customStyle="1" w:styleId="ListLabel66">
    <w:name w:val="ListLabel 66"/>
    <w:qFormat/>
    <w:rPr>
      <w:b/>
      <w:sz w:val="24"/>
      <w:szCs w:val="28"/>
    </w:rPr>
  </w:style>
  <w:style w:type="character" w:customStyle="1" w:styleId="ListLabel67">
    <w:name w:val="ListLabel 67"/>
    <w:qFormat/>
    <w:rPr>
      <w:rFonts w:eastAsia="Times New Roman"/>
      <w:sz w:val="20"/>
      <w:lang w:val="it-IT"/>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pPr>
      <w:spacing w:after="158"/>
    </w:pPr>
    <w:rPr>
      <w:color w:val="000000"/>
      <w:sz w:val="20"/>
      <w:szCs w:val="20"/>
    </w:r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pPr>
    <w:rPr>
      <w:b/>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SimSun"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781200"/>
    <w:pPr>
      <w:keepNext/>
      <w:tabs>
        <w:tab w:val="left" w:pos="567"/>
      </w:tabs>
      <w:spacing w:before="60" w:after="60"/>
      <w:jc w:val="both"/>
    </w:pPr>
    <w:rPr>
      <w:rFonts w:ascii="Arial" w:eastAsia="SimSun" w:hAnsi="Arial" w:cs="Arial"/>
      <w:color w:val="0000FF"/>
      <w:kern w:val="2"/>
      <w:sz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SimSun"/>
      <w:b/>
      <w:kern w:val="2"/>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44694-E01B-4037-A81A-B6B8A216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603</Words>
  <Characters>3443</Characters>
  <Application>Microsoft Office Word</Application>
  <DocSecurity>0</DocSecurity>
  <Lines>28</Lines>
  <Paragraphs>8</Paragraphs>
  <ScaleCrop>false</ScaleCrop>
  <Company>Echostar</Company>
  <LinksUpToDate>false</LinksUpToDate>
  <CharactersWithSpaces>4038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Eroz, Mustafa</dc:creator>
  <dc:description/>
  <cp:lastModifiedBy>Eroz, Mustafa</cp:lastModifiedBy>
  <cp:revision>7</cp:revision>
  <cp:lastPrinted>2018-02-12T14:30:00Z</cp:lastPrinted>
  <dcterms:created xsi:type="dcterms:W3CDTF">2018-04-03T13:14:00Z</dcterms:created>
  <dcterms:modified xsi:type="dcterms:W3CDTF">2018-04-06T17:39:00Z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