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067" w:rsidRDefault="0039043A">
      <w:pPr>
        <w:pStyle w:val="CRCoverPage"/>
        <w:tabs>
          <w:tab w:val="right" w:pos="9639"/>
        </w:tabs>
        <w:spacing w:after="0"/>
        <w:jc w:val="both"/>
      </w:pPr>
      <w:r>
        <w:rPr>
          <w:rFonts w:cs="Arial"/>
          <w:b/>
          <w:position w:val="8"/>
          <w:szCs w:val="24"/>
          <w:lang w:val="de-DE"/>
        </w:rPr>
        <w:t>3GPP TSG RAN WG1 Meeting #</w:t>
      </w:r>
      <w:r>
        <w:rPr>
          <w:rFonts w:cs="Arial"/>
          <w:b/>
          <w:szCs w:val="24"/>
          <w:lang w:val="de-DE"/>
        </w:rPr>
        <w:t>92bis</w:t>
      </w:r>
      <w:r>
        <w:rPr>
          <w:rFonts w:cs="Arial"/>
          <w:b/>
          <w:szCs w:val="24"/>
          <w:lang w:val="de-DE"/>
        </w:rPr>
        <w:tab/>
      </w:r>
      <w:r w:rsidR="003340D0">
        <w:rPr>
          <w:rFonts w:eastAsia="SimSun" w:cs="Arial"/>
          <w:b/>
          <w:szCs w:val="24"/>
          <w:lang w:val="de-DE" w:eastAsia="zh-CN"/>
        </w:rPr>
        <w:t xml:space="preserve">     R1-1804170</w:t>
      </w:r>
    </w:p>
    <w:p w:rsidR="00D43067" w:rsidRDefault="0039043A">
      <w:pPr>
        <w:pStyle w:val="Header"/>
        <w:jc w:val="both"/>
      </w:pPr>
      <w:r>
        <w:rPr>
          <w:rFonts w:eastAsia="SimSun" w:cs="Arial"/>
          <w:sz w:val="24"/>
          <w:lang w:val="de-DE" w:eastAsia="zh-CN"/>
        </w:rPr>
        <w:t>Sanya, China, 16</w:t>
      </w:r>
      <w:r>
        <w:rPr>
          <w:rFonts w:eastAsia="SimSun" w:cs="Arial"/>
          <w:sz w:val="24"/>
          <w:vertAlign w:val="superscript"/>
          <w:lang w:val="de-DE" w:eastAsia="zh-CN"/>
        </w:rPr>
        <w:t xml:space="preserve">th </w:t>
      </w:r>
      <w:r>
        <w:rPr>
          <w:rFonts w:eastAsia="SimSun" w:cs="Arial"/>
          <w:sz w:val="24"/>
          <w:lang w:val="de-DE" w:eastAsia="zh-CN"/>
        </w:rPr>
        <w:t>April – 20</w:t>
      </w:r>
      <w:r>
        <w:rPr>
          <w:rFonts w:eastAsia="SimSun" w:cs="Arial"/>
          <w:sz w:val="24"/>
          <w:vertAlign w:val="superscript"/>
          <w:lang w:val="de-DE" w:eastAsia="zh-CN"/>
        </w:rPr>
        <w:t>th</w:t>
      </w:r>
      <w:r>
        <w:rPr>
          <w:rFonts w:eastAsia="SimSun" w:cs="Arial"/>
          <w:sz w:val="24"/>
          <w:lang w:val="de-DE" w:eastAsia="zh-CN"/>
        </w:rPr>
        <w:t xml:space="preserve"> April</w:t>
      </w:r>
      <w:bookmarkStart w:id="0" w:name="OLE_LINK1"/>
      <w:bookmarkEnd w:id="0"/>
      <w:r>
        <w:rPr>
          <w:rFonts w:eastAsia="SimSun" w:cs="Arial"/>
          <w:sz w:val="24"/>
          <w:lang w:val="de-DE" w:eastAsia="zh-CN"/>
        </w:rPr>
        <w:t xml:space="preserve"> 2018</w:t>
      </w:r>
    </w:p>
    <w:p w:rsidR="00D43067" w:rsidRDefault="00D43067">
      <w:pPr>
        <w:pBdr>
          <w:bottom w:val="single" w:sz="12" w:space="1" w:color="00000A"/>
        </w:pBdr>
        <w:tabs>
          <w:tab w:val="left" w:pos="1985"/>
        </w:tabs>
        <w:jc w:val="both"/>
        <w:rPr>
          <w:rFonts w:ascii="Arial" w:hAnsi="Arial"/>
          <w:b/>
          <w:lang w:val="de-DE" w:eastAsia="ja-JP"/>
        </w:rPr>
      </w:pPr>
    </w:p>
    <w:p w:rsidR="00D43067" w:rsidRDefault="0039043A">
      <w:pPr>
        <w:pBdr>
          <w:bottom w:val="single" w:sz="12" w:space="1" w:color="00000A"/>
        </w:pBdr>
        <w:tabs>
          <w:tab w:val="left" w:pos="1985"/>
        </w:tabs>
        <w:spacing w:before="62" w:after="62"/>
        <w:jc w:val="both"/>
      </w:pPr>
      <w:r>
        <w:rPr>
          <w:rFonts w:ascii="Arial" w:hAnsi="Arial" w:cs="Arial"/>
          <w:b/>
        </w:rPr>
        <w:t>Agenda Item:</w:t>
      </w:r>
      <w:bookmarkStart w:id="1" w:name="Source"/>
      <w:bookmarkEnd w:id="1"/>
      <w:r>
        <w:rPr>
          <w:rFonts w:ascii="Arial" w:hAnsi="Arial" w:cs="Arial"/>
          <w:b/>
        </w:rPr>
        <w:tab/>
        <w:t>7.4.4</w:t>
      </w:r>
    </w:p>
    <w:p w:rsidR="00D43067" w:rsidRDefault="0039043A">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D43067" w:rsidRDefault="0039043A">
      <w:pPr>
        <w:pBdr>
          <w:bottom w:val="single" w:sz="12" w:space="1" w:color="00000A"/>
        </w:pBdr>
        <w:tabs>
          <w:tab w:val="left" w:pos="1985"/>
        </w:tabs>
        <w:spacing w:before="62" w:after="62"/>
        <w:ind w:left="1983" w:hanging="1983"/>
        <w:jc w:val="both"/>
      </w:pPr>
      <w:r>
        <w:rPr>
          <w:rFonts w:ascii="Arial" w:hAnsi="Arial" w:cs="Arial"/>
          <w:b/>
        </w:rPr>
        <w:t xml:space="preserve">Title:                  </w:t>
      </w:r>
      <w:r>
        <w:rPr>
          <w:rFonts w:ascii="Arial" w:hAnsi="Arial" w:cs="Arial"/>
          <w:b/>
        </w:rPr>
        <w:tab/>
        <w:t>Low PAPR ACMA (SC-FDE) for Uplink NOMA</w:t>
      </w:r>
    </w:p>
    <w:p w:rsidR="00D43067" w:rsidRDefault="0039043A">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D43067" w:rsidRDefault="0039043A">
      <w:pPr>
        <w:pStyle w:val="Heading1"/>
        <w:numPr>
          <w:ilvl w:val="0"/>
          <w:numId w:val="2"/>
        </w:numPr>
      </w:pPr>
      <w:r>
        <w:rPr>
          <w:b/>
          <w:sz w:val="24"/>
          <w:lang w:eastAsia="ko-KR"/>
        </w:rPr>
        <w:t>Introduction</w:t>
      </w:r>
    </w:p>
    <w:p w:rsidR="00D43067" w:rsidRDefault="0039043A">
      <w:pPr>
        <w:pStyle w:val="BodyText"/>
        <w:spacing w:after="156"/>
        <w:jc w:val="both"/>
      </w:pPr>
      <w:r>
        <w:rPr>
          <w:rFonts w:eastAsia="SimSun"/>
          <w:lang w:eastAsia="zh-CN"/>
        </w:rPr>
        <w:t xml:space="preserve">In RAN1 #86, it was agreed that NR should target to support UL NOMA access for at least </w:t>
      </w:r>
      <w:proofErr w:type="spellStart"/>
      <w:r>
        <w:rPr>
          <w:rFonts w:eastAsia="SimSun"/>
          <w:lang w:eastAsia="zh-CN"/>
        </w:rPr>
        <w:t>mMTC</w:t>
      </w:r>
      <w:proofErr w:type="spellEnd"/>
      <w:r>
        <w:rPr>
          <w:rFonts w:eastAsia="SimSun"/>
          <w:lang w:eastAsia="zh-CN"/>
        </w:rPr>
        <w:t xml:space="preserve"> [1]. Our earlier contribution at </w:t>
      </w:r>
      <w:r>
        <w:rPr>
          <w:rFonts w:eastAsia="SimSun"/>
          <w:color w:val="212121"/>
          <w:shd w:val="clear" w:color="auto" w:fill="FFFFFF"/>
          <w:lang w:eastAsia="zh-CN"/>
        </w:rPr>
        <w:t>RAN1#88bis</w:t>
      </w:r>
      <w:r>
        <w:rPr>
          <w:rFonts w:eastAsia="SimSun"/>
          <w:lang w:eastAsia="zh-CN"/>
        </w:rPr>
        <w:t xml:space="preserve"> [2] described A-SCMA.</w:t>
      </w:r>
      <w:r>
        <w:rPr>
          <w:rStyle w:val="FootnoteAnchor"/>
          <w:rFonts w:eastAsia="SimSun"/>
          <w:lang w:eastAsia="zh-CN"/>
        </w:rPr>
        <w:footnoteReference w:id="1"/>
      </w:r>
      <w:r>
        <w:rPr>
          <w:rFonts w:eastAsia="SimSun"/>
          <w:lang w:eastAsia="zh-CN"/>
        </w:rPr>
        <w:t xml:space="preserve">  Application of this waveform to terrestrial multipath channels in both OFDM (ACMA-OFDM) format and low PAPR single carrier (ACMA-SC-FDE) format are discussed in [3].  In this contribution, we clarify additional details for Low-PAPR ACMA for uplink NOMA and elaborate the advantageous features of this waveform.</w:t>
      </w:r>
    </w:p>
    <w:p w:rsidR="00D43067" w:rsidRDefault="0039043A">
      <w:pPr>
        <w:pStyle w:val="Heading1"/>
        <w:numPr>
          <w:ilvl w:val="0"/>
          <w:numId w:val="2"/>
        </w:numPr>
        <w:spacing w:before="156" w:after="156"/>
        <w:ind w:left="432" w:hanging="432"/>
        <w:jc w:val="both"/>
      </w:pPr>
      <w:r>
        <w:rPr>
          <w:rFonts w:eastAsia="SimSun"/>
          <w:b/>
          <w:sz w:val="24"/>
          <w:lang w:eastAsia="zh-CN"/>
        </w:rPr>
        <w:t>Design Description</w:t>
      </w:r>
    </w:p>
    <w:p w:rsidR="00D43067" w:rsidRDefault="0039043A">
      <w:pPr>
        <w:pStyle w:val="BodyText"/>
      </w:pPr>
      <w:r>
        <w:t>Figure 1 shows a block diagram of the Low PAPR ACMA transmitter and receiver.   The transmit waveform is a single QPSK modulated carrier.  The FEC is a low code rate Low-Density Parity Check (LDPC) code.  In the simulation results reported below, a NOMA optimized LDPC code is used, although an NR LDPC code with rate matching may also be used at reduced capacity [4].</w:t>
      </w:r>
    </w:p>
    <w:p w:rsidR="00D43067" w:rsidRDefault="00D43067">
      <w:pPr>
        <w:pStyle w:val="BodyText"/>
      </w:pPr>
    </w:p>
    <w:p w:rsidR="00D43067" w:rsidRDefault="0039043A">
      <w:pPr>
        <w:spacing w:before="156" w:after="156"/>
        <w:ind w:left="432" w:hanging="432"/>
        <w:jc w:val="both"/>
        <w:rPr>
          <w:rFonts w:eastAsia="SimSun"/>
          <w:b/>
          <w:lang w:eastAsia="zh-CN"/>
        </w:rPr>
      </w:pPr>
      <w:r>
        <w:rPr>
          <w:noProof/>
        </w:rPr>
        <w:drawing>
          <wp:inline distT="0" distB="0" distL="0" distR="0">
            <wp:extent cx="6120130" cy="13462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8"/>
                    <a:stretch>
                      <a:fillRect/>
                    </a:stretch>
                  </pic:blipFill>
                  <pic:spPr bwMode="auto">
                    <a:xfrm>
                      <a:off x="0" y="0"/>
                      <a:ext cx="6120130" cy="1346200"/>
                    </a:xfrm>
                    <a:prstGeom prst="rect">
                      <a:avLst/>
                    </a:prstGeom>
                  </pic:spPr>
                </pic:pic>
              </a:graphicData>
            </a:graphic>
          </wp:inline>
        </w:drawing>
      </w:r>
    </w:p>
    <w:p w:rsidR="00D43067" w:rsidRDefault="0039043A">
      <w:pPr>
        <w:spacing w:before="156" w:after="156"/>
        <w:ind w:left="432" w:hanging="432"/>
        <w:jc w:val="center"/>
        <w:rPr>
          <w:rFonts w:eastAsia="SimSun"/>
          <w:sz w:val="20"/>
          <w:szCs w:val="20"/>
          <w:lang w:eastAsia="zh-CN"/>
        </w:rPr>
      </w:pPr>
      <w:r>
        <w:rPr>
          <w:rFonts w:eastAsia="SimSun"/>
          <w:sz w:val="20"/>
          <w:szCs w:val="20"/>
          <w:lang w:eastAsia="zh-CN"/>
        </w:rPr>
        <w:t>Figure 1. ACMA Block Diagram</w:t>
      </w:r>
    </w:p>
    <w:p w:rsidR="00D43067" w:rsidRDefault="0039043A">
      <w:pPr>
        <w:spacing w:before="156" w:after="156"/>
        <w:rPr>
          <w:sz w:val="20"/>
          <w:szCs w:val="20"/>
        </w:rPr>
      </w:pPr>
      <w:r>
        <w:rPr>
          <w:rFonts w:eastAsia="SimSun"/>
          <w:sz w:val="20"/>
          <w:szCs w:val="20"/>
          <w:lang w:eastAsia="zh-CN"/>
        </w:rPr>
        <w:t>Unlike the DFT-</w:t>
      </w:r>
      <w:proofErr w:type="spellStart"/>
      <w:r>
        <w:rPr>
          <w:rFonts w:eastAsia="SimSun"/>
          <w:sz w:val="20"/>
          <w:szCs w:val="20"/>
          <w:lang w:eastAsia="zh-CN"/>
        </w:rPr>
        <w:t>precoded</w:t>
      </w:r>
      <w:proofErr w:type="spellEnd"/>
      <w:r>
        <w:rPr>
          <w:rFonts w:eastAsia="SimSun"/>
          <w:sz w:val="20"/>
          <w:szCs w:val="20"/>
          <w:lang w:eastAsia="zh-CN"/>
        </w:rPr>
        <w:t xml:space="preserve"> SC-OFDM, the transmit block diagram is extremely simple with grant-free, asynchronous </w:t>
      </w:r>
      <w:proofErr w:type="gramStart"/>
      <w:r>
        <w:rPr>
          <w:rFonts w:eastAsia="SimSun"/>
          <w:sz w:val="20"/>
          <w:szCs w:val="20"/>
          <w:lang w:eastAsia="zh-CN"/>
        </w:rPr>
        <w:t>transmission</w:t>
      </w:r>
      <w:proofErr w:type="gramEnd"/>
      <w:r>
        <w:rPr>
          <w:rFonts w:eastAsia="SimSun"/>
          <w:sz w:val="20"/>
          <w:szCs w:val="20"/>
          <w:lang w:eastAsia="zh-CN"/>
        </w:rPr>
        <w:t>.  There is no DFT or IFFT processing in the transmitter.  When sufficient information is accumulated at the user terminal to form a LDPC code block, it simply transmits at the assigned frequency with no regard of timing.  Without the need for DFT and IFFT processing, with its use of a single carrier low-PAPR QPSK modulation, this waveform is more power efficient, requiring a smaller battery with longer life and lower per device cost than the DFT-</w:t>
      </w:r>
      <w:proofErr w:type="spellStart"/>
      <w:r>
        <w:rPr>
          <w:rFonts w:eastAsia="SimSun"/>
          <w:sz w:val="20"/>
          <w:szCs w:val="20"/>
          <w:lang w:eastAsia="zh-CN"/>
        </w:rPr>
        <w:t>precoded</w:t>
      </w:r>
      <w:proofErr w:type="spellEnd"/>
      <w:r>
        <w:rPr>
          <w:rFonts w:eastAsia="SimSun"/>
          <w:sz w:val="20"/>
          <w:szCs w:val="20"/>
          <w:lang w:eastAsia="zh-CN"/>
        </w:rPr>
        <w:t xml:space="preserve"> SC-OFDM.  These features are extremely advantageous for deployment of Machine-Types Communication of massive scale.</w:t>
      </w:r>
    </w:p>
    <w:p w:rsidR="00D43067" w:rsidRDefault="0039043A">
      <w:pPr>
        <w:pStyle w:val="Heading1"/>
        <w:numPr>
          <w:ilvl w:val="0"/>
          <w:numId w:val="2"/>
        </w:numPr>
        <w:spacing w:before="156" w:after="156"/>
        <w:ind w:left="432" w:hanging="432"/>
        <w:jc w:val="both"/>
        <w:rPr>
          <w:b/>
          <w:sz w:val="24"/>
        </w:rPr>
      </w:pPr>
      <w:r>
        <w:rPr>
          <w:b/>
          <w:sz w:val="24"/>
        </w:rPr>
        <w:lastRenderedPageBreak/>
        <w:t>Frequency Domain Equalization</w:t>
      </w:r>
    </w:p>
    <w:p w:rsidR="00D43067" w:rsidRDefault="0039043A">
      <w:r>
        <w:rPr>
          <w:sz w:val="20"/>
          <w:lang w:eastAsia="ja-JP"/>
        </w:rPr>
        <w:t xml:space="preserve">This waveform compensates frequency selective fading through the multipath channel by frequency domain equalization (FDE) at the receiver [5].  The principal component of the FDE is an FFT which performs the frequency analysis of the received signal.  </w:t>
      </w:r>
    </w:p>
    <w:p w:rsidR="00D43067" w:rsidRDefault="0039043A">
      <w:pPr>
        <w:pStyle w:val="Heading1"/>
        <w:numPr>
          <w:ilvl w:val="0"/>
          <w:numId w:val="2"/>
        </w:numPr>
        <w:spacing w:before="156" w:after="156"/>
        <w:ind w:left="432" w:hanging="432"/>
        <w:jc w:val="both"/>
      </w:pPr>
      <w:r>
        <w:rPr>
          <w:rFonts w:eastAsia="SimSun"/>
          <w:b/>
          <w:sz w:val="24"/>
          <w:lang w:eastAsia="zh-CN"/>
        </w:rPr>
        <w:t>Example Results</w:t>
      </w:r>
    </w:p>
    <w:p w:rsidR="00D43067" w:rsidRDefault="0039043A">
      <w:pPr>
        <w:spacing w:after="158"/>
        <w:rPr>
          <w:sz w:val="20"/>
          <w:szCs w:val="20"/>
        </w:rPr>
      </w:pPr>
      <w:r>
        <w:rPr>
          <w:rFonts w:eastAsia="SimSun"/>
          <w:sz w:val="20"/>
          <w:szCs w:val="20"/>
          <w:lang w:eastAsia="zh-CN"/>
        </w:rPr>
        <w:t xml:space="preserve">Here are presented some example results of Low PAPR ACMA. </w:t>
      </w:r>
      <w:r w:rsidR="00701A4A">
        <w:rPr>
          <w:rFonts w:eastAsia="SimSun"/>
          <w:sz w:val="20"/>
          <w:szCs w:val="20"/>
          <w:lang w:eastAsia="zh-CN"/>
        </w:rPr>
        <w:t>Simulation t</w:t>
      </w:r>
      <w:r>
        <w:rPr>
          <w:rFonts w:eastAsia="SimSun"/>
          <w:sz w:val="20"/>
          <w:szCs w:val="20"/>
          <w:lang w:eastAsia="zh-CN"/>
        </w:rPr>
        <w:t>est conditions are summarized in Table 1.</w:t>
      </w:r>
    </w:p>
    <w:p w:rsidR="00D43067" w:rsidRDefault="0039043A">
      <w:pPr>
        <w:spacing w:after="158"/>
        <w:rPr>
          <w:sz w:val="20"/>
          <w:szCs w:val="20"/>
        </w:rPr>
      </w:pPr>
      <w:r>
        <w:rPr>
          <w:rFonts w:eastAsia="SimSun"/>
          <w:sz w:val="20"/>
          <w:szCs w:val="20"/>
          <w:lang w:eastAsia="zh-CN"/>
        </w:rPr>
        <w:t xml:space="preserve">Test results are presented first as BLER vs. arrival rate, which is a useful performance metric for Random Access (RA) channels.  BLER performance vs. </w:t>
      </w:r>
      <w:proofErr w:type="spellStart"/>
      <w:r>
        <w:rPr>
          <w:rFonts w:eastAsia="SimSun"/>
          <w:sz w:val="20"/>
          <w:szCs w:val="20"/>
          <w:lang w:eastAsia="zh-CN"/>
        </w:rPr>
        <w:t>E</w:t>
      </w:r>
      <w:r>
        <w:rPr>
          <w:rFonts w:eastAsia="SimSun"/>
          <w:sz w:val="20"/>
          <w:szCs w:val="20"/>
          <w:vertAlign w:val="subscript"/>
          <w:lang w:eastAsia="zh-CN"/>
        </w:rPr>
        <w:t>s</w:t>
      </w:r>
      <w:proofErr w:type="spellEnd"/>
      <w:r>
        <w:rPr>
          <w:rFonts w:eastAsia="SimSun"/>
          <w:sz w:val="20"/>
          <w:szCs w:val="20"/>
          <w:lang w:eastAsia="zh-CN"/>
        </w:rPr>
        <w:t>/N</w:t>
      </w:r>
      <w:r>
        <w:rPr>
          <w:rFonts w:eastAsia="SimSun"/>
          <w:sz w:val="20"/>
          <w:szCs w:val="20"/>
          <w:vertAlign w:val="subscript"/>
          <w:lang w:eastAsia="zh-CN"/>
        </w:rPr>
        <w:t>o</w:t>
      </w:r>
      <w:r>
        <w:rPr>
          <w:rFonts w:eastAsia="SimSun"/>
          <w:sz w:val="20"/>
          <w:szCs w:val="20"/>
          <w:lang w:eastAsia="zh-CN"/>
        </w:rPr>
        <w:t xml:space="preserve"> is also provided.  Note that these two sets of charts are the same data merely plotted on different x-axis.</w:t>
      </w:r>
    </w:p>
    <w:p w:rsidR="00D43067" w:rsidRDefault="0039043A">
      <w:pPr>
        <w:spacing w:after="158"/>
        <w:rPr>
          <w:sz w:val="20"/>
          <w:szCs w:val="20"/>
        </w:rPr>
      </w:pPr>
      <w:r>
        <w:rPr>
          <w:rFonts w:eastAsia="SimSun"/>
          <w:sz w:val="20"/>
          <w:szCs w:val="20"/>
          <w:lang w:eastAsia="zh-CN"/>
        </w:rPr>
        <w:t>Performance is characterized both with constant arrival rate, and with a more realistic Poisson random arrival process.  In both cases, the result</w:t>
      </w:r>
      <w:r w:rsidR="00701A4A">
        <w:rPr>
          <w:rFonts w:eastAsia="SimSun"/>
          <w:sz w:val="20"/>
          <w:szCs w:val="20"/>
          <w:lang w:eastAsia="zh-CN"/>
        </w:rPr>
        <w:t>s indicate that the waveform is capable of supporting more than</w:t>
      </w:r>
      <w:r>
        <w:rPr>
          <w:rFonts w:eastAsia="SimSun"/>
          <w:sz w:val="20"/>
          <w:szCs w:val="20"/>
          <w:lang w:eastAsia="zh-CN"/>
        </w:rPr>
        <w:t xml:space="preserve"> 50 simultaneous user terminals</w:t>
      </w:r>
      <w:r w:rsidR="00701A4A">
        <w:rPr>
          <w:rFonts w:eastAsia="SimSun"/>
          <w:sz w:val="20"/>
          <w:szCs w:val="20"/>
          <w:lang w:eastAsia="zh-CN"/>
        </w:rPr>
        <w:t xml:space="preserve"> over the same resources</w:t>
      </w:r>
      <w:r>
        <w:rPr>
          <w:rFonts w:eastAsia="SimSun"/>
          <w:sz w:val="20"/>
          <w:szCs w:val="20"/>
          <w:lang w:eastAsia="zh-CN"/>
        </w:rPr>
        <w:t>.</w:t>
      </w:r>
    </w:p>
    <w:p w:rsidR="00D43067" w:rsidRDefault="00D43067">
      <w:pPr>
        <w:rPr>
          <w:rFonts w:eastAsia="SimSun"/>
          <w:lang w:eastAsia="zh-CN"/>
        </w:rPr>
      </w:pPr>
    </w:p>
    <w:p w:rsidR="00D43067" w:rsidRDefault="0039043A">
      <w:pPr>
        <w:jc w:val="center"/>
        <w:rPr>
          <w:sz w:val="20"/>
          <w:szCs w:val="20"/>
        </w:rPr>
      </w:pPr>
      <w:r>
        <w:rPr>
          <w:sz w:val="20"/>
          <w:szCs w:val="20"/>
          <w:lang w:eastAsia="zh-CN"/>
        </w:rPr>
        <w:t>Table 1.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4820"/>
        <w:gridCol w:w="4818"/>
      </w:tblGrid>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r>
              <w:rPr>
                <w:sz w:val="20"/>
              </w:rPr>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TDLA</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r>
              <w:rPr>
                <w:sz w:val="20"/>
              </w:rPr>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30ns</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proofErr w:type="spellStart"/>
            <w:r>
              <w:rPr>
                <w:sz w:val="20"/>
              </w:rPr>
              <w:t>Freq</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2GHz</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r>
              <w:rPr>
                <w:sz w:val="20"/>
              </w:rPr>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3km/</w:t>
            </w:r>
            <w:proofErr w:type="spellStart"/>
            <w:r>
              <w:rPr>
                <w:sz w:val="20"/>
              </w:rPr>
              <w:t>hr</w:t>
            </w:r>
            <w:proofErr w:type="spellEnd"/>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r>
              <w:rPr>
                <w:sz w:val="20"/>
              </w:rPr>
              <w:t>Code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1/8</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pPr>
            <w:r>
              <w:rPr>
                <w:sz w:val="20"/>
              </w:rPr>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160 bit</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szCs w:val="20"/>
              </w:rPr>
            </w:pPr>
            <w:r>
              <w:rPr>
                <w:sz w:val="20"/>
                <w:szCs w:val="20"/>
              </w:rPr>
              <w:t>Modulation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szCs w:val="20"/>
              </w:rPr>
            </w:pPr>
            <w:r>
              <w:rPr>
                <w:sz w:val="20"/>
                <w:szCs w:val="20"/>
              </w:rPr>
              <w:t>QPSK</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r>
              <w:rPr>
                <w:sz w:val="20"/>
              </w:rPr>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 xml:space="preserve">1 </w:t>
            </w:r>
            <w:proofErr w:type="spellStart"/>
            <w:r>
              <w:rPr>
                <w:sz w:val="20"/>
              </w:rPr>
              <w:t>Tx</w:t>
            </w:r>
            <w:proofErr w:type="spellEnd"/>
            <w:r>
              <w:rPr>
                <w:sz w:val="20"/>
              </w:rPr>
              <w:t>, 2 Rx</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szCs w:val="20"/>
              </w:rPr>
            </w:pPr>
            <w:r>
              <w:rPr>
                <w:sz w:val="20"/>
                <w:szCs w:val="20"/>
              </w:rPr>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szCs w:val="20"/>
              </w:rPr>
            </w:pPr>
            <w:r>
              <w:rPr>
                <w:sz w:val="20"/>
                <w:szCs w:val="20"/>
              </w:rPr>
              <w:t>Perfect</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szCs w:val="20"/>
              </w:rPr>
            </w:pPr>
            <w:r>
              <w:rPr>
                <w:sz w:val="20"/>
                <w:szCs w:val="20"/>
              </w:rPr>
              <w:t>Synchronization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szCs w:val="20"/>
              </w:rPr>
            </w:pPr>
            <w:r>
              <w:rPr>
                <w:sz w:val="20"/>
                <w:szCs w:val="20"/>
              </w:rPr>
              <w:t>Perfect</w:t>
            </w:r>
          </w:p>
        </w:tc>
      </w:tr>
      <w:tr w:rsidR="00D43067">
        <w:tc>
          <w:tcPr>
            <w:tcW w:w="4819" w:type="dxa"/>
            <w:tcBorders>
              <w:top w:val="single" w:sz="2" w:space="0" w:color="000001"/>
              <w:left w:val="single" w:sz="2" w:space="0" w:color="000001"/>
              <w:bottom w:val="single" w:sz="2" w:space="0" w:color="000001"/>
            </w:tcBorders>
            <w:shd w:val="clear" w:color="auto" w:fill="auto"/>
            <w:tcMar>
              <w:left w:w="42" w:type="dxa"/>
            </w:tcMar>
          </w:tcPr>
          <w:p w:rsidR="00D43067" w:rsidRDefault="0039043A">
            <w:pPr>
              <w:pStyle w:val="TableContents"/>
              <w:rPr>
                <w:sz w:val="20"/>
              </w:rPr>
            </w:pPr>
            <w:r>
              <w:rPr>
                <w:sz w:val="20"/>
              </w:rPr>
              <w:t>Symbol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D43067" w:rsidRDefault="0039043A">
            <w:pPr>
              <w:pStyle w:val="TableContents"/>
              <w:rPr>
                <w:sz w:val="20"/>
              </w:rPr>
            </w:pPr>
            <w:r>
              <w:rPr>
                <w:sz w:val="20"/>
              </w:rPr>
              <w:t>1Msym/s</w:t>
            </w:r>
          </w:p>
        </w:tc>
      </w:tr>
    </w:tbl>
    <w:p w:rsidR="00D43067" w:rsidRDefault="00D43067">
      <w:pPr>
        <w:pStyle w:val="Heading2"/>
        <w:numPr>
          <w:ilvl w:val="0"/>
          <w:numId w:val="0"/>
        </w:numPr>
        <w:ind w:left="567"/>
      </w:pPr>
    </w:p>
    <w:p w:rsidR="00D43067" w:rsidRDefault="0039043A">
      <w:pPr>
        <w:pStyle w:val="BodyText"/>
        <w:jc w:val="center"/>
        <w:rPr>
          <w:sz w:val="24"/>
          <w:szCs w:val="24"/>
        </w:rPr>
      </w:pPr>
      <w:r>
        <w:rPr>
          <w:noProof/>
        </w:rPr>
        <w:drawing>
          <wp:anchor distT="0" distB="0" distL="0" distR="0" simplePos="0" relativeHeight="2"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a:stretch>
                      <a:fillRect/>
                    </a:stretch>
                  </pic:blipFill>
                  <pic:spPr bwMode="auto">
                    <a:xfrm>
                      <a:off x="0" y="0"/>
                      <a:ext cx="5868035" cy="4392295"/>
                    </a:xfrm>
                    <a:prstGeom prst="rect">
                      <a:avLst/>
                    </a:prstGeom>
                  </pic:spPr>
                </pic:pic>
              </a:graphicData>
            </a:graphic>
          </wp:anchor>
        </w:drawing>
      </w:r>
      <w:r>
        <w:rPr>
          <w:sz w:val="24"/>
          <w:szCs w:val="24"/>
        </w:rPr>
        <w:t>Figure 2.  ACMA-SC-FDE BLER vs. arrival rate, constant arrivals</w:t>
      </w:r>
      <w:r>
        <w:br w:type="page"/>
      </w:r>
    </w:p>
    <w:p w:rsidR="00D43067" w:rsidRDefault="0039043A">
      <w:pPr>
        <w:pStyle w:val="BodyText"/>
        <w:jc w:val="center"/>
        <w:rPr>
          <w:sz w:val="24"/>
          <w:szCs w:val="24"/>
        </w:rPr>
      </w:pPr>
      <w:r>
        <w:rPr>
          <w:noProof/>
        </w:rPr>
        <w:lastRenderedPageBreak/>
        <w:drawing>
          <wp:anchor distT="0" distB="0" distL="0" distR="0" simplePos="0" relativeHeight="3"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0"/>
                    <a:stretch>
                      <a:fillRect/>
                    </a:stretch>
                  </pic:blipFill>
                  <pic:spPr bwMode="auto">
                    <a:xfrm>
                      <a:off x="0" y="0"/>
                      <a:ext cx="5868035" cy="4392295"/>
                    </a:xfrm>
                    <a:prstGeom prst="rect">
                      <a:avLst/>
                    </a:prstGeom>
                  </pic:spPr>
                </pic:pic>
              </a:graphicData>
            </a:graphic>
          </wp:anchor>
        </w:drawing>
      </w:r>
      <w:r>
        <w:rPr>
          <w:sz w:val="24"/>
          <w:szCs w:val="24"/>
        </w:rPr>
        <w:t>Figure 3.  ACMA-SC-FDE BLER vs. arrival rate, Poisson arrivals</w:t>
      </w:r>
      <w:r>
        <w:br w:type="page"/>
      </w:r>
    </w:p>
    <w:p w:rsidR="00D43067" w:rsidRDefault="0039043A">
      <w:pPr>
        <w:pStyle w:val="BodyText"/>
        <w:jc w:val="center"/>
        <w:rPr>
          <w:sz w:val="24"/>
          <w:szCs w:val="24"/>
        </w:rPr>
      </w:pPr>
      <w:r>
        <w:rPr>
          <w:noProof/>
        </w:rPr>
        <w:lastRenderedPageBreak/>
        <w:drawing>
          <wp:anchor distT="0" distB="0" distL="0" distR="0" simplePos="0" relativeHeight="4"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pic:cNvPicPr>
                      <a:picLocks noChangeAspect="1" noChangeArrowheads="1"/>
                    </pic:cNvPicPr>
                  </pic:nvPicPr>
                  <pic:blipFill>
                    <a:blip r:embed="rId11"/>
                    <a:stretch>
                      <a:fillRect/>
                    </a:stretch>
                  </pic:blipFill>
                  <pic:spPr bwMode="auto">
                    <a:xfrm>
                      <a:off x="0" y="0"/>
                      <a:ext cx="5868035" cy="4392295"/>
                    </a:xfrm>
                    <a:prstGeom prst="rect">
                      <a:avLst/>
                    </a:prstGeom>
                  </pic:spPr>
                </pic:pic>
              </a:graphicData>
            </a:graphic>
          </wp:anchor>
        </w:drawing>
      </w:r>
      <w:r>
        <w:rPr>
          <w:sz w:val="24"/>
          <w:szCs w:val="24"/>
        </w:rPr>
        <w:t xml:space="preserve">Figure 4.  ACMA-SC-FDE BLER vs. </w:t>
      </w:r>
      <w:proofErr w:type="spellStart"/>
      <w:r>
        <w:rPr>
          <w:sz w:val="24"/>
          <w:szCs w:val="24"/>
        </w:rPr>
        <w:t>Es</w:t>
      </w:r>
      <w:proofErr w:type="spellEnd"/>
      <w:r>
        <w:rPr>
          <w:sz w:val="24"/>
          <w:szCs w:val="24"/>
        </w:rPr>
        <w:t>/No, constant arrivals</w:t>
      </w:r>
    </w:p>
    <w:p w:rsidR="00D43067" w:rsidRDefault="0039043A">
      <w:pPr>
        <w:pStyle w:val="BodyText"/>
        <w:jc w:val="center"/>
        <w:rPr>
          <w:sz w:val="24"/>
          <w:szCs w:val="24"/>
        </w:rPr>
      </w:pPr>
      <w:r>
        <w:br w:type="page"/>
      </w:r>
    </w:p>
    <w:p w:rsidR="00D43067" w:rsidRDefault="0039043A">
      <w:pPr>
        <w:pStyle w:val="BodyText"/>
        <w:jc w:val="center"/>
        <w:rPr>
          <w:sz w:val="24"/>
          <w:szCs w:val="24"/>
        </w:rPr>
      </w:pPr>
      <w:r>
        <w:rPr>
          <w:noProof/>
        </w:rPr>
        <w:lastRenderedPageBreak/>
        <w:drawing>
          <wp:anchor distT="0" distB="0" distL="0" distR="0" simplePos="0" relativeHeight="5" behindDoc="0" locked="0" layoutInCell="1" allowOverlap="1">
            <wp:simplePos x="0" y="0"/>
            <wp:positionH relativeFrom="column">
              <wp:align>center</wp:align>
            </wp:positionH>
            <wp:positionV relativeFrom="paragraph">
              <wp:posOffset>635</wp:posOffset>
            </wp:positionV>
            <wp:extent cx="5868035" cy="4392295"/>
            <wp:effectExtent l="0" t="0" r="0" b="0"/>
            <wp:wrapSquare wrapText="largest"/>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12"/>
                    <a:stretch>
                      <a:fillRect/>
                    </a:stretch>
                  </pic:blipFill>
                  <pic:spPr bwMode="auto">
                    <a:xfrm>
                      <a:off x="0" y="0"/>
                      <a:ext cx="5868035" cy="4392295"/>
                    </a:xfrm>
                    <a:prstGeom prst="rect">
                      <a:avLst/>
                    </a:prstGeom>
                  </pic:spPr>
                </pic:pic>
              </a:graphicData>
            </a:graphic>
          </wp:anchor>
        </w:drawing>
      </w:r>
      <w:r>
        <w:rPr>
          <w:sz w:val="24"/>
          <w:szCs w:val="24"/>
        </w:rPr>
        <w:t xml:space="preserve">Figure 5.  ACMA-SC-FDE BLER vs. </w:t>
      </w:r>
      <w:proofErr w:type="spellStart"/>
      <w:r>
        <w:rPr>
          <w:sz w:val="24"/>
          <w:szCs w:val="24"/>
        </w:rPr>
        <w:t>Es</w:t>
      </w:r>
      <w:proofErr w:type="spellEnd"/>
      <w:r>
        <w:rPr>
          <w:sz w:val="24"/>
          <w:szCs w:val="24"/>
        </w:rPr>
        <w:t>/No, Poisson arrivals</w:t>
      </w:r>
    </w:p>
    <w:p w:rsidR="00D43067" w:rsidRDefault="00D43067">
      <w:pPr>
        <w:spacing w:before="156" w:after="156"/>
        <w:ind w:left="432" w:hanging="432"/>
        <w:jc w:val="both"/>
      </w:pPr>
    </w:p>
    <w:p w:rsidR="00D43067" w:rsidRDefault="0039043A">
      <w:pPr>
        <w:pStyle w:val="Heading1"/>
        <w:numPr>
          <w:ilvl w:val="0"/>
          <w:numId w:val="2"/>
        </w:numPr>
        <w:spacing w:before="156" w:after="156"/>
        <w:ind w:left="432" w:hanging="432"/>
        <w:jc w:val="both"/>
        <w:rPr>
          <w:sz w:val="24"/>
        </w:rPr>
      </w:pPr>
      <w:r>
        <w:rPr>
          <w:rFonts w:eastAsia="SimSun"/>
          <w:b/>
          <w:sz w:val="24"/>
          <w:lang w:eastAsia="zh-CN"/>
        </w:rPr>
        <w:t>Conclusions</w:t>
      </w:r>
    </w:p>
    <w:p w:rsidR="00D43067" w:rsidRDefault="0039043A">
      <w:pPr>
        <w:spacing w:after="158"/>
        <w:jc w:val="both"/>
        <w:rPr>
          <w:sz w:val="20"/>
          <w:szCs w:val="20"/>
        </w:rPr>
      </w:pPr>
      <w:r>
        <w:rPr>
          <w:rFonts w:eastAsia="SimSun"/>
          <w:sz w:val="20"/>
          <w:szCs w:val="20"/>
          <w:lang w:eastAsia="zh-CN"/>
        </w:rPr>
        <w:t xml:space="preserve">The Low PAPR ACMA (SC-FDE) are shown to provide high spectral efficiency for Random Access applications and is well suited to </w:t>
      </w:r>
      <w:proofErr w:type="spellStart"/>
      <w:r>
        <w:rPr>
          <w:rFonts w:eastAsia="SimSun"/>
          <w:sz w:val="20"/>
          <w:szCs w:val="20"/>
          <w:lang w:eastAsia="zh-CN"/>
        </w:rPr>
        <w:t>mMTC</w:t>
      </w:r>
      <w:proofErr w:type="spellEnd"/>
      <w:r>
        <w:rPr>
          <w:rFonts w:eastAsia="SimSun"/>
          <w:sz w:val="20"/>
          <w:szCs w:val="20"/>
          <w:lang w:eastAsia="zh-CN"/>
        </w:rPr>
        <w:t xml:space="preserve"> usage.</w:t>
      </w:r>
    </w:p>
    <w:p w:rsidR="00D43067" w:rsidRDefault="0039043A">
      <w:pPr>
        <w:pStyle w:val="Heading1"/>
        <w:numPr>
          <w:ilvl w:val="0"/>
          <w:numId w:val="2"/>
        </w:numPr>
        <w:spacing w:before="156" w:after="156"/>
        <w:ind w:left="432" w:hanging="432"/>
        <w:jc w:val="both"/>
      </w:pPr>
      <w:r>
        <w:rPr>
          <w:rFonts w:eastAsia="SimSun"/>
          <w:b/>
          <w:sz w:val="24"/>
          <w:lang w:eastAsia="zh-CN"/>
        </w:rPr>
        <w:t>Proposal</w:t>
      </w:r>
    </w:p>
    <w:p w:rsidR="00D43067" w:rsidRDefault="0039043A">
      <w:pPr>
        <w:pStyle w:val="BodyText"/>
      </w:pPr>
      <w:r>
        <w:t xml:space="preserve">ACMA should be considered for U/L NOMA applications, especially for </w:t>
      </w:r>
      <w:proofErr w:type="spellStart"/>
      <w:r>
        <w:t>mMTC</w:t>
      </w:r>
      <w:proofErr w:type="spellEnd"/>
      <w:r>
        <w:t>.</w:t>
      </w:r>
    </w:p>
    <w:p w:rsidR="00D43067" w:rsidRDefault="0039043A">
      <w:pPr>
        <w:pStyle w:val="Heading1"/>
        <w:numPr>
          <w:ilvl w:val="0"/>
          <w:numId w:val="0"/>
        </w:numPr>
        <w:spacing w:before="156" w:after="156"/>
        <w:jc w:val="both"/>
      </w:pPr>
      <w:r>
        <w:rPr>
          <w:rFonts w:eastAsia="SimSun"/>
          <w:b/>
          <w:sz w:val="24"/>
          <w:lang w:eastAsia="zh-CN"/>
        </w:rPr>
        <w:t>References</w:t>
      </w:r>
    </w:p>
    <w:p w:rsidR="00D43067" w:rsidRDefault="0039043A">
      <w:pPr>
        <w:pStyle w:val="BodyText"/>
        <w:numPr>
          <w:ilvl w:val="0"/>
          <w:numId w:val="3"/>
        </w:numPr>
        <w:suppressAutoHyphens/>
        <w:spacing w:after="0"/>
        <w:contextualSpacing/>
        <w:jc w:val="both"/>
      </w:pPr>
      <w:bookmarkStart w:id="2" w:name="_Ref446329069"/>
      <w:bookmarkStart w:id="3" w:name="_Ref355718930"/>
      <w:r>
        <w:rPr>
          <w:rFonts w:eastAsia="SimSun"/>
          <w:lang w:val="it-IT" w:eastAsia="zh-CN"/>
        </w:rPr>
        <w:t>RAN1 Chairman’s notes, RAN1#86, Gothenburg, Sweden, Aug 22-26, 2016</w:t>
      </w:r>
      <w:bookmarkStart w:id="4" w:name="_Ref352838604"/>
      <w:bookmarkStart w:id="5" w:name="_Ref322350683"/>
      <w:bookmarkEnd w:id="2"/>
      <w:bookmarkEnd w:id="3"/>
      <w:bookmarkEnd w:id="4"/>
      <w:bookmarkEnd w:id="5"/>
      <w:r>
        <w:rPr>
          <w:rFonts w:eastAsia="SimSun"/>
          <w:lang w:val="it-IT" w:eastAsia="zh-CN"/>
        </w:rPr>
        <w:t>.</w:t>
      </w:r>
    </w:p>
    <w:p w:rsidR="00D43067" w:rsidRDefault="0039043A">
      <w:pPr>
        <w:pStyle w:val="BodyText"/>
        <w:widowControl w:val="0"/>
        <w:suppressAutoHyphens/>
        <w:contextualSpacing/>
        <w:jc w:val="both"/>
        <w:textAlignment w:val="baseline"/>
        <w:rPr>
          <w:rFonts w:eastAsia="SimSun"/>
          <w:lang w:eastAsia="zh-CN"/>
        </w:rPr>
      </w:pPr>
      <w:r>
        <w:rPr>
          <w:rFonts w:eastAsia="SimSun"/>
          <w:lang w:eastAsia="zh-CN"/>
        </w:rPr>
        <w:t>[2]   R1-1704818,</w:t>
      </w:r>
      <w:r>
        <w:rPr>
          <w:sz w:val="27"/>
          <w:szCs w:val="27"/>
        </w:rPr>
        <w:t xml:space="preserve"> </w:t>
      </w:r>
      <w:r>
        <w:rPr>
          <w:rFonts w:eastAsia="SimSun"/>
          <w:lang w:eastAsia="zh-CN"/>
        </w:rPr>
        <w:t>“Asynchronous Scrambled Coded Multiple Access (A-SCMA)”, RAN1#88bis.</w:t>
      </w:r>
    </w:p>
    <w:p w:rsidR="00D43067" w:rsidRDefault="0039043A">
      <w:pPr>
        <w:pStyle w:val="BodyText"/>
        <w:widowControl w:val="0"/>
        <w:suppressAutoHyphens/>
        <w:contextualSpacing/>
        <w:jc w:val="both"/>
        <w:textAlignment w:val="baseline"/>
        <w:rPr>
          <w:sz w:val="18"/>
        </w:rPr>
      </w:pPr>
      <w:r>
        <w:rPr>
          <w:rFonts w:eastAsia="SimSun"/>
          <w:lang w:eastAsia="zh-CN"/>
        </w:rPr>
        <w:t xml:space="preserve">[3] </w:t>
      </w:r>
      <w:r w:rsidR="003340D0">
        <w:rPr>
          <w:rFonts w:eastAsia="SimSun"/>
          <w:lang w:eastAsia="zh-CN"/>
        </w:rPr>
        <w:t xml:space="preserve">  </w:t>
      </w:r>
      <w:r>
        <w:rPr>
          <w:rFonts w:eastAsia="SimSun"/>
          <w:lang w:eastAsia="zh-CN"/>
        </w:rPr>
        <w:t>R1-1801889, “</w:t>
      </w:r>
      <w:r>
        <w:rPr>
          <w:sz w:val="18"/>
        </w:rPr>
        <w:t>ACMA-OFDM and Low PAPR ACMA (SC-FDE) for Uplink NOMA”, RAN1#92.</w:t>
      </w:r>
    </w:p>
    <w:p w:rsidR="00D43067" w:rsidRDefault="003340D0">
      <w:pPr>
        <w:pStyle w:val="BodyText"/>
        <w:widowControl w:val="0"/>
        <w:suppressAutoHyphens/>
        <w:contextualSpacing/>
        <w:jc w:val="both"/>
        <w:textAlignment w:val="baseline"/>
        <w:rPr>
          <w:sz w:val="18"/>
        </w:rPr>
      </w:pPr>
      <w:r>
        <w:rPr>
          <w:sz w:val="18"/>
        </w:rPr>
        <w:t>[4]    R1-1804169</w:t>
      </w:r>
      <w:r w:rsidR="0039043A">
        <w:rPr>
          <w:sz w:val="18"/>
        </w:rPr>
        <w:t>, “</w:t>
      </w:r>
      <w:r>
        <w:rPr>
          <w:sz w:val="18"/>
        </w:rPr>
        <w:t>ACMA-OF</w:t>
      </w:r>
      <w:bookmarkStart w:id="6" w:name="_GoBack"/>
      <w:bookmarkEnd w:id="6"/>
      <w:r>
        <w:rPr>
          <w:sz w:val="18"/>
        </w:rPr>
        <w:t>DM with NR LDPC Code for Uplink NOMA</w:t>
      </w:r>
      <w:r w:rsidR="0039043A">
        <w:rPr>
          <w:sz w:val="18"/>
        </w:rPr>
        <w:t>”</w:t>
      </w:r>
      <w:r>
        <w:rPr>
          <w:sz w:val="18"/>
        </w:rPr>
        <w:t>, RAN1#92bis</w:t>
      </w:r>
    </w:p>
    <w:p w:rsidR="00857C3B" w:rsidRPr="00857C3B" w:rsidRDefault="0039043A" w:rsidP="00857C3B">
      <w:pPr>
        <w:pStyle w:val="BodyText"/>
        <w:widowControl w:val="0"/>
        <w:suppressAutoHyphens/>
        <w:contextualSpacing/>
        <w:jc w:val="both"/>
        <w:textAlignment w:val="baseline"/>
        <w:rPr>
          <w:sz w:val="18"/>
          <w:szCs w:val="18"/>
        </w:rPr>
      </w:pPr>
      <w:r>
        <w:rPr>
          <w:sz w:val="18"/>
        </w:rPr>
        <w:t>[5]</w:t>
      </w:r>
      <w:r w:rsidR="00857C3B">
        <w:rPr>
          <w:sz w:val="18"/>
        </w:rPr>
        <w:t xml:space="preserve">   </w:t>
      </w:r>
      <w:r w:rsidR="00857C3B" w:rsidRPr="007A39E8">
        <w:rPr>
          <w:sz w:val="18"/>
          <w:szCs w:val="18"/>
        </w:rPr>
        <w:t xml:space="preserve">D. Falconer, S.L. </w:t>
      </w:r>
      <w:proofErr w:type="spellStart"/>
      <w:r w:rsidR="00857C3B" w:rsidRPr="007A39E8">
        <w:rPr>
          <w:sz w:val="18"/>
          <w:szCs w:val="18"/>
        </w:rPr>
        <w:t>Ariyavisitakul</w:t>
      </w:r>
      <w:proofErr w:type="spellEnd"/>
      <w:r w:rsidR="00857C3B" w:rsidRPr="007A39E8">
        <w:rPr>
          <w:sz w:val="18"/>
          <w:szCs w:val="18"/>
        </w:rPr>
        <w:t>, A. Benyamin-</w:t>
      </w:r>
      <w:proofErr w:type="spellStart"/>
      <w:r w:rsidR="00857C3B" w:rsidRPr="007A39E8">
        <w:rPr>
          <w:sz w:val="18"/>
          <w:szCs w:val="18"/>
        </w:rPr>
        <w:t>Seeyar</w:t>
      </w:r>
      <w:proofErr w:type="spellEnd"/>
      <w:r w:rsidR="00857C3B" w:rsidRPr="007A39E8">
        <w:rPr>
          <w:sz w:val="18"/>
          <w:szCs w:val="18"/>
        </w:rPr>
        <w:t xml:space="preserve">, D. </w:t>
      </w:r>
      <w:proofErr w:type="spellStart"/>
      <w:r w:rsidR="00857C3B" w:rsidRPr="007A39E8">
        <w:rPr>
          <w:sz w:val="18"/>
          <w:szCs w:val="18"/>
        </w:rPr>
        <w:t>Eidson</w:t>
      </w:r>
      <w:proofErr w:type="spellEnd"/>
      <w:r w:rsidR="00857C3B" w:rsidRPr="007A39E8">
        <w:rPr>
          <w:sz w:val="18"/>
          <w:szCs w:val="18"/>
        </w:rPr>
        <w:t>, “Frequency Domain Equalizati</w:t>
      </w:r>
      <w:r w:rsidR="00857C3B">
        <w:rPr>
          <w:sz w:val="18"/>
          <w:szCs w:val="18"/>
        </w:rPr>
        <w:t xml:space="preserve">on for Single-Carrier </w:t>
      </w:r>
      <w:proofErr w:type="gramStart"/>
      <w:r w:rsidR="00857C3B">
        <w:rPr>
          <w:sz w:val="18"/>
          <w:szCs w:val="18"/>
        </w:rPr>
        <w:t xml:space="preserve">Broadband  </w:t>
      </w:r>
      <w:r w:rsidR="00857C3B" w:rsidRPr="007A39E8">
        <w:rPr>
          <w:sz w:val="18"/>
          <w:szCs w:val="18"/>
        </w:rPr>
        <w:t>Wireless</w:t>
      </w:r>
      <w:proofErr w:type="gramEnd"/>
      <w:r w:rsidR="00857C3B" w:rsidRPr="007A39E8">
        <w:rPr>
          <w:sz w:val="18"/>
          <w:szCs w:val="18"/>
        </w:rPr>
        <w:t xml:space="preserve"> Systems,” IEEE Communications Magazine, April 2002.</w:t>
      </w:r>
    </w:p>
    <w:p w:rsidR="00D43067" w:rsidRDefault="00D43067">
      <w:pPr>
        <w:pStyle w:val="BodyText"/>
        <w:widowControl w:val="0"/>
        <w:suppressAutoHyphens/>
        <w:contextualSpacing/>
        <w:jc w:val="both"/>
        <w:textAlignment w:val="baseline"/>
      </w:pPr>
    </w:p>
    <w:sectPr w:rsidR="00D43067">
      <w:footerReference w:type="default" r:id="rId13"/>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A4F" w:rsidRDefault="00EF5A4F">
      <w:r>
        <w:separator/>
      </w:r>
    </w:p>
  </w:endnote>
  <w:endnote w:type="continuationSeparator" w:id="0">
    <w:p w:rsidR="00EF5A4F" w:rsidRDefault="00EF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067" w:rsidRDefault="0039043A">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857C3B">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A4F" w:rsidRDefault="00EF5A4F"/>
  </w:footnote>
  <w:footnote w:type="continuationSeparator" w:id="0">
    <w:p w:rsidR="00EF5A4F" w:rsidRDefault="00EF5A4F">
      <w:r>
        <w:continuationSeparator/>
      </w:r>
    </w:p>
  </w:footnote>
  <w:footnote w:id="1">
    <w:p w:rsidR="00D43067" w:rsidRDefault="0039043A">
      <w:pPr>
        <w:pStyle w:val="FootnoteText"/>
      </w:pPr>
      <w:r>
        <w:footnoteRef/>
      </w:r>
      <w:r w:rsidR="00701A4A">
        <w:t xml:space="preserve"> </w:t>
      </w:r>
      <w:r w:rsidR="00701A4A">
        <w:tab/>
      </w:r>
      <w:r>
        <w:t xml:space="preserve">We have changed the name from ASCMA to </w:t>
      </w:r>
      <w:r w:rsidR="00701A4A">
        <w:t>Asynchronous Coded Multiple Access (</w:t>
      </w:r>
      <w:r>
        <w:t>ACMA</w:t>
      </w:r>
      <w:r w:rsidR="00701A4A">
        <w:t>)</w:t>
      </w:r>
      <w:r>
        <w:t xml:space="preserve"> to prevent confusion with another NOMA design called SCMA.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FB3"/>
    <w:multiLevelType w:val="multilevel"/>
    <w:tmpl w:val="8A7C198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C055B3D"/>
    <w:multiLevelType w:val="multilevel"/>
    <w:tmpl w:val="FF7CF5B2"/>
    <w:lvl w:ilvl="0">
      <w:start w:val="1"/>
      <w:numFmt w:val="decimal"/>
      <w:lvlText w:val="%1."/>
      <w:lvlJc w:val="left"/>
      <w:pPr>
        <w:tabs>
          <w:tab w:val="num" w:pos="425"/>
        </w:tabs>
        <w:ind w:left="42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FA527BA"/>
    <w:multiLevelType w:val="multilevel"/>
    <w:tmpl w:val="8DFC968C"/>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067"/>
    <w:rsid w:val="003340D0"/>
    <w:rsid w:val="0039043A"/>
    <w:rsid w:val="00701A4A"/>
    <w:rsid w:val="00857C3B"/>
    <w:rsid w:val="00D43067"/>
    <w:rsid w:val="00EF5A4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C1DFEB-B0C5-4764-9E0B-8F022013F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pPr>
      <w:spacing w:after="158"/>
    </w:pPr>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pPr>
    <w:rPr>
      <w:b/>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29D57-6864-40EE-8BC7-F0C39D0C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6</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Lin-Nan</dc:creator>
  <dc:description/>
  <cp:lastModifiedBy>Eroz, Mustafa</cp:lastModifiedBy>
  <cp:revision>15</cp:revision>
  <cp:lastPrinted>2018-02-12T14:30:00Z</cp:lastPrinted>
  <dcterms:created xsi:type="dcterms:W3CDTF">2018-02-13T20:23:00Z</dcterms:created>
  <dcterms:modified xsi:type="dcterms:W3CDTF">2018-04-06T17:34:00Z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