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widowControl w:val="0"/>
        <w:tabs>
          <w:tab w:val="right" w:pos="8280"/>
          <w:tab w:val="right" w:pos="9781"/>
        </w:tabs>
        <w:snapToGrid w:val="0"/>
        <w:ind w:left="-2" w:right="-57"/>
        <w:rPr>
          <w:rFonts w:cs="Arial" w:eastAsiaTheme="minorEastAsia"/>
          <w:bCs/>
          <w:sz w:val="22"/>
          <w:highlight w:val="yellow"/>
          <w:lang w:eastAsia="zh-CN"/>
        </w:rPr>
      </w:pPr>
      <w:r>
        <w:rPr>
          <w:rFonts w:cs="Arial"/>
          <w:bCs/>
          <w:sz w:val="22"/>
        </w:rPr>
        <w:t>3GPP TSG RAN WG1 Meeting #</w:t>
      </w:r>
      <w:r>
        <w:rPr>
          <w:rFonts w:hint="eastAsia" w:eastAsia="宋体" w:cs="Arial"/>
          <w:bCs/>
          <w:sz w:val="22"/>
          <w:lang w:eastAsia="zh-CN"/>
        </w:rPr>
        <w:t xml:space="preserve">92bis                             </w:t>
      </w:r>
      <w:r>
        <w:rPr>
          <w:rFonts w:cs="Arial"/>
          <w:bCs/>
          <w:sz w:val="22"/>
        </w:rPr>
        <w:t>R1-1803726</w:t>
      </w:r>
    </w:p>
    <w:p>
      <w:pPr>
        <w:pStyle w:val="15"/>
        <w:widowControl w:val="0"/>
        <w:tabs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hint="eastAsia" w:cs="Arial"/>
          <w:bCs/>
          <w:sz w:val="22"/>
        </w:rPr>
        <w:t>Sanya, China, 16</w:t>
      </w:r>
      <w:r>
        <w:rPr>
          <w:rFonts w:hint="eastAsia" w:cs="Arial"/>
          <w:bCs/>
          <w:sz w:val="22"/>
          <w:vertAlign w:val="superscript"/>
        </w:rPr>
        <w:t xml:space="preserve">th </w:t>
      </w:r>
      <w:r>
        <w:rPr>
          <w:rFonts w:hint="eastAsia" w:cs="Arial"/>
          <w:bCs/>
          <w:sz w:val="22"/>
        </w:rPr>
        <w:t>- 20</w:t>
      </w:r>
      <w:r>
        <w:rPr>
          <w:rFonts w:hint="eastAsia" w:cs="Arial"/>
          <w:bCs/>
          <w:sz w:val="22"/>
          <w:vertAlign w:val="superscript"/>
        </w:rPr>
        <w:t xml:space="preserve">th </w:t>
      </w:r>
      <w:r>
        <w:rPr>
          <w:rFonts w:hint="eastAsia" w:cs="Arial"/>
          <w:bCs/>
          <w:sz w:val="22"/>
        </w:rPr>
        <w:t xml:space="preserve">April, </w:t>
      </w:r>
      <w:r>
        <w:rPr>
          <w:rFonts w:cs="Arial"/>
          <w:bCs/>
          <w:sz w:val="22"/>
        </w:rPr>
        <w:t>2018</w:t>
      </w:r>
    </w:p>
    <w:p>
      <w:pPr>
        <w:pStyle w:val="15"/>
        <w:widowControl w:val="0"/>
        <w:tabs>
          <w:tab w:val="right" w:pos="8280"/>
          <w:tab w:val="right" w:pos="9781"/>
          <w:tab w:val="clear" w:pos="9072"/>
        </w:tabs>
        <w:snapToGrid w:val="0"/>
        <w:ind w:left="-2" w:right="-57"/>
        <w:rPr>
          <w:rFonts w:cs="Arial" w:eastAsiaTheme="minorEastAsia"/>
          <w:bCs/>
          <w:sz w:val="22"/>
          <w:lang w:eastAsia="zh-CN"/>
        </w:rPr>
      </w:pPr>
    </w:p>
    <w:p>
      <w:pPr>
        <w:pStyle w:val="15"/>
        <w:tabs>
          <w:tab w:val="left" w:pos="1800"/>
          <w:tab w:val="clear" w:pos="4536"/>
        </w:tabs>
        <w:ind w:left="1798" w:hanging="1800"/>
        <w:rPr>
          <w:rFonts w:eastAsia="宋体"/>
          <w:sz w:val="22"/>
          <w:lang w:eastAsia="zh-CN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eastAsia="宋体"/>
          <w:sz w:val="22"/>
          <w:lang w:eastAsia="zh-CN"/>
        </w:rPr>
        <w:t>CATT</w:t>
      </w:r>
    </w:p>
    <w:p>
      <w:pPr>
        <w:pStyle w:val="15"/>
        <w:tabs>
          <w:tab w:val="left" w:pos="1800"/>
          <w:tab w:val="clear" w:pos="4536"/>
        </w:tabs>
        <w:ind w:left="-2"/>
        <w:rPr>
          <w:rFonts w:eastAsia="宋体"/>
          <w:sz w:val="22"/>
          <w:lang w:eastAsia="zh-CN"/>
        </w:rPr>
      </w:pPr>
      <w:r>
        <w:rPr>
          <w:sz w:val="22"/>
        </w:rPr>
        <w:t>Title:</w:t>
      </w:r>
      <w:bookmarkStart w:id="0" w:name="Title"/>
      <w:bookmarkEnd w:id="0"/>
      <w:r>
        <w:rPr>
          <w:sz w:val="22"/>
        </w:rPr>
        <w:tab/>
      </w:r>
      <w:r>
        <w:rPr>
          <w:rFonts w:eastAsia="宋体"/>
          <w:sz w:val="22"/>
          <w:lang w:eastAsia="zh-CN"/>
        </w:rPr>
        <w:t xml:space="preserve">Discussion on </w:t>
      </w:r>
      <w:bookmarkStart w:id="1" w:name="OLE_LINK14"/>
      <w:bookmarkStart w:id="2" w:name="OLE_LINK13"/>
      <w:r>
        <w:rPr>
          <w:rFonts w:eastAsia="宋体"/>
          <w:sz w:val="22"/>
          <w:lang w:eastAsia="zh-CN"/>
        </w:rPr>
        <w:t>Tx diversity scheme</w:t>
      </w:r>
      <w:bookmarkEnd w:id="1"/>
      <w:bookmarkEnd w:id="2"/>
      <w:r>
        <w:rPr>
          <w:rFonts w:eastAsia="宋体"/>
          <w:sz w:val="22"/>
          <w:lang w:eastAsia="zh-CN"/>
        </w:rPr>
        <w:t xml:space="preserve"> in PC5</w:t>
      </w:r>
    </w:p>
    <w:p>
      <w:pPr>
        <w:pStyle w:val="15"/>
        <w:tabs>
          <w:tab w:val="left" w:pos="1800"/>
        </w:tabs>
        <w:ind w:left="-2"/>
        <w:rPr>
          <w:rFonts w:eastAsiaTheme="minorEastAsia"/>
          <w:sz w:val="22"/>
          <w:lang w:eastAsia="zh-CN"/>
        </w:rPr>
      </w:pPr>
      <w:r>
        <w:rPr>
          <w:sz w:val="22"/>
        </w:rPr>
        <w:t>Agenda Item:</w:t>
      </w:r>
      <w:bookmarkStart w:id="3" w:name="Source"/>
      <w:bookmarkEnd w:id="3"/>
      <w:r>
        <w:rPr>
          <w:sz w:val="22"/>
        </w:rPr>
        <w:tab/>
      </w:r>
      <w:r>
        <w:rPr>
          <w:rFonts w:eastAsiaTheme="minorEastAsia"/>
          <w:sz w:val="22"/>
          <w:lang w:eastAsia="zh-CN"/>
        </w:rPr>
        <w:t>6.2.5.3.1</w:t>
      </w:r>
    </w:p>
    <w:p>
      <w:pPr>
        <w:pStyle w:val="15"/>
        <w:tabs>
          <w:tab w:val="left" w:pos="1800"/>
        </w:tabs>
        <w:ind w:left="-2"/>
        <w:rPr>
          <w:rFonts w:eastAsia="宋体"/>
          <w:sz w:val="22"/>
          <w:lang w:eastAsia="zh-CN"/>
        </w:rPr>
      </w:pPr>
      <w:r>
        <w:rPr>
          <w:sz w:val="22"/>
        </w:rPr>
        <w:t>Document for:</w:t>
      </w:r>
      <w:r>
        <w:rPr>
          <w:sz w:val="22"/>
        </w:rPr>
        <w:tab/>
      </w:r>
      <w:bookmarkStart w:id="4" w:name="DocumentFor"/>
      <w:bookmarkEnd w:id="4"/>
      <w:r>
        <w:rPr>
          <w:sz w:val="22"/>
        </w:rPr>
        <w:t>Discussio</w:t>
      </w:r>
      <w:r>
        <w:rPr>
          <w:rFonts w:eastAsia="宋体"/>
          <w:sz w:val="22"/>
          <w:lang w:eastAsia="zh-CN"/>
        </w:rPr>
        <w:t>n</w:t>
      </w:r>
      <w:r>
        <w:rPr>
          <w:rFonts w:hint="eastAsia" w:eastAsia="宋体"/>
          <w:sz w:val="22"/>
          <w:lang w:eastAsia="zh-CN"/>
        </w:rPr>
        <w:t xml:space="preserve"> and Decision</w:t>
      </w:r>
    </w:p>
    <w:p>
      <w:pPr>
        <w:pBdr>
          <w:bottom w:val="single" w:color="auto" w:sz="4" w:space="1"/>
        </w:pBdr>
        <w:tabs>
          <w:tab w:val="left" w:pos="2552"/>
        </w:tabs>
        <w:ind w:left="-2"/>
        <w:rPr>
          <w:rFonts w:eastAsia="宋体"/>
          <w:lang w:eastAsia="zh-CN"/>
        </w:rPr>
      </w:pPr>
    </w:p>
    <w:p>
      <w:pPr>
        <w:pStyle w:val="2"/>
        <w:ind w:left="565"/>
      </w:pPr>
      <w:r>
        <w:t>Introduction</w:t>
      </w:r>
    </w:p>
    <w:p>
      <w:pPr>
        <w:pStyle w:val="3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In RAN1 #92 meeting, the potential Tx diversity schemes for PC5 are discussed and evaluated, particularly with following achieved conclusion [1]:</w:t>
      </w:r>
    </w:p>
    <w:p>
      <w:pPr>
        <w:rPr>
          <w:rFonts w:eastAsia="Yu Mincho"/>
          <w:b/>
          <w:sz w:val="20"/>
          <w:szCs w:val="20"/>
          <w:highlight w:val="green"/>
          <w:lang w:eastAsia="ja-JP"/>
        </w:rPr>
      </w:pPr>
      <w:r>
        <w:rPr>
          <w:rFonts w:eastAsia="Yu Mincho"/>
          <w:b/>
          <w:sz w:val="20"/>
          <w:szCs w:val="20"/>
          <w:highlight w:val="green"/>
          <w:lang w:eastAsia="ja-JP"/>
        </w:rPr>
        <w:t xml:space="preserve">Conclusion: </w:t>
      </w:r>
    </w:p>
    <w:p>
      <w:pPr>
        <w:numPr>
          <w:ilvl w:val="0"/>
          <w:numId w:val="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There is not consensus to confirm the working assumption to adopt non-transparent tx diversity, due to concerns on the impact on Rel-14 UEs with IRC receivers</w:t>
      </w:r>
    </w:p>
    <w:p>
      <w:pPr>
        <w:numPr>
          <w:ilvl w:val="0"/>
          <w:numId w:val="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Can consider further at RAN1#92bis whether the same SD-CDD scheme as PSCCH can be applied to PSSCH. </w:t>
      </w:r>
    </w:p>
    <w:p>
      <w:pPr>
        <w:numPr>
          <w:ilvl w:val="1"/>
          <w:numId w:val="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FFS whether there is any spec impact (e.g. depending on choice of delay value(s))</w:t>
      </w:r>
    </w:p>
    <w:p>
      <w:pPr>
        <w:numPr>
          <w:ilvl w:val="1"/>
          <w:numId w:val="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Check CDD performance at different UE speeds</w:t>
      </w:r>
    </w:p>
    <w:p>
      <w:pPr>
        <w:numPr>
          <w:ilvl w:val="1"/>
          <w:numId w:val="3"/>
        </w:numPr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>Evaluations should use practical CFO estimation</w:t>
      </w:r>
    </w:p>
    <w:p>
      <w:pPr>
        <w:pStyle w:val="3"/>
        <w:rPr>
          <w:rFonts w:eastAsiaTheme="minorEastAsia"/>
          <w:lang w:eastAsia="zh-CN"/>
        </w:rPr>
      </w:pPr>
      <w:r>
        <w:rPr>
          <w:rFonts w:hint="eastAsia" w:eastAsia="宋体"/>
          <w:sz w:val="20"/>
          <w:szCs w:val="20"/>
          <w:lang w:eastAsia="zh-CN"/>
        </w:rPr>
        <w:t xml:space="preserve">In this contribution, SFBC and SD-CDD are further evaluated, and it can be </w:t>
      </w:r>
      <w:r>
        <w:rPr>
          <w:rFonts w:eastAsia="宋体"/>
          <w:sz w:val="20"/>
          <w:szCs w:val="20"/>
          <w:lang w:eastAsia="zh-CN"/>
        </w:rPr>
        <w:t>observed</w:t>
      </w:r>
      <w:r>
        <w:rPr>
          <w:rFonts w:hint="eastAsia" w:eastAsia="宋体"/>
          <w:sz w:val="20"/>
          <w:szCs w:val="20"/>
          <w:lang w:eastAsia="zh-CN"/>
        </w:rPr>
        <w:t xml:space="preserve"> that SFBC has better performance gain at least in the resource pool which </w:t>
      </w:r>
      <w:r>
        <w:rPr>
          <w:rFonts w:eastAsia="宋体"/>
          <w:sz w:val="20"/>
          <w:szCs w:val="20"/>
          <w:lang w:eastAsia="zh-CN"/>
        </w:rPr>
        <w:t>does not co-exist</w:t>
      </w:r>
      <w:r>
        <w:rPr>
          <w:rFonts w:hint="eastAsia" w:eastAsia="宋体"/>
          <w:sz w:val="20"/>
          <w:szCs w:val="20"/>
          <w:lang w:eastAsia="zh-CN"/>
        </w:rPr>
        <w:t xml:space="preserve"> with Rel-14. </w:t>
      </w:r>
    </w:p>
    <w:p>
      <w:pPr>
        <w:pStyle w:val="2"/>
        <w:rPr>
          <w:rFonts w:hint="eastAsia"/>
        </w:rPr>
      </w:pPr>
      <w:r>
        <w:rPr>
          <w:rFonts w:hint="eastAsia"/>
        </w:rPr>
        <w:t>Discussion</w:t>
      </w: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  <w:r>
        <w:rPr>
          <w:rFonts w:hint="eastAsia" w:eastAsia="宋体"/>
          <w:sz w:val="20"/>
          <w:szCs w:val="20"/>
          <w:lang w:eastAsia="zh-CN"/>
        </w:rPr>
        <w:t xml:space="preserve">Since CA is introduce in Rel-15, </w:t>
      </w:r>
      <w:r>
        <w:rPr>
          <w:rFonts w:hint="eastAsia" w:eastAsiaTheme="minorEastAsia"/>
          <w:sz w:val="20"/>
          <w:szCs w:val="20"/>
          <w:lang w:eastAsia="zh-CN"/>
        </w:rPr>
        <w:t>UE can transmit and receive signals on multiple carriers. So it</w:t>
      </w:r>
      <w:r>
        <w:rPr>
          <w:rFonts w:eastAsiaTheme="minorEastAsia"/>
          <w:sz w:val="20"/>
          <w:szCs w:val="20"/>
          <w:lang w:eastAsia="zh-CN"/>
        </w:rPr>
        <w:t>’</w:t>
      </w:r>
      <w:r>
        <w:rPr>
          <w:rFonts w:hint="eastAsia" w:eastAsiaTheme="minorEastAsia"/>
          <w:sz w:val="20"/>
          <w:szCs w:val="20"/>
          <w:lang w:eastAsia="zh-CN"/>
        </w:rPr>
        <w:t xml:space="preserve">s possible that only Rel-15 UE perform V2X communication in some carrier or </w:t>
      </w:r>
      <w:r>
        <w:rPr>
          <w:rFonts w:eastAsiaTheme="minorEastAsia"/>
          <w:sz w:val="20"/>
          <w:szCs w:val="20"/>
          <w:lang w:eastAsia="zh-CN"/>
        </w:rPr>
        <w:t>resource</w:t>
      </w:r>
      <w:r>
        <w:rPr>
          <w:rFonts w:hint="eastAsia" w:eastAsiaTheme="minorEastAsia"/>
          <w:sz w:val="20"/>
          <w:szCs w:val="20"/>
          <w:lang w:eastAsia="zh-CN"/>
        </w:rPr>
        <w:t xml:space="preserve"> pool. In this situation, there </w:t>
      </w:r>
      <w:r>
        <w:rPr>
          <w:rFonts w:eastAsiaTheme="minorEastAsia"/>
          <w:sz w:val="20"/>
          <w:szCs w:val="20"/>
          <w:lang w:eastAsia="zh-CN"/>
        </w:rPr>
        <w:t>is no impact</w:t>
      </w:r>
      <w:r>
        <w:rPr>
          <w:rFonts w:hint="eastAsia" w:eastAsiaTheme="minorEastAsia"/>
          <w:sz w:val="20"/>
          <w:szCs w:val="20"/>
          <w:lang w:eastAsia="zh-CN"/>
        </w:rPr>
        <w:t xml:space="preserve"> to Rel-14 UE, and we will mainly focus on the sensitivity on Rel-15 UE PSSCH performance due to other Rel-15 interfering UEs. </w:t>
      </w:r>
      <w:r>
        <w:rPr>
          <w:rFonts w:eastAsia="宋体"/>
          <w:sz w:val="20"/>
          <w:szCs w:val="20"/>
          <w:lang w:eastAsia="zh-CN"/>
        </w:rPr>
        <w:t xml:space="preserve">The interfering UE </w:t>
      </w:r>
      <w:r>
        <w:rPr>
          <w:rFonts w:hint="eastAsia" w:eastAsia="宋体"/>
          <w:sz w:val="20"/>
          <w:szCs w:val="20"/>
          <w:lang w:eastAsia="zh-CN"/>
        </w:rPr>
        <w:t xml:space="preserve">also </w:t>
      </w:r>
      <w:r>
        <w:rPr>
          <w:rFonts w:eastAsia="宋体"/>
          <w:sz w:val="20"/>
          <w:szCs w:val="20"/>
          <w:lang w:eastAsia="zh-CN"/>
        </w:rPr>
        <w:t>is</w:t>
      </w:r>
      <w:r>
        <w:rPr>
          <w:rFonts w:hint="eastAsia" w:eastAsia="宋体"/>
          <w:sz w:val="20"/>
          <w:szCs w:val="20"/>
          <w:lang w:eastAsia="zh-CN"/>
        </w:rPr>
        <w:t xml:space="preserve"> a</w:t>
      </w:r>
      <w:r>
        <w:rPr>
          <w:rFonts w:eastAsia="宋体"/>
          <w:sz w:val="20"/>
          <w:szCs w:val="20"/>
          <w:lang w:eastAsia="zh-CN"/>
        </w:rPr>
        <w:t xml:space="preserve"> Rel-15 UE </w:t>
      </w:r>
      <w:r>
        <w:rPr>
          <w:rFonts w:hint="eastAsia" w:eastAsia="宋体"/>
          <w:sz w:val="20"/>
          <w:szCs w:val="20"/>
          <w:lang w:eastAsia="zh-CN"/>
        </w:rPr>
        <w:t xml:space="preserve">with the same </w:t>
      </w:r>
      <w:r>
        <w:rPr>
          <w:rFonts w:eastAsia="宋体"/>
          <w:sz w:val="20"/>
          <w:szCs w:val="20"/>
          <w:lang w:eastAsia="zh-CN"/>
        </w:rPr>
        <w:t>candidate Tx diversity scheme</w:t>
      </w:r>
      <w:r>
        <w:rPr>
          <w:rFonts w:hint="eastAsia" w:eastAsia="宋体"/>
          <w:sz w:val="20"/>
          <w:szCs w:val="20"/>
          <w:lang w:eastAsia="zh-CN"/>
        </w:rPr>
        <w:t xml:space="preserve">, </w:t>
      </w:r>
      <w:r>
        <w:rPr>
          <w:rFonts w:eastAsia="宋体"/>
          <w:sz w:val="20"/>
          <w:szCs w:val="20"/>
          <w:lang w:eastAsia="zh-CN"/>
        </w:rPr>
        <w:t xml:space="preserve">small-delay CDD </w:t>
      </w:r>
      <w:r>
        <w:rPr>
          <w:rFonts w:hint="eastAsia" w:eastAsia="宋体"/>
          <w:sz w:val="20"/>
          <w:szCs w:val="20"/>
          <w:lang w:eastAsia="zh-CN"/>
        </w:rPr>
        <w:t>or</w:t>
      </w:r>
      <w:r>
        <w:rPr>
          <w:rFonts w:eastAsia="宋体"/>
          <w:sz w:val="20"/>
          <w:szCs w:val="20"/>
          <w:lang w:eastAsia="zh-CN"/>
        </w:rPr>
        <w:t xml:space="preserve"> SFBC.</w:t>
      </w:r>
      <w:r>
        <w:rPr>
          <w:rFonts w:eastAsiaTheme="minorEastAsia"/>
          <w:sz w:val="20"/>
          <w:szCs w:val="20"/>
          <w:lang w:val="en-GB" w:eastAsia="zh-CN"/>
        </w:rPr>
        <w:t xml:space="preserve"> </w:t>
      </w:r>
      <w:r>
        <w:rPr>
          <w:rFonts w:eastAsia="宋体"/>
          <w:sz w:val="20"/>
          <w:szCs w:val="20"/>
          <w:lang w:val="en-GB" w:eastAsia="zh-CN"/>
        </w:rPr>
        <w:t>MMSE-MRC receivers are used in all cases</w:t>
      </w:r>
      <w:r>
        <w:rPr>
          <w:rFonts w:hint="eastAsia" w:eastAsia="宋体"/>
          <w:sz w:val="20"/>
          <w:szCs w:val="20"/>
          <w:lang w:val="en-GB" w:eastAsia="zh-CN"/>
        </w:rPr>
        <w:t>.</w:t>
      </w:r>
      <w:r>
        <w:rPr>
          <w:rFonts w:eastAsia="宋体"/>
          <w:sz w:val="20"/>
          <w:szCs w:val="20"/>
          <w:lang w:eastAsia="zh-CN"/>
        </w:rPr>
        <w:t xml:space="preserve"> The evaluation results are as shown in Figure </w:t>
      </w:r>
      <w:r>
        <w:rPr>
          <w:rFonts w:hint="eastAsia" w:eastAsia="宋体"/>
          <w:sz w:val="20"/>
          <w:szCs w:val="20"/>
          <w:lang w:eastAsia="zh-CN"/>
        </w:rPr>
        <w:t xml:space="preserve">1. </w:t>
      </w:r>
      <w:r>
        <w:rPr>
          <w:rFonts w:eastAsia="宋体"/>
          <w:sz w:val="20"/>
          <w:szCs w:val="20"/>
          <w:lang w:eastAsia="zh-CN"/>
        </w:rPr>
        <w:t>The number of interfering UE is 1</w:t>
      </w:r>
      <w:r>
        <w:rPr>
          <w:rFonts w:hint="eastAsia" w:eastAsia="宋体"/>
          <w:sz w:val="20"/>
          <w:szCs w:val="20"/>
          <w:lang w:eastAsia="zh-CN"/>
        </w:rPr>
        <w:t xml:space="preserve"> or 2</w:t>
      </w:r>
      <w:r>
        <w:rPr>
          <w:rFonts w:eastAsia="宋体"/>
          <w:sz w:val="20"/>
          <w:szCs w:val="20"/>
          <w:lang w:eastAsia="zh-CN"/>
        </w:rPr>
        <w:t>, and the SNR of system is 25dB</w:t>
      </w:r>
      <w:r>
        <w:rPr>
          <w:rFonts w:hint="eastAsia" w:eastAsia="宋体"/>
          <w:sz w:val="20"/>
          <w:szCs w:val="20"/>
          <w:lang w:eastAsia="zh-CN"/>
        </w:rPr>
        <w:t xml:space="preserve">. It can be observed that SFBC can bring significant performance gain than Small delay CDD in the </w:t>
      </w:r>
      <w:r>
        <w:rPr>
          <w:rFonts w:hint="eastAsia" w:eastAsiaTheme="minorEastAsia"/>
          <w:sz w:val="20"/>
          <w:szCs w:val="20"/>
        </w:rPr>
        <w:t>interference-limited</w:t>
      </w:r>
      <w:r>
        <w:rPr>
          <w:rFonts w:hint="eastAsia"/>
          <w:sz w:val="20"/>
          <w:szCs w:val="20"/>
        </w:rPr>
        <w:t xml:space="preserve"> scenario</w:t>
      </w:r>
      <w:r>
        <w:rPr>
          <w:rFonts w:hint="eastAsia" w:eastAsiaTheme="minorEastAsia"/>
          <w:sz w:val="20"/>
          <w:szCs w:val="20"/>
          <w:lang w:eastAsia="zh-CN"/>
        </w:rPr>
        <w:t xml:space="preserve">. </w:t>
      </w:r>
      <w:bookmarkStart w:id="9" w:name="_GoBack"/>
      <w:bookmarkEnd w:id="9"/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pStyle w:val="3"/>
        <w:rPr>
          <w:rFonts w:hint="eastAsia" w:eastAsiaTheme="minorEastAsia"/>
          <w:sz w:val="20"/>
          <w:szCs w:val="20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/>
        </w:rPr>
        <w:drawing>
          <wp:inline distT="0" distB="0" distL="0" distR="0">
            <wp:extent cx="4721860" cy="3599815"/>
            <wp:effectExtent l="0" t="0" r="0" b="0"/>
            <wp:docPr id="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22494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1"/>
        <w:numPr>
          <w:ilvl w:val="0"/>
          <w:numId w:val="4"/>
        </w:numPr>
        <w:ind w:firstLineChars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1 interfering UE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eastAsia="宋体"/>
        </w:rPr>
        <w:drawing>
          <wp:inline distT="0" distB="0" distL="0" distR="0">
            <wp:extent cx="4738370" cy="3599815"/>
            <wp:effectExtent l="0" t="0" r="0" b="0"/>
            <wp:docPr id="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8530" cy="360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31"/>
        <w:numPr>
          <w:ilvl w:val="0"/>
          <w:numId w:val="4"/>
        </w:numPr>
        <w:ind w:firstLineChars="0"/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2 interfering UEs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Figure 1: BLER performance of Rel-15 UEs in interference-limited scenario</w:t>
      </w:r>
    </w:p>
    <w:p>
      <w:pPr>
        <w:rPr>
          <w:rFonts w:eastAsiaTheme="minorEastAsia"/>
          <w:lang w:eastAsia="zh-CN"/>
        </w:rPr>
      </w:pPr>
    </w:p>
    <w:p>
      <w:pPr>
        <w:pStyle w:val="3"/>
        <w:rPr>
          <w:rFonts w:eastAsiaTheme="minorEastAsia"/>
          <w:sz w:val="20"/>
          <w:szCs w:val="20"/>
          <w:lang w:eastAsia="zh-CN"/>
        </w:rPr>
      </w:pPr>
      <w:r>
        <w:rPr>
          <w:rFonts w:hint="eastAsia" w:eastAsiaTheme="minorEastAsia"/>
          <w:sz w:val="20"/>
          <w:szCs w:val="20"/>
          <w:lang w:eastAsia="zh-CN"/>
        </w:rPr>
        <w:t xml:space="preserve">In the situation that Rel-14 UE co-exists with Rel-15 UE in same </w:t>
      </w:r>
      <w:r>
        <w:rPr>
          <w:rFonts w:eastAsiaTheme="minorEastAsia"/>
          <w:sz w:val="20"/>
          <w:szCs w:val="20"/>
          <w:lang w:eastAsia="zh-CN"/>
        </w:rPr>
        <w:t>resource</w:t>
      </w:r>
      <w:r>
        <w:rPr>
          <w:rFonts w:hint="eastAsia" w:eastAsiaTheme="minorEastAsia"/>
          <w:sz w:val="20"/>
          <w:szCs w:val="20"/>
          <w:lang w:eastAsia="zh-CN"/>
        </w:rPr>
        <w:t xml:space="preserve"> pool, from Rel-14 UE aspects, there is at lease 3dB RSRP loss, which will impact the sensing procedure. For non-transparent Tx diversity scheme, there is at least 3dB RSRP measurement loss for Rel-14 UEs. That will make influence on Rel-14 UEs reception performance. So Small delay CDD as a transparent Tx diversity without 3dB RSRP measurement loss can be treated as a fallback scheme</w:t>
      </w:r>
      <w:r>
        <w:rPr>
          <w:rFonts w:eastAsiaTheme="minorEastAsia"/>
          <w:sz w:val="20"/>
          <w:szCs w:val="20"/>
          <w:lang w:eastAsia="zh-CN"/>
        </w:rPr>
        <w:t>.</w:t>
      </w:r>
      <w:r>
        <w:rPr>
          <w:rFonts w:hint="eastAsia" w:eastAsiaTheme="minorEastAsia"/>
          <w:sz w:val="20"/>
          <w:szCs w:val="20"/>
          <w:lang w:eastAsia="zh-CN"/>
        </w:rPr>
        <w:t xml:space="preserve"> If there is high probability of resource collision with Rel-14 UEs, SFBC Tx diversity should not be used for PSSCH. </w:t>
      </w:r>
      <w:r>
        <w:rPr>
          <w:rFonts w:eastAsiaTheme="minorEastAsia"/>
          <w:sz w:val="20"/>
          <w:szCs w:val="20"/>
          <w:lang w:eastAsia="zh-CN"/>
        </w:rPr>
        <w:t>A</w:t>
      </w:r>
      <w:r>
        <w:rPr>
          <w:rFonts w:hint="eastAsia" w:eastAsiaTheme="minorEastAsia"/>
          <w:sz w:val="20"/>
          <w:szCs w:val="20"/>
          <w:lang w:eastAsia="zh-CN"/>
        </w:rPr>
        <w:t xml:space="preserve"> mechanism can be introduced to determine which Tx </w:t>
      </w:r>
      <w:r>
        <w:rPr>
          <w:rFonts w:eastAsiaTheme="minorEastAsia"/>
          <w:sz w:val="20"/>
          <w:szCs w:val="20"/>
          <w:lang w:eastAsia="zh-CN"/>
        </w:rPr>
        <w:t>diversity</w:t>
      </w:r>
      <w:r>
        <w:rPr>
          <w:rFonts w:hint="eastAsia" w:eastAsiaTheme="minorEastAsia"/>
          <w:sz w:val="20"/>
          <w:szCs w:val="20"/>
          <w:lang w:eastAsia="zh-CN"/>
        </w:rPr>
        <w:t xml:space="preserve"> scheme can be </w:t>
      </w:r>
      <w:r>
        <w:rPr>
          <w:rFonts w:eastAsiaTheme="minorEastAsia"/>
          <w:sz w:val="20"/>
          <w:szCs w:val="20"/>
          <w:lang w:eastAsia="zh-CN"/>
        </w:rPr>
        <w:t>performed</w:t>
      </w:r>
      <w:r>
        <w:rPr>
          <w:rFonts w:hint="eastAsia" w:eastAsiaTheme="minorEastAsia"/>
          <w:sz w:val="20"/>
          <w:szCs w:val="20"/>
          <w:lang w:eastAsia="zh-CN"/>
        </w:rPr>
        <w:t xml:space="preserve"> in a given situation. </w:t>
      </w:r>
      <w:r>
        <w:rPr>
          <w:rFonts w:eastAsiaTheme="minorEastAsia"/>
          <w:sz w:val="20"/>
          <w:szCs w:val="20"/>
          <w:lang w:eastAsia="zh-CN"/>
        </w:rPr>
        <w:t>F</w:t>
      </w:r>
      <w:r>
        <w:rPr>
          <w:rFonts w:hint="eastAsia" w:eastAsiaTheme="minorEastAsia"/>
          <w:sz w:val="20"/>
          <w:szCs w:val="20"/>
          <w:lang w:eastAsia="zh-CN"/>
        </w:rPr>
        <w:t xml:space="preserve">urthermore, if </w:t>
      </w:r>
      <w:r>
        <w:rPr>
          <w:rFonts w:eastAsiaTheme="minorEastAsia"/>
          <w:sz w:val="20"/>
          <w:szCs w:val="20"/>
          <w:lang w:eastAsia="zh-CN"/>
        </w:rPr>
        <w:t>small</w:t>
      </w:r>
      <w:r>
        <w:rPr>
          <w:rFonts w:hint="eastAsia" w:eastAsiaTheme="minorEastAsia"/>
          <w:sz w:val="20"/>
          <w:szCs w:val="20"/>
          <w:lang w:eastAsia="zh-CN"/>
        </w:rPr>
        <w:t xml:space="preserve"> CDD is employed</w:t>
      </w:r>
      <w:r>
        <w:rPr>
          <w:rFonts w:eastAsiaTheme="minorEastAsia"/>
          <w:sz w:val="20"/>
          <w:szCs w:val="20"/>
          <w:lang w:eastAsia="zh-CN"/>
        </w:rPr>
        <w:t xml:space="preserve"> for PSSCH</w:t>
      </w:r>
      <w:r>
        <w:rPr>
          <w:rFonts w:hint="eastAsia" w:eastAsiaTheme="minorEastAsia"/>
          <w:sz w:val="20"/>
          <w:szCs w:val="20"/>
          <w:lang w:eastAsia="zh-CN"/>
        </w:rPr>
        <w:t xml:space="preserve"> transmission, </w:t>
      </w:r>
      <w:r>
        <w:rPr>
          <w:rFonts w:eastAsiaTheme="minorEastAsia"/>
          <w:b w:val="0"/>
          <w:i w:val="0"/>
          <w:sz w:val="20"/>
          <w:szCs w:val="20"/>
          <w:lang w:eastAsia="zh-CN"/>
        </w:rPr>
        <w:t>the cyclic delay value applied to small delay CDD is left for UE implementation.</w:t>
      </w:r>
    </w:p>
    <w:p>
      <w:pPr>
        <w:pStyle w:val="3"/>
        <w:spacing w:after="240"/>
        <w:rPr>
          <w:rFonts w:eastAsiaTheme="minorEastAsia"/>
          <w:b/>
          <w:i/>
          <w:sz w:val="20"/>
          <w:szCs w:val="20"/>
          <w:lang w:eastAsia="zh-CN"/>
        </w:rPr>
      </w:pPr>
      <w:bookmarkStart w:id="5" w:name="OLE_LINK4"/>
      <w:bookmarkStart w:id="6" w:name="OLE_LINK3"/>
      <w:r>
        <w:rPr>
          <w:b/>
          <w:i/>
          <w:sz w:val="20"/>
          <w:szCs w:val="20"/>
        </w:rPr>
        <w:t xml:space="preserve">Proposal 1: 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SFBC could be applied for Rel-15 PSSCH at least in the situation that Rel-15 UE </w:t>
      </w:r>
      <w:r>
        <w:rPr>
          <w:rFonts w:eastAsiaTheme="minorEastAsia"/>
          <w:b/>
          <w:i/>
          <w:sz w:val="20"/>
          <w:szCs w:val="20"/>
          <w:lang w:eastAsia="zh-CN"/>
        </w:rPr>
        <w:t>doesn’t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co-exist with Rel-14UE in same resource pool.</w:t>
      </w:r>
    </w:p>
    <w:p>
      <w:pPr>
        <w:pStyle w:val="3"/>
        <w:spacing w:after="24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Proposal 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>2</w:t>
      </w:r>
      <w:r>
        <w:rPr>
          <w:b/>
          <w:i/>
          <w:sz w:val="20"/>
          <w:szCs w:val="20"/>
        </w:rPr>
        <w:t>: I</w:t>
      </w:r>
      <w:r>
        <w:rPr>
          <w:rFonts w:hint="eastAsia"/>
          <w:b/>
          <w:i/>
          <w:sz w:val="20"/>
          <w:szCs w:val="20"/>
        </w:rPr>
        <w:t>f small delay CDD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is applied for</w:t>
      </w:r>
      <w:r>
        <w:rPr>
          <w:b/>
          <w:i/>
          <w:sz w:val="20"/>
          <w:szCs w:val="20"/>
        </w:rPr>
        <w:t xml:space="preserve"> PS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>S</w:t>
      </w:r>
      <w:r>
        <w:rPr>
          <w:b/>
          <w:i/>
          <w:sz w:val="20"/>
          <w:szCs w:val="20"/>
        </w:rPr>
        <w:t>CH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sz w:val="20"/>
          <w:szCs w:val="20"/>
          <w:lang w:eastAsia="zh-CN"/>
        </w:rPr>
        <w:t>transmission</w:t>
      </w:r>
      <w:r>
        <w:rPr>
          <w:b/>
          <w:i/>
          <w:sz w:val="20"/>
          <w:szCs w:val="20"/>
        </w:rPr>
        <w:t>,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</w:rPr>
        <w:t xml:space="preserve">the cyclic delay value applied to small delay CDD is left for UE implementation. </w:t>
      </w:r>
    </w:p>
    <w:bookmarkEnd w:id="5"/>
    <w:bookmarkEnd w:id="6"/>
    <w:p>
      <w:pPr>
        <w:pStyle w:val="2"/>
        <w:ind w:left="431" w:hanging="431"/>
      </w:pPr>
      <w:r>
        <w:rPr>
          <w:rFonts w:hint="eastAsia"/>
        </w:rPr>
        <w:t>Conclusion</w:t>
      </w:r>
    </w:p>
    <w:p>
      <w:pPr>
        <w:pStyle w:val="3"/>
        <w:spacing w:beforeLines="5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I</w:t>
      </w:r>
      <w:r>
        <w:rPr>
          <w:rFonts w:hint="eastAsia" w:eastAsia="宋体"/>
          <w:sz w:val="20"/>
          <w:szCs w:val="20"/>
          <w:lang w:eastAsia="zh-CN"/>
        </w:rPr>
        <w:t xml:space="preserve">n this contribution, the Tx diversity schemes in PSSCH are further discussed and evaluated. </w:t>
      </w:r>
      <w:r>
        <w:rPr>
          <w:rFonts w:eastAsia="宋体"/>
          <w:sz w:val="20"/>
          <w:szCs w:val="20"/>
          <w:lang w:eastAsia="zh-CN"/>
        </w:rPr>
        <w:t>P</w:t>
      </w:r>
      <w:r>
        <w:rPr>
          <w:rFonts w:hint="eastAsia" w:eastAsia="宋体"/>
          <w:sz w:val="20"/>
          <w:szCs w:val="20"/>
          <w:lang w:eastAsia="zh-CN"/>
        </w:rPr>
        <w:t>articularly, we have following proposals:</w:t>
      </w:r>
    </w:p>
    <w:p>
      <w:pPr>
        <w:pStyle w:val="3"/>
        <w:spacing w:after="240"/>
        <w:rPr>
          <w:rFonts w:eastAsiaTheme="minorEastAsia"/>
          <w:b/>
          <w:i/>
          <w:sz w:val="20"/>
          <w:szCs w:val="20"/>
          <w:lang w:eastAsia="zh-CN"/>
        </w:rPr>
      </w:pPr>
      <w:r>
        <w:rPr>
          <w:b/>
          <w:i/>
          <w:sz w:val="20"/>
          <w:szCs w:val="20"/>
        </w:rPr>
        <w:t xml:space="preserve">Proposal 1: 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SFBC could be applied for Rel-15 PSSCH at least in the situation that Rel-15 UE </w:t>
      </w:r>
      <w:r>
        <w:rPr>
          <w:rFonts w:eastAsiaTheme="minorEastAsia"/>
          <w:b/>
          <w:i/>
          <w:sz w:val="20"/>
          <w:szCs w:val="20"/>
          <w:lang w:eastAsia="zh-CN"/>
        </w:rPr>
        <w:t>doesn’t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co-exist with Rel-14UE in same resource pool.</w:t>
      </w:r>
    </w:p>
    <w:p>
      <w:pPr>
        <w:pStyle w:val="3"/>
        <w:spacing w:after="240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Proposal 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>2</w:t>
      </w:r>
      <w:r>
        <w:rPr>
          <w:b/>
          <w:i/>
          <w:sz w:val="20"/>
          <w:szCs w:val="20"/>
        </w:rPr>
        <w:t>: I</w:t>
      </w:r>
      <w:r>
        <w:rPr>
          <w:rFonts w:hint="eastAsia"/>
          <w:b/>
          <w:i/>
          <w:sz w:val="20"/>
          <w:szCs w:val="20"/>
        </w:rPr>
        <w:t>f small delay CDD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is applied for</w:t>
      </w:r>
      <w:r>
        <w:rPr>
          <w:b/>
          <w:i/>
          <w:sz w:val="20"/>
          <w:szCs w:val="20"/>
        </w:rPr>
        <w:t xml:space="preserve"> PS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>S</w:t>
      </w:r>
      <w:r>
        <w:rPr>
          <w:b/>
          <w:i/>
          <w:sz w:val="20"/>
          <w:szCs w:val="20"/>
        </w:rPr>
        <w:t>CH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rFonts w:eastAsiaTheme="minorEastAsia"/>
          <w:b/>
          <w:i/>
          <w:sz w:val="20"/>
          <w:szCs w:val="20"/>
          <w:lang w:eastAsia="zh-CN"/>
        </w:rPr>
        <w:t>transmission</w:t>
      </w:r>
      <w:r>
        <w:rPr>
          <w:b/>
          <w:i/>
          <w:sz w:val="20"/>
          <w:szCs w:val="20"/>
        </w:rPr>
        <w:t>,</w:t>
      </w:r>
      <w:r>
        <w:rPr>
          <w:rFonts w:hint="eastAsia" w:eastAsiaTheme="minorEastAsia"/>
          <w:b/>
          <w:i/>
          <w:sz w:val="20"/>
          <w:szCs w:val="20"/>
          <w:lang w:eastAsia="zh-CN"/>
        </w:rPr>
        <w:t xml:space="preserve"> </w:t>
      </w:r>
      <w:r>
        <w:rPr>
          <w:b/>
          <w:i/>
          <w:sz w:val="20"/>
          <w:szCs w:val="20"/>
        </w:rPr>
        <w:t xml:space="preserve">the cyclic delay value applied to small delay CDD is left for UE implementation. </w:t>
      </w:r>
    </w:p>
    <w:p>
      <w:pPr>
        <w:pStyle w:val="2"/>
      </w:pPr>
      <w:r>
        <w:t>References</w:t>
      </w:r>
    </w:p>
    <w:p>
      <w:pPr>
        <w:pStyle w:val="3"/>
        <w:numPr>
          <w:ilvl w:val="1"/>
          <w:numId w:val="5"/>
        </w:numPr>
        <w:tabs>
          <w:tab w:val="left" w:pos="0"/>
          <w:tab w:val="left" w:pos="540"/>
          <w:tab w:val="clear" w:pos="1545"/>
        </w:tabs>
        <w:ind w:left="540" w:hanging="540" w:hangingChars="27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RAN1 #9</w:t>
      </w:r>
      <w:r>
        <w:rPr>
          <w:rFonts w:hint="eastAsia" w:eastAsiaTheme="minorEastAsia"/>
          <w:sz w:val="20"/>
          <w:szCs w:val="20"/>
          <w:lang w:eastAsia="zh-CN"/>
        </w:rPr>
        <w:t>2</w:t>
      </w:r>
      <w:r>
        <w:rPr>
          <w:rFonts w:eastAsiaTheme="minorEastAsia"/>
          <w:sz w:val="20"/>
          <w:szCs w:val="20"/>
          <w:lang w:eastAsia="zh-CN"/>
        </w:rPr>
        <w:t xml:space="preserve"> chairman notes</w:t>
      </w:r>
    </w:p>
    <w:p>
      <w:pPr>
        <w:pStyle w:val="3"/>
        <w:numPr>
          <w:ilvl w:val="1"/>
          <w:numId w:val="5"/>
        </w:numPr>
        <w:tabs>
          <w:tab w:val="left" w:pos="0"/>
          <w:tab w:val="left" w:pos="540"/>
          <w:tab w:val="clear" w:pos="1545"/>
        </w:tabs>
        <w:ind w:left="540" w:hanging="540" w:hangingChars="270"/>
        <w:rPr>
          <w:rFonts w:eastAsiaTheme="minorEastAsia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R1-1801704</w:t>
      </w:r>
      <w:r>
        <w:rPr>
          <w:rFonts w:hint="eastAsia" w:eastAsiaTheme="minorEastAsia"/>
          <w:sz w:val="20"/>
          <w:szCs w:val="20"/>
          <w:lang w:eastAsia="zh-CN"/>
        </w:rPr>
        <w:t xml:space="preserve">, </w:t>
      </w:r>
      <w:r>
        <w:rPr>
          <w:rFonts w:eastAsiaTheme="minorEastAsia"/>
          <w:sz w:val="20"/>
          <w:szCs w:val="20"/>
          <w:lang w:eastAsia="zh-CN"/>
        </w:rPr>
        <w:t>“Discussion on Tx diversity scheme</w:t>
      </w:r>
      <w:r>
        <w:rPr>
          <w:rFonts w:hint="eastAsia" w:eastAsiaTheme="minorEastAsia"/>
          <w:sz w:val="20"/>
          <w:szCs w:val="20"/>
          <w:lang w:eastAsia="zh-CN"/>
        </w:rPr>
        <w:t>s</w:t>
      </w:r>
      <w:r>
        <w:rPr>
          <w:rFonts w:eastAsiaTheme="minorEastAsia"/>
          <w:sz w:val="20"/>
          <w:szCs w:val="20"/>
          <w:lang w:eastAsia="zh-CN"/>
        </w:rPr>
        <w:t xml:space="preserve"> in PC5”</w:t>
      </w:r>
      <w:r>
        <w:rPr>
          <w:rFonts w:hint="eastAsia" w:eastAsiaTheme="minorEastAsia"/>
          <w:sz w:val="20"/>
          <w:szCs w:val="20"/>
          <w:lang w:eastAsia="zh-CN"/>
        </w:rPr>
        <w:t>, CATT</w:t>
      </w:r>
    </w:p>
    <w:p>
      <w:pPr>
        <w:pStyle w:val="3"/>
        <w:numPr>
          <w:ilvl w:val="1"/>
          <w:numId w:val="5"/>
        </w:numPr>
        <w:tabs>
          <w:tab w:val="left" w:pos="0"/>
          <w:tab w:val="left" w:pos="540"/>
          <w:tab w:val="clear" w:pos="1545"/>
        </w:tabs>
        <w:ind w:left="540" w:hanging="540" w:hangingChars="270"/>
        <w:rPr>
          <w:rFonts w:eastAsia="宋体"/>
          <w:sz w:val="20"/>
          <w:szCs w:val="20"/>
          <w:lang w:eastAsia="zh-CN"/>
        </w:rPr>
      </w:pPr>
      <w:r>
        <w:rPr>
          <w:rFonts w:eastAsia="宋体"/>
          <w:sz w:val="20"/>
          <w:szCs w:val="20"/>
          <w:lang w:eastAsia="zh-CN"/>
        </w:rPr>
        <w:t>R1-180170</w:t>
      </w:r>
      <w:r>
        <w:rPr>
          <w:rFonts w:hint="eastAsia" w:eastAsia="宋体"/>
          <w:sz w:val="20"/>
          <w:szCs w:val="20"/>
          <w:lang w:eastAsia="zh-CN"/>
        </w:rPr>
        <w:t>5</w:t>
      </w:r>
      <w:r>
        <w:rPr>
          <w:rFonts w:hint="eastAsia" w:eastAsiaTheme="minorEastAsia"/>
          <w:sz w:val="20"/>
          <w:szCs w:val="20"/>
          <w:lang w:eastAsia="zh-CN"/>
        </w:rPr>
        <w:t xml:space="preserve">, </w:t>
      </w:r>
      <w:r>
        <w:rPr>
          <w:rFonts w:eastAsiaTheme="minorEastAsia"/>
          <w:sz w:val="20"/>
          <w:szCs w:val="20"/>
          <w:lang w:eastAsia="zh-CN"/>
        </w:rPr>
        <w:t>“Evaluations for Tx diversity schemes in PC5”</w:t>
      </w:r>
      <w:r>
        <w:rPr>
          <w:rFonts w:hint="eastAsia" w:eastAsiaTheme="minorEastAsia"/>
          <w:sz w:val="20"/>
          <w:szCs w:val="20"/>
          <w:lang w:eastAsia="zh-CN"/>
        </w:rPr>
        <w:t>, CATT</w:t>
      </w:r>
    </w:p>
    <w:p>
      <w:pPr>
        <w:pStyle w:val="3"/>
        <w:numPr>
          <w:ilvl w:val="1"/>
          <w:numId w:val="5"/>
        </w:numPr>
        <w:tabs>
          <w:tab w:val="left" w:pos="0"/>
          <w:tab w:val="left" w:pos="540"/>
          <w:tab w:val="clear" w:pos="1545"/>
        </w:tabs>
        <w:ind w:left="540" w:hanging="540" w:hangingChars="270"/>
        <w:rPr>
          <w:rFonts w:eastAsia="宋体"/>
          <w:sz w:val="20"/>
          <w:szCs w:val="20"/>
          <w:lang w:eastAsia="zh-CN"/>
        </w:rPr>
      </w:pPr>
      <w:r>
        <w:rPr>
          <w:rFonts w:eastAsiaTheme="minorEastAsia"/>
          <w:sz w:val="20"/>
          <w:szCs w:val="20"/>
          <w:lang w:eastAsia="zh-CN"/>
        </w:rPr>
        <w:t>R1-1712343</w:t>
      </w:r>
      <w:r>
        <w:rPr>
          <w:rFonts w:hint="eastAsia" w:eastAsiaTheme="minorEastAsia"/>
          <w:sz w:val="20"/>
          <w:szCs w:val="20"/>
          <w:lang w:eastAsia="zh-CN"/>
        </w:rPr>
        <w:t xml:space="preserve">, </w:t>
      </w:r>
      <w:r>
        <w:rPr>
          <w:rFonts w:eastAsiaTheme="minorEastAsia"/>
          <w:sz w:val="20"/>
          <w:szCs w:val="20"/>
          <w:lang w:eastAsia="zh-CN"/>
        </w:rPr>
        <w:t>“</w:t>
      </w:r>
      <w:bookmarkStart w:id="7" w:name="OLE_LINK2"/>
      <w:bookmarkStart w:id="8" w:name="OLE_LINK1"/>
      <w:r>
        <w:rPr>
          <w:rFonts w:eastAsiaTheme="minorEastAsia"/>
          <w:sz w:val="20"/>
          <w:szCs w:val="20"/>
          <w:lang w:eastAsia="zh-CN"/>
        </w:rPr>
        <w:t xml:space="preserve">Evaluations </w:t>
      </w:r>
      <w:bookmarkEnd w:id="7"/>
      <w:bookmarkEnd w:id="8"/>
      <w:r>
        <w:rPr>
          <w:rFonts w:eastAsiaTheme="minorEastAsia"/>
          <w:sz w:val="20"/>
          <w:szCs w:val="20"/>
          <w:lang w:eastAsia="zh-CN"/>
        </w:rPr>
        <w:t>for Tx diversity schemes in PC5”</w:t>
      </w:r>
      <w:r>
        <w:rPr>
          <w:rFonts w:hint="eastAsia" w:eastAsiaTheme="minorEastAsia"/>
          <w:sz w:val="20"/>
          <w:szCs w:val="20"/>
          <w:lang w:eastAsia="zh-CN"/>
        </w:rPr>
        <w:t>, CATT</w:t>
      </w:r>
    </w:p>
    <w:p>
      <w:pPr>
        <w:pStyle w:val="3"/>
        <w:rPr>
          <w:rFonts w:eastAsiaTheme="minorEastAsia"/>
          <w:lang w:eastAsia="zh-CN"/>
        </w:rPr>
      </w:pPr>
    </w:p>
    <w:p>
      <w:pPr>
        <w:pStyle w:val="3"/>
        <w:rPr>
          <w:rFonts w:eastAsiaTheme="minor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MS Mincho">
    <w:altName w:val="Yu Mincho Demibold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Yu Mincho">
    <w:panose1 w:val="02020400000000000000"/>
    <w:charset w:val="80"/>
    <w:family w:val="roman"/>
    <w:pitch w:val="default"/>
    <w:sig w:usb0="800002E7" w:usb1="2AC7FCF0" w:usb2="00000012" w:usb3="00000000" w:csb0="200200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Mincho Demibold">
    <w:panose1 w:val="02020600000000000000"/>
    <w:charset w:val="80"/>
    <w:family w:val="auto"/>
    <w:pitch w:val="default"/>
    <w:sig w:usb0="800002E7" w:usb1="2AC7FCF0" w:usb2="00000012" w:usb3="00000000" w:csb0="2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lvl w:ilvl="0" w:tentative="0">
      <w:start w:val="1"/>
      <w:numFmt w:val="bullet"/>
      <w:lvlText w:val=""/>
      <w:lvlJc w:val="left"/>
      <w:pPr>
        <w:tabs>
          <w:tab w:val="left" w:pos="765"/>
        </w:tabs>
        <w:ind w:left="765" w:hanging="360"/>
      </w:pPr>
      <w:rPr>
        <w:rFonts w:hint="default" w:ascii="Symbol" w:hAnsi="Symbol"/>
      </w:rPr>
    </w:lvl>
    <w:lvl w:ilvl="1" w:tentative="0">
      <w:start w:val="1"/>
      <w:numFmt w:val="decimal"/>
      <w:lvlText w:val="[%2]."/>
      <w:lvlJc w:val="left"/>
      <w:pPr>
        <w:tabs>
          <w:tab w:val="left" w:pos="1545"/>
        </w:tabs>
        <w:ind w:left="1545" w:hanging="420"/>
      </w:pPr>
      <w:rPr>
        <w:rFonts w:hint="eastAsia"/>
        <w:sz w:val="20"/>
        <w:szCs w:val="20"/>
      </w:rPr>
    </w:lvl>
    <w:lvl w:ilvl="2" w:tentative="0">
      <w:start w:val="1"/>
      <w:numFmt w:val="bullet"/>
      <w:lvlText w:val=""/>
      <w:lvlJc w:val="left"/>
      <w:pPr>
        <w:tabs>
          <w:tab w:val="left" w:pos="2205"/>
        </w:tabs>
        <w:ind w:left="2205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25"/>
        </w:tabs>
        <w:ind w:left="2925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45"/>
        </w:tabs>
        <w:ind w:left="3645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65"/>
        </w:tabs>
        <w:ind w:left="4365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85"/>
        </w:tabs>
        <w:ind w:left="5085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05"/>
        </w:tabs>
        <w:ind w:left="5805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525"/>
        </w:tabs>
        <w:ind w:left="6525" w:hanging="360"/>
      </w:pPr>
      <w:rPr>
        <w:rFonts w:hint="default" w:ascii="Wingdings" w:hAnsi="Wingdings"/>
      </w:rPr>
    </w:lvl>
  </w:abstractNum>
  <w:abstractNum w:abstractNumId="1">
    <w:nsid w:val="08111809"/>
    <w:multiLevelType w:val="multilevel"/>
    <w:tmpl w:val="08111809"/>
    <w:lvl w:ilvl="0" w:tentative="0">
      <w:start w:val="0"/>
      <w:numFmt w:val="bullet"/>
      <w:lvlText w:val="-"/>
      <w:lvlJc w:val="left"/>
      <w:pPr>
        <w:ind w:left="720" w:hanging="360"/>
      </w:pPr>
      <w:rPr>
        <w:rFonts w:hint="default" w:ascii="Times" w:hAnsi="Times" w:eastAsia="Batang" w:cs="Times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1890D46"/>
    <w:multiLevelType w:val="multilevel"/>
    <w:tmpl w:val="31890D46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ind w:left="576" w:hanging="576"/>
      </w:pPr>
    </w:lvl>
    <w:lvl w:ilvl="2" w:tentative="0">
      <w:start w:val="1"/>
      <w:numFmt w:val="decimal"/>
      <w:lvlText w:val="%1.%2.%3"/>
      <w:lvlJc w:val="left"/>
      <w:pPr>
        <w:ind w:left="720" w:hanging="720"/>
      </w:p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>
    <w:nsid w:val="5B050749"/>
    <w:multiLevelType w:val="multilevel"/>
    <w:tmpl w:val="5B050749"/>
    <w:lvl w:ilvl="0" w:tentative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23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E7EF6"/>
    <w:rsid w:val="000106E9"/>
    <w:rsid w:val="00011715"/>
    <w:rsid w:val="00013059"/>
    <w:rsid w:val="00031470"/>
    <w:rsid w:val="0003459A"/>
    <w:rsid w:val="000449D1"/>
    <w:rsid w:val="00052421"/>
    <w:rsid w:val="00071FC0"/>
    <w:rsid w:val="000721E9"/>
    <w:rsid w:val="00075F2A"/>
    <w:rsid w:val="0008252D"/>
    <w:rsid w:val="00085E02"/>
    <w:rsid w:val="00094A6D"/>
    <w:rsid w:val="00096A51"/>
    <w:rsid w:val="000A1D99"/>
    <w:rsid w:val="000A6F42"/>
    <w:rsid w:val="000C7AE5"/>
    <w:rsid w:val="000C7DE3"/>
    <w:rsid w:val="000C7E0C"/>
    <w:rsid w:val="000D55CB"/>
    <w:rsid w:val="000E5142"/>
    <w:rsid w:val="000E76BF"/>
    <w:rsid w:val="000F2D6A"/>
    <w:rsid w:val="00106D2D"/>
    <w:rsid w:val="00107B44"/>
    <w:rsid w:val="00146085"/>
    <w:rsid w:val="00171B48"/>
    <w:rsid w:val="001731A0"/>
    <w:rsid w:val="00184F70"/>
    <w:rsid w:val="001A43F5"/>
    <w:rsid w:val="001B3F24"/>
    <w:rsid w:val="001C3874"/>
    <w:rsid w:val="001C5C6C"/>
    <w:rsid w:val="001D03CF"/>
    <w:rsid w:val="001F2787"/>
    <w:rsid w:val="00203E0B"/>
    <w:rsid w:val="00216087"/>
    <w:rsid w:val="00216983"/>
    <w:rsid w:val="00224DDD"/>
    <w:rsid w:val="00234E8C"/>
    <w:rsid w:val="00245994"/>
    <w:rsid w:val="0026169C"/>
    <w:rsid w:val="00262CC2"/>
    <w:rsid w:val="002634C3"/>
    <w:rsid w:val="00275A2F"/>
    <w:rsid w:val="002865C6"/>
    <w:rsid w:val="00286CF1"/>
    <w:rsid w:val="0029374E"/>
    <w:rsid w:val="002A2DC5"/>
    <w:rsid w:val="002B4B18"/>
    <w:rsid w:val="002B5A1D"/>
    <w:rsid w:val="002C6EEB"/>
    <w:rsid w:val="002D412D"/>
    <w:rsid w:val="002D47A5"/>
    <w:rsid w:val="002D7D00"/>
    <w:rsid w:val="002E1F60"/>
    <w:rsid w:val="002E38AD"/>
    <w:rsid w:val="00304EA1"/>
    <w:rsid w:val="00312FDC"/>
    <w:rsid w:val="0031312C"/>
    <w:rsid w:val="0032116E"/>
    <w:rsid w:val="003222BA"/>
    <w:rsid w:val="00353FFD"/>
    <w:rsid w:val="003646B0"/>
    <w:rsid w:val="00366D30"/>
    <w:rsid w:val="003733CB"/>
    <w:rsid w:val="00383B9C"/>
    <w:rsid w:val="0039073B"/>
    <w:rsid w:val="003A05B5"/>
    <w:rsid w:val="003A204A"/>
    <w:rsid w:val="003A2EE1"/>
    <w:rsid w:val="003A6F49"/>
    <w:rsid w:val="003B4E06"/>
    <w:rsid w:val="003C7781"/>
    <w:rsid w:val="004120D5"/>
    <w:rsid w:val="00430458"/>
    <w:rsid w:val="00443418"/>
    <w:rsid w:val="00443FE1"/>
    <w:rsid w:val="0044675E"/>
    <w:rsid w:val="00450004"/>
    <w:rsid w:val="004608A2"/>
    <w:rsid w:val="00470250"/>
    <w:rsid w:val="0047344A"/>
    <w:rsid w:val="00490B62"/>
    <w:rsid w:val="0049509A"/>
    <w:rsid w:val="004A047B"/>
    <w:rsid w:val="004A08CD"/>
    <w:rsid w:val="004B072E"/>
    <w:rsid w:val="004D4750"/>
    <w:rsid w:val="004E3A41"/>
    <w:rsid w:val="004F7DBD"/>
    <w:rsid w:val="00500BB4"/>
    <w:rsid w:val="00506749"/>
    <w:rsid w:val="00506794"/>
    <w:rsid w:val="00506AE9"/>
    <w:rsid w:val="0051067E"/>
    <w:rsid w:val="00517079"/>
    <w:rsid w:val="005269CF"/>
    <w:rsid w:val="00556B95"/>
    <w:rsid w:val="00557EA6"/>
    <w:rsid w:val="00565A55"/>
    <w:rsid w:val="00572A76"/>
    <w:rsid w:val="005919D5"/>
    <w:rsid w:val="00592DD3"/>
    <w:rsid w:val="005A5419"/>
    <w:rsid w:val="005B1AA3"/>
    <w:rsid w:val="005B6DB2"/>
    <w:rsid w:val="005D436C"/>
    <w:rsid w:val="005D5E86"/>
    <w:rsid w:val="005D64BB"/>
    <w:rsid w:val="005E3306"/>
    <w:rsid w:val="005E66FF"/>
    <w:rsid w:val="005E7EF6"/>
    <w:rsid w:val="005F6913"/>
    <w:rsid w:val="00602DF5"/>
    <w:rsid w:val="00603B92"/>
    <w:rsid w:val="006059CE"/>
    <w:rsid w:val="00625287"/>
    <w:rsid w:val="00627B39"/>
    <w:rsid w:val="00636EE2"/>
    <w:rsid w:val="00646699"/>
    <w:rsid w:val="006729DD"/>
    <w:rsid w:val="00675400"/>
    <w:rsid w:val="0067666F"/>
    <w:rsid w:val="00687DF6"/>
    <w:rsid w:val="006A551F"/>
    <w:rsid w:val="006D1E18"/>
    <w:rsid w:val="006D1FC1"/>
    <w:rsid w:val="006D50E1"/>
    <w:rsid w:val="006E31E8"/>
    <w:rsid w:val="006E4F75"/>
    <w:rsid w:val="006E53D8"/>
    <w:rsid w:val="006F233D"/>
    <w:rsid w:val="006F3B80"/>
    <w:rsid w:val="006F65AF"/>
    <w:rsid w:val="007016EA"/>
    <w:rsid w:val="007026EF"/>
    <w:rsid w:val="00716125"/>
    <w:rsid w:val="0072613A"/>
    <w:rsid w:val="007326AF"/>
    <w:rsid w:val="00743B46"/>
    <w:rsid w:val="00751967"/>
    <w:rsid w:val="00755F83"/>
    <w:rsid w:val="00761900"/>
    <w:rsid w:val="0077033D"/>
    <w:rsid w:val="007704E7"/>
    <w:rsid w:val="007738FC"/>
    <w:rsid w:val="007854FD"/>
    <w:rsid w:val="007A7C4B"/>
    <w:rsid w:val="007B0631"/>
    <w:rsid w:val="007B4EAC"/>
    <w:rsid w:val="007C399D"/>
    <w:rsid w:val="007D038B"/>
    <w:rsid w:val="007D71F4"/>
    <w:rsid w:val="007D7B9E"/>
    <w:rsid w:val="007E35C8"/>
    <w:rsid w:val="007E647D"/>
    <w:rsid w:val="007F3AC7"/>
    <w:rsid w:val="007F4A7E"/>
    <w:rsid w:val="00811728"/>
    <w:rsid w:val="00816085"/>
    <w:rsid w:val="008265F3"/>
    <w:rsid w:val="00832EB2"/>
    <w:rsid w:val="00851144"/>
    <w:rsid w:val="00857E03"/>
    <w:rsid w:val="008619D7"/>
    <w:rsid w:val="00880905"/>
    <w:rsid w:val="00881233"/>
    <w:rsid w:val="00887F2B"/>
    <w:rsid w:val="008947EE"/>
    <w:rsid w:val="00897430"/>
    <w:rsid w:val="008A6D74"/>
    <w:rsid w:val="008B6496"/>
    <w:rsid w:val="008B7C68"/>
    <w:rsid w:val="008C6580"/>
    <w:rsid w:val="008E14FC"/>
    <w:rsid w:val="008E630F"/>
    <w:rsid w:val="008E731F"/>
    <w:rsid w:val="008F5F92"/>
    <w:rsid w:val="00926ACF"/>
    <w:rsid w:val="00927877"/>
    <w:rsid w:val="00930B03"/>
    <w:rsid w:val="009348C3"/>
    <w:rsid w:val="0094514A"/>
    <w:rsid w:val="00945E6B"/>
    <w:rsid w:val="00950B41"/>
    <w:rsid w:val="00974DC4"/>
    <w:rsid w:val="009768F3"/>
    <w:rsid w:val="009848A4"/>
    <w:rsid w:val="00994B99"/>
    <w:rsid w:val="009C22AD"/>
    <w:rsid w:val="009C4C5B"/>
    <w:rsid w:val="009C4FC4"/>
    <w:rsid w:val="009D2165"/>
    <w:rsid w:val="009E7E85"/>
    <w:rsid w:val="009F3B58"/>
    <w:rsid w:val="00A002A9"/>
    <w:rsid w:val="00A067AD"/>
    <w:rsid w:val="00A12932"/>
    <w:rsid w:val="00A61749"/>
    <w:rsid w:val="00A63F5E"/>
    <w:rsid w:val="00A6454C"/>
    <w:rsid w:val="00A744EC"/>
    <w:rsid w:val="00A7739A"/>
    <w:rsid w:val="00A8085E"/>
    <w:rsid w:val="00A8629B"/>
    <w:rsid w:val="00A97ECB"/>
    <w:rsid w:val="00AA1C50"/>
    <w:rsid w:val="00AB131C"/>
    <w:rsid w:val="00AB239B"/>
    <w:rsid w:val="00AC07CA"/>
    <w:rsid w:val="00AC3049"/>
    <w:rsid w:val="00AC6868"/>
    <w:rsid w:val="00AD5CAD"/>
    <w:rsid w:val="00AD6204"/>
    <w:rsid w:val="00AE5A8A"/>
    <w:rsid w:val="00AF25FA"/>
    <w:rsid w:val="00AF3F2C"/>
    <w:rsid w:val="00B055DB"/>
    <w:rsid w:val="00B22984"/>
    <w:rsid w:val="00B53645"/>
    <w:rsid w:val="00B540CD"/>
    <w:rsid w:val="00B64BE3"/>
    <w:rsid w:val="00B653FB"/>
    <w:rsid w:val="00B71319"/>
    <w:rsid w:val="00B808D1"/>
    <w:rsid w:val="00B81D60"/>
    <w:rsid w:val="00BA182D"/>
    <w:rsid w:val="00BA646F"/>
    <w:rsid w:val="00BB1A77"/>
    <w:rsid w:val="00BC0DDC"/>
    <w:rsid w:val="00BC15F0"/>
    <w:rsid w:val="00BC3F20"/>
    <w:rsid w:val="00BD1287"/>
    <w:rsid w:val="00BD40C6"/>
    <w:rsid w:val="00BE23AB"/>
    <w:rsid w:val="00BF06A5"/>
    <w:rsid w:val="00BF56EC"/>
    <w:rsid w:val="00C069AE"/>
    <w:rsid w:val="00C077B6"/>
    <w:rsid w:val="00C1083A"/>
    <w:rsid w:val="00C14EBE"/>
    <w:rsid w:val="00C16B0D"/>
    <w:rsid w:val="00C175B6"/>
    <w:rsid w:val="00C17B7C"/>
    <w:rsid w:val="00C30760"/>
    <w:rsid w:val="00C31562"/>
    <w:rsid w:val="00C50A5D"/>
    <w:rsid w:val="00C92919"/>
    <w:rsid w:val="00CA2472"/>
    <w:rsid w:val="00CA6F2C"/>
    <w:rsid w:val="00CB5ED6"/>
    <w:rsid w:val="00CC0A96"/>
    <w:rsid w:val="00CC1731"/>
    <w:rsid w:val="00CC199F"/>
    <w:rsid w:val="00CC6626"/>
    <w:rsid w:val="00CD393C"/>
    <w:rsid w:val="00CD7AA8"/>
    <w:rsid w:val="00CE3267"/>
    <w:rsid w:val="00D037EB"/>
    <w:rsid w:val="00D04EEC"/>
    <w:rsid w:val="00D17C5F"/>
    <w:rsid w:val="00D34540"/>
    <w:rsid w:val="00D42A67"/>
    <w:rsid w:val="00D438D7"/>
    <w:rsid w:val="00D4553E"/>
    <w:rsid w:val="00D525AB"/>
    <w:rsid w:val="00D56841"/>
    <w:rsid w:val="00D64CA4"/>
    <w:rsid w:val="00D7064F"/>
    <w:rsid w:val="00D903F6"/>
    <w:rsid w:val="00D9271E"/>
    <w:rsid w:val="00DA56C8"/>
    <w:rsid w:val="00DB0E70"/>
    <w:rsid w:val="00DC7735"/>
    <w:rsid w:val="00DD7293"/>
    <w:rsid w:val="00DE7739"/>
    <w:rsid w:val="00DE7DA4"/>
    <w:rsid w:val="00DF5533"/>
    <w:rsid w:val="00E042FB"/>
    <w:rsid w:val="00E062D7"/>
    <w:rsid w:val="00E149BB"/>
    <w:rsid w:val="00E3396E"/>
    <w:rsid w:val="00E34BFC"/>
    <w:rsid w:val="00E3602C"/>
    <w:rsid w:val="00E41E3E"/>
    <w:rsid w:val="00E5125A"/>
    <w:rsid w:val="00E53220"/>
    <w:rsid w:val="00E5412A"/>
    <w:rsid w:val="00E54335"/>
    <w:rsid w:val="00E5594E"/>
    <w:rsid w:val="00E63E4D"/>
    <w:rsid w:val="00E76FEA"/>
    <w:rsid w:val="00E80879"/>
    <w:rsid w:val="00E871AE"/>
    <w:rsid w:val="00E93E8F"/>
    <w:rsid w:val="00EA2E5D"/>
    <w:rsid w:val="00EC440D"/>
    <w:rsid w:val="00EC7120"/>
    <w:rsid w:val="00F00CA6"/>
    <w:rsid w:val="00F06C37"/>
    <w:rsid w:val="00F10948"/>
    <w:rsid w:val="00F12A73"/>
    <w:rsid w:val="00F132ED"/>
    <w:rsid w:val="00F176D2"/>
    <w:rsid w:val="00F35867"/>
    <w:rsid w:val="00F4081D"/>
    <w:rsid w:val="00F523BA"/>
    <w:rsid w:val="00F543D2"/>
    <w:rsid w:val="00F62829"/>
    <w:rsid w:val="00F704C1"/>
    <w:rsid w:val="00F70599"/>
    <w:rsid w:val="00F773C7"/>
    <w:rsid w:val="00F777FA"/>
    <w:rsid w:val="00F85DBA"/>
    <w:rsid w:val="00FA0185"/>
    <w:rsid w:val="00FA5160"/>
    <w:rsid w:val="00FA522E"/>
    <w:rsid w:val="00FC052F"/>
    <w:rsid w:val="00FC6D54"/>
    <w:rsid w:val="00FD3DC1"/>
    <w:rsid w:val="00FF41C3"/>
    <w:rsid w:val="027D7F6A"/>
    <w:rsid w:val="06E3250E"/>
    <w:rsid w:val="07704E63"/>
    <w:rsid w:val="0D4C7B9D"/>
    <w:rsid w:val="10530FB8"/>
    <w:rsid w:val="13166C8A"/>
    <w:rsid w:val="13D23F89"/>
    <w:rsid w:val="179F78C2"/>
    <w:rsid w:val="18BF3F7A"/>
    <w:rsid w:val="1D921C8A"/>
    <w:rsid w:val="20100FAC"/>
    <w:rsid w:val="21901AA5"/>
    <w:rsid w:val="2613062D"/>
    <w:rsid w:val="268571DF"/>
    <w:rsid w:val="273242D1"/>
    <w:rsid w:val="28F21AE9"/>
    <w:rsid w:val="2AD60070"/>
    <w:rsid w:val="2DD7480D"/>
    <w:rsid w:val="2DE100EA"/>
    <w:rsid w:val="2E360F43"/>
    <w:rsid w:val="30673873"/>
    <w:rsid w:val="39BA4CB5"/>
    <w:rsid w:val="3CB246E3"/>
    <w:rsid w:val="3ED32138"/>
    <w:rsid w:val="42F55ACA"/>
    <w:rsid w:val="42FE5C90"/>
    <w:rsid w:val="45E82CCA"/>
    <w:rsid w:val="460A30F7"/>
    <w:rsid w:val="49E21334"/>
    <w:rsid w:val="4A506F3B"/>
    <w:rsid w:val="4B197877"/>
    <w:rsid w:val="4BCB3A28"/>
    <w:rsid w:val="558573DB"/>
    <w:rsid w:val="5C136199"/>
    <w:rsid w:val="5C3A0706"/>
    <w:rsid w:val="5DE7484B"/>
    <w:rsid w:val="64E931E3"/>
    <w:rsid w:val="66A51851"/>
    <w:rsid w:val="66B965E1"/>
    <w:rsid w:val="69873AB3"/>
    <w:rsid w:val="6C8E746B"/>
    <w:rsid w:val="6E3F6EF0"/>
    <w:rsid w:val="708F3BB8"/>
    <w:rsid w:val="719659D9"/>
    <w:rsid w:val="71C8157E"/>
    <w:rsid w:val="725A66EE"/>
    <w:rsid w:val="72A94794"/>
    <w:rsid w:val="7541731A"/>
    <w:rsid w:val="76A20D70"/>
    <w:rsid w:val="779A4F31"/>
    <w:rsid w:val="789D2BDD"/>
    <w:rsid w:val="78A31485"/>
    <w:rsid w:val="7C380B0B"/>
    <w:rsid w:val="7CFB30C4"/>
    <w:rsid w:val="7F1D6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1"/>
      <w:szCs w:val="22"/>
      <w:lang w:val="en-US" w:eastAsia="en-US" w:bidi="ar-SA"/>
    </w:rPr>
  </w:style>
  <w:style w:type="paragraph" w:styleId="2">
    <w:name w:val="heading 1"/>
    <w:basedOn w:val="1"/>
    <w:next w:val="3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宋体"/>
      <w:b/>
      <w:kern w:val="32"/>
      <w:sz w:val="28"/>
      <w:lang w:eastAsia="zh-CN"/>
    </w:rPr>
  </w:style>
  <w:style w:type="paragraph" w:styleId="4">
    <w:name w:val="heading 2"/>
    <w:basedOn w:val="1"/>
    <w:next w:val="3"/>
    <w:unhideWhenUsed/>
    <w:qFormat/>
    <w:uiPriority w:val="0"/>
    <w:pPr>
      <w:keepNext/>
      <w:numPr>
        <w:ilvl w:val="1"/>
        <w:numId w:val="1"/>
      </w:numPr>
      <w:tabs>
        <w:tab w:val="left" w:pos="-806"/>
      </w:tabs>
      <w:spacing w:before="240" w:after="120"/>
      <w:outlineLvl w:val="1"/>
    </w:pPr>
    <w:rPr>
      <w:rFonts w:ascii="Arial" w:hAnsi="Arial" w:eastAsia="MS Mincho"/>
      <w:b/>
      <w:sz w:val="24"/>
      <w:lang w:eastAsia="zh-CN"/>
    </w:rPr>
  </w:style>
  <w:style w:type="paragraph" w:styleId="5">
    <w:name w:val="heading 3"/>
    <w:basedOn w:val="4"/>
    <w:next w:val="1"/>
    <w:link w:val="24"/>
    <w:qFormat/>
    <w:uiPriority w:val="0"/>
    <w:pPr>
      <w:keepLines/>
      <w:numPr>
        <w:ilvl w:val="0"/>
        <w:numId w:val="0"/>
      </w:numPr>
      <w:tabs>
        <w:tab w:val="left" w:pos="720"/>
        <w:tab w:val="clear" w:pos="-806"/>
      </w:tabs>
      <w:overflowPunct w:val="0"/>
      <w:autoSpaceDE w:val="0"/>
      <w:autoSpaceDN w:val="0"/>
      <w:adjustRightInd w:val="0"/>
      <w:spacing w:before="120" w:after="180"/>
      <w:ind w:left="720" w:hanging="720"/>
      <w:textAlignment w:val="baseline"/>
      <w:outlineLvl w:val="2"/>
    </w:pPr>
    <w:rPr>
      <w:rFonts w:eastAsia="Times New Roman" w:cs="Arial"/>
      <w:b w:val="0"/>
      <w:sz w:val="28"/>
      <w:szCs w:val="28"/>
      <w:lang w:val="en-GB"/>
    </w:rPr>
  </w:style>
  <w:style w:type="paragraph" w:styleId="6">
    <w:name w:val="heading 4"/>
    <w:basedOn w:val="5"/>
    <w:next w:val="1"/>
    <w:link w:val="25"/>
    <w:qFormat/>
    <w:uiPriority w:val="0"/>
    <w:pPr>
      <w:tabs>
        <w:tab w:val="left" w:pos="864"/>
        <w:tab w:val="clear" w:pos="720"/>
      </w:tabs>
      <w:ind w:left="864" w:hanging="864"/>
      <w:outlineLvl w:val="3"/>
    </w:pPr>
    <w:rPr>
      <w:sz w:val="24"/>
      <w:szCs w:val="24"/>
    </w:rPr>
  </w:style>
  <w:style w:type="paragraph" w:styleId="7">
    <w:name w:val="heading 5"/>
    <w:basedOn w:val="6"/>
    <w:next w:val="1"/>
    <w:link w:val="26"/>
    <w:qFormat/>
    <w:uiPriority w:val="0"/>
    <w:pPr>
      <w:tabs>
        <w:tab w:val="left" w:pos="1008"/>
        <w:tab w:val="clear" w:pos="864"/>
      </w:tabs>
      <w:ind w:left="1008" w:hanging="1008"/>
      <w:outlineLvl w:val="4"/>
    </w:pPr>
    <w:rPr>
      <w:sz w:val="22"/>
      <w:szCs w:val="22"/>
    </w:rPr>
  </w:style>
  <w:style w:type="paragraph" w:styleId="8">
    <w:name w:val="heading 6"/>
    <w:basedOn w:val="1"/>
    <w:next w:val="1"/>
    <w:link w:val="27"/>
    <w:qFormat/>
    <w:uiPriority w:val="0"/>
    <w:pPr>
      <w:keepNext/>
      <w:keepLines/>
      <w:tabs>
        <w:tab w:val="left" w:pos="1152"/>
      </w:tabs>
      <w:overflowPunct w:val="0"/>
      <w:autoSpaceDE w:val="0"/>
      <w:autoSpaceDN w:val="0"/>
      <w:adjustRightInd w:val="0"/>
      <w:spacing w:before="120" w:after="120"/>
      <w:ind w:left="1152" w:hanging="1152"/>
      <w:jc w:val="both"/>
      <w:textAlignment w:val="baseline"/>
      <w:outlineLvl w:val="5"/>
    </w:pPr>
    <w:rPr>
      <w:rFonts w:ascii="Arial" w:hAnsi="Arial" w:cs="Arial"/>
      <w:sz w:val="20"/>
      <w:szCs w:val="20"/>
      <w:lang w:val="en-GB" w:eastAsia="zh-CN"/>
    </w:rPr>
  </w:style>
  <w:style w:type="paragraph" w:styleId="9">
    <w:name w:val="heading 7"/>
    <w:basedOn w:val="1"/>
    <w:next w:val="1"/>
    <w:link w:val="28"/>
    <w:qFormat/>
    <w:uiPriority w:val="0"/>
    <w:pPr>
      <w:keepNext/>
      <w:keepLines/>
      <w:tabs>
        <w:tab w:val="left" w:pos="1296"/>
      </w:tabs>
      <w:overflowPunct w:val="0"/>
      <w:autoSpaceDE w:val="0"/>
      <w:autoSpaceDN w:val="0"/>
      <w:adjustRightInd w:val="0"/>
      <w:spacing w:before="120" w:after="120"/>
      <w:ind w:left="1296" w:hanging="1296"/>
      <w:jc w:val="both"/>
      <w:textAlignment w:val="baseline"/>
      <w:outlineLvl w:val="6"/>
    </w:pPr>
    <w:rPr>
      <w:rFonts w:ascii="Arial" w:hAnsi="Arial" w:cs="Arial"/>
      <w:sz w:val="20"/>
      <w:szCs w:val="20"/>
      <w:lang w:val="en-GB" w:eastAsia="zh-CN"/>
    </w:rPr>
  </w:style>
  <w:style w:type="paragraph" w:styleId="10">
    <w:name w:val="heading 8"/>
    <w:basedOn w:val="9"/>
    <w:next w:val="1"/>
    <w:link w:val="29"/>
    <w:qFormat/>
    <w:uiPriority w:val="0"/>
    <w:pPr>
      <w:tabs>
        <w:tab w:val="left" w:pos="1440"/>
        <w:tab w:val="clear" w:pos="1296"/>
      </w:tabs>
      <w:ind w:left="1440" w:hanging="1440"/>
      <w:outlineLvl w:val="7"/>
    </w:pPr>
  </w:style>
  <w:style w:type="paragraph" w:styleId="11">
    <w:name w:val="heading 9"/>
    <w:basedOn w:val="10"/>
    <w:next w:val="1"/>
    <w:link w:val="30"/>
    <w:qFormat/>
    <w:uiPriority w:val="0"/>
    <w:pPr>
      <w:tabs>
        <w:tab w:val="left" w:pos="1584"/>
        <w:tab w:val="clear" w:pos="1440"/>
      </w:tabs>
      <w:ind w:left="1584" w:hanging="1584"/>
      <w:outlineLvl w:val="8"/>
    </w:pPr>
  </w:style>
  <w:style w:type="character" w:default="1" w:styleId="16">
    <w:name w:val="Default Paragraph Font"/>
    <w:unhideWhenUsed/>
    <w:uiPriority w:val="1"/>
  </w:style>
  <w:style w:type="table" w:default="1" w:styleId="1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iPriority w:val="0"/>
    <w:pPr>
      <w:spacing w:after="120"/>
      <w:jc w:val="both"/>
    </w:pPr>
    <w:rPr>
      <w:rFonts w:eastAsia="MS Mincho"/>
    </w:rPr>
  </w:style>
  <w:style w:type="paragraph" w:styleId="12">
    <w:name w:val="caption"/>
    <w:basedOn w:val="1"/>
    <w:next w:val="1"/>
    <w:link w:val="32"/>
    <w:unhideWhenUsed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13">
    <w:name w:val="Balloon Text"/>
    <w:basedOn w:val="1"/>
    <w:link w:val="20"/>
    <w:uiPriority w:val="0"/>
    <w:rPr>
      <w:sz w:val="18"/>
      <w:szCs w:val="18"/>
    </w:rPr>
  </w:style>
  <w:style w:type="paragraph" w:styleId="14">
    <w:name w:val="footer"/>
    <w:basedOn w:val="1"/>
    <w:link w:val="2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15">
    <w:name w:val="header"/>
    <w:basedOn w:val="1"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table" w:styleId="18">
    <w:name w:val="Table Grid"/>
    <w:basedOn w:val="17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20" w:after="20"/>
    </w:pPr>
    <w:rPr>
      <w:rFonts w:eastAsiaTheme="minorEastAsia"/>
    </w:rPr>
  </w:style>
  <w:style w:type="character" w:customStyle="1" w:styleId="20">
    <w:name w:val="批注框文本 Char"/>
    <w:basedOn w:val="16"/>
    <w:link w:val="13"/>
    <w:uiPriority w:val="0"/>
    <w:rPr>
      <w:rFonts w:ascii="Times New Roman" w:hAnsi="Times New Roman" w:eastAsia="Times New Roman" w:cs="Times New Roman"/>
      <w:sz w:val="18"/>
      <w:szCs w:val="18"/>
      <w:lang w:eastAsia="en-US"/>
    </w:rPr>
  </w:style>
  <w:style w:type="character" w:customStyle="1" w:styleId="21">
    <w:name w:val="页脚 Char"/>
    <w:basedOn w:val="16"/>
    <w:link w:val="14"/>
    <w:uiPriority w:val="0"/>
    <w:rPr>
      <w:rFonts w:ascii="Times New Roman" w:hAnsi="Times New Roman" w:eastAsia="Times New Roman" w:cs="Times New Roman"/>
      <w:sz w:val="18"/>
      <w:szCs w:val="18"/>
      <w:lang w:eastAsia="en-US"/>
    </w:rPr>
  </w:style>
  <w:style w:type="paragraph" w:customStyle="1" w:styleId="22">
    <w:name w:val="Revision"/>
    <w:hidden/>
    <w:unhideWhenUsed/>
    <w:qFormat/>
    <w:uiPriority w:val="99"/>
    <w:rPr>
      <w:rFonts w:ascii="Times New Roman" w:hAnsi="Times New Roman" w:eastAsia="Times New Roman" w:cs="Times New Roman"/>
      <w:sz w:val="21"/>
      <w:szCs w:val="22"/>
      <w:lang w:val="en-US" w:eastAsia="en-US" w:bidi="ar-SA"/>
    </w:rPr>
  </w:style>
  <w:style w:type="paragraph" w:customStyle="1" w:styleId="23">
    <w:name w:val="Reference"/>
    <w:basedOn w:val="1"/>
    <w:qFormat/>
    <w:uiPriority w:val="0"/>
    <w:pPr>
      <w:keepLines/>
      <w:numPr>
        <w:ilvl w:val="1"/>
        <w:numId w:val="2"/>
      </w:numPr>
      <w:spacing w:after="180"/>
    </w:pPr>
    <w:rPr>
      <w:rFonts w:eastAsia="MS Mincho"/>
      <w:sz w:val="20"/>
      <w:szCs w:val="20"/>
      <w:lang w:val="en-GB"/>
    </w:rPr>
  </w:style>
  <w:style w:type="character" w:customStyle="1" w:styleId="24">
    <w:name w:val="标题 3 Char"/>
    <w:basedOn w:val="16"/>
    <w:link w:val="5"/>
    <w:qFormat/>
    <w:uiPriority w:val="0"/>
    <w:rPr>
      <w:rFonts w:ascii="Arial" w:hAnsi="Arial" w:eastAsia="Times New Roman" w:cs="Arial"/>
      <w:sz w:val="28"/>
      <w:szCs w:val="28"/>
      <w:lang w:val="en-GB"/>
    </w:rPr>
  </w:style>
  <w:style w:type="character" w:customStyle="1" w:styleId="25">
    <w:name w:val="标题 4 Char"/>
    <w:basedOn w:val="16"/>
    <w:link w:val="6"/>
    <w:qFormat/>
    <w:uiPriority w:val="0"/>
    <w:rPr>
      <w:rFonts w:ascii="Arial" w:hAnsi="Arial" w:eastAsia="Times New Roman" w:cs="Arial"/>
      <w:sz w:val="24"/>
      <w:szCs w:val="24"/>
      <w:lang w:val="en-GB"/>
    </w:rPr>
  </w:style>
  <w:style w:type="character" w:customStyle="1" w:styleId="26">
    <w:name w:val="标题 5 Char"/>
    <w:basedOn w:val="16"/>
    <w:link w:val="7"/>
    <w:qFormat/>
    <w:uiPriority w:val="0"/>
    <w:rPr>
      <w:rFonts w:ascii="Arial" w:hAnsi="Arial" w:eastAsia="Times New Roman" w:cs="Arial"/>
      <w:sz w:val="22"/>
      <w:szCs w:val="22"/>
      <w:lang w:val="en-GB"/>
    </w:rPr>
  </w:style>
  <w:style w:type="character" w:customStyle="1" w:styleId="27">
    <w:name w:val="标题 6 Char"/>
    <w:basedOn w:val="16"/>
    <w:link w:val="8"/>
    <w:qFormat/>
    <w:uiPriority w:val="0"/>
    <w:rPr>
      <w:rFonts w:ascii="Arial" w:hAnsi="Arial" w:eastAsia="Times New Roman" w:cs="Arial"/>
      <w:lang w:val="en-GB"/>
    </w:rPr>
  </w:style>
  <w:style w:type="character" w:customStyle="1" w:styleId="28">
    <w:name w:val="标题 7 Char"/>
    <w:basedOn w:val="16"/>
    <w:link w:val="9"/>
    <w:qFormat/>
    <w:uiPriority w:val="0"/>
    <w:rPr>
      <w:rFonts w:ascii="Arial" w:hAnsi="Arial" w:eastAsia="Times New Roman" w:cs="Arial"/>
      <w:lang w:val="en-GB"/>
    </w:rPr>
  </w:style>
  <w:style w:type="character" w:customStyle="1" w:styleId="29">
    <w:name w:val="标题 8 Char"/>
    <w:basedOn w:val="16"/>
    <w:link w:val="10"/>
    <w:uiPriority w:val="0"/>
    <w:rPr>
      <w:rFonts w:ascii="Arial" w:hAnsi="Arial" w:eastAsia="Times New Roman" w:cs="Arial"/>
      <w:lang w:val="en-GB"/>
    </w:rPr>
  </w:style>
  <w:style w:type="character" w:customStyle="1" w:styleId="30">
    <w:name w:val="标题 9 Char"/>
    <w:basedOn w:val="16"/>
    <w:link w:val="11"/>
    <w:uiPriority w:val="0"/>
    <w:rPr>
      <w:rFonts w:ascii="Arial" w:hAnsi="Arial" w:eastAsia="Times New Roman" w:cs="Arial"/>
      <w:lang w:val="en-GB"/>
    </w:rPr>
  </w:style>
  <w:style w:type="paragraph" w:styleId="31">
    <w:name w:val="List Paragraph"/>
    <w:basedOn w:val="1"/>
    <w:link w:val="33"/>
    <w:unhideWhenUsed/>
    <w:qFormat/>
    <w:uiPriority w:val="34"/>
    <w:pPr>
      <w:ind w:firstLine="420" w:firstLineChars="200"/>
    </w:pPr>
  </w:style>
  <w:style w:type="character" w:customStyle="1" w:styleId="32">
    <w:name w:val="题注 Char"/>
    <w:basedOn w:val="16"/>
    <w:link w:val="12"/>
    <w:uiPriority w:val="0"/>
    <w:rPr>
      <w:rFonts w:ascii="Times New Roman" w:hAnsi="Times New Roman" w:eastAsia="Times New Roman" w:cs="Times New Roman"/>
      <w:sz w:val="21"/>
      <w:szCs w:val="22"/>
      <w:lang w:val="en-GB" w:eastAsia="en-US"/>
    </w:rPr>
  </w:style>
  <w:style w:type="character" w:customStyle="1" w:styleId="33">
    <w:name w:val="列出段落 Char"/>
    <w:link w:val="31"/>
    <w:uiPriority w:val="34"/>
    <w:rPr>
      <w:rFonts w:ascii="Times New Roman" w:hAnsi="Times New Roman" w:eastAsia="Times New Roman" w:cs="Times New Roman"/>
      <w:sz w:val="21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1174</Words>
  <Characters>6692</Characters>
  <Lines>55</Lines>
  <Paragraphs>15</Paragraphs>
  <TotalTime>0</TotalTime>
  <ScaleCrop>false</ScaleCrop>
  <LinksUpToDate>false</LinksUpToDate>
  <CharactersWithSpaces>7851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2018-04-05T14:52:00Z</dcterms:created>
  <dc:creator>Administrator</dc:creator>
  <cp:lastModifiedBy>韩万言</cp:lastModifiedBy>
  <dcterms:modified xsi:type="dcterms:W3CDTF">2018-04-06T03:03:33Z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