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0EEA95C" w:rsidR="00CE5F5F" w:rsidRPr="008E769D" w:rsidRDefault="000C63E6" w:rsidP="00CE5F5F">
      <w:pPr>
        <w:tabs>
          <w:tab w:val="right" w:pos="10000"/>
        </w:tabs>
        <w:spacing w:after="0"/>
        <w:rPr>
          <w:rFonts w:ascii="Arial" w:hAnsi="Arial" w:cs="Arial"/>
          <w:b/>
          <w:sz w:val="22"/>
          <w:szCs w:val="24"/>
        </w:rPr>
      </w:pPr>
      <w:bookmarkStart w:id="0" w:name="_GoBack"/>
      <w:bookmarkEnd w:id="0"/>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095224">
        <w:rPr>
          <w:rFonts w:ascii="Arial" w:hAnsi="Arial" w:cs="Arial"/>
          <w:b/>
          <w:sz w:val="22"/>
          <w:szCs w:val="24"/>
        </w:rPr>
        <w:t>#92</w:t>
      </w:r>
      <w:r w:rsidR="00CE5F5F" w:rsidRPr="008E769D">
        <w:rPr>
          <w:rFonts w:ascii="Arial" w:hAnsi="Arial" w:cs="Arial"/>
          <w:b/>
          <w:sz w:val="22"/>
          <w:szCs w:val="24"/>
        </w:rPr>
        <w:tab/>
      </w:r>
      <w:r w:rsidR="005203D8" w:rsidRPr="005203D8">
        <w:rPr>
          <w:rFonts w:ascii="Arial" w:hAnsi="Arial" w:cs="Arial"/>
          <w:b/>
          <w:sz w:val="22"/>
          <w:szCs w:val="24"/>
        </w:rPr>
        <w:t>R1-180</w:t>
      </w:r>
      <w:r w:rsidR="003B0518">
        <w:rPr>
          <w:rFonts w:ascii="Arial" w:hAnsi="Arial" w:cs="Arial"/>
          <w:b/>
          <w:sz w:val="22"/>
          <w:szCs w:val="24"/>
        </w:rPr>
        <w:t>xxxx</w:t>
      </w:r>
    </w:p>
    <w:p w14:paraId="1DBE0C1E" w14:textId="3D654A52"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proofErr w:type="gramStart"/>
      <w:r>
        <w:rPr>
          <w:rFonts w:cs="Arial"/>
          <w:i w:val="0"/>
          <w:noProof w:val="0"/>
          <w:sz w:val="22"/>
          <w:szCs w:val="24"/>
          <w:vertAlign w:val="superscript"/>
        </w:rPr>
        <w:t>nd</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2018</w:t>
      </w:r>
      <w:proofErr w:type="gramEnd"/>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1" w:name="_Hlk495298459"/>
    </w:p>
    <w:p w14:paraId="00A480DC" w14:textId="2169F855"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0A4A8F">
        <w:rPr>
          <w:rFonts w:ascii="Arial" w:hAnsi="Arial"/>
          <w:sz w:val="22"/>
        </w:rPr>
        <w:t>1.3.3.5</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F6021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4514DA">
        <w:rPr>
          <w:rFonts w:ascii="Arial" w:hAnsi="Arial"/>
          <w:sz w:val="22"/>
        </w:rPr>
        <w:t>Remaining issues on soft buffer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8221CB6" w14:textId="4EED0F29" w:rsidR="00F576EB" w:rsidRPr="00F25C12" w:rsidRDefault="00B524B6" w:rsidP="008A71BE">
      <w:pPr>
        <w:pStyle w:val="Heading1"/>
        <w:rPr>
          <w:lang w:val="en-US"/>
        </w:rPr>
      </w:pPr>
      <w:r w:rsidRPr="008E769D">
        <w:rPr>
          <w:lang w:val="en-US"/>
        </w:rPr>
        <w:t>Introduction</w:t>
      </w:r>
    </w:p>
    <w:p w14:paraId="2D5A3219" w14:textId="4861DB7D" w:rsidR="00AE4A10" w:rsidRDefault="004514DA" w:rsidP="004514DA">
      <w:r>
        <w:t>In the previous RAN1 AH 1801, the following agreements were made regarding soft buffer management.</w:t>
      </w:r>
    </w:p>
    <w:p w14:paraId="75F65357" w14:textId="77777777" w:rsidR="00F1109E" w:rsidRPr="00A87FBF" w:rsidRDefault="00F1109E" w:rsidP="00F1109E">
      <w:pPr>
        <w:rPr>
          <w:b/>
          <w:lang w:eastAsia="x-none"/>
        </w:rPr>
      </w:pPr>
      <w:r w:rsidRPr="00A87FBF">
        <w:rPr>
          <w:highlight w:val="green"/>
          <w:lang w:eastAsia="x-none"/>
        </w:rPr>
        <w:t>Agreements</w:t>
      </w:r>
      <w:r w:rsidRPr="00A87FBF">
        <w:rPr>
          <w:b/>
          <w:lang w:eastAsia="x-none"/>
        </w:rPr>
        <w:t>:</w:t>
      </w:r>
    </w:p>
    <w:p w14:paraId="05E8220D" w14:textId="77777777" w:rsidR="00F1109E" w:rsidRPr="00A87FBF" w:rsidRDefault="00F1109E" w:rsidP="0047694E">
      <w:pPr>
        <w:numPr>
          <w:ilvl w:val="0"/>
          <w:numId w:val="7"/>
        </w:numPr>
        <w:overflowPunct/>
        <w:autoSpaceDE/>
        <w:autoSpaceDN/>
        <w:adjustRightInd/>
        <w:spacing w:after="0"/>
        <w:textAlignment w:val="auto"/>
      </w:pPr>
      <w:r w:rsidRPr="00A87FBF">
        <w:t>In 38.212, sec 5.4.2.1, clarify (by adding red text) that for TBS</w:t>
      </w:r>
      <w:r w:rsidRPr="00A87FBF">
        <w:rPr>
          <w:vertAlign w:val="subscript"/>
        </w:rPr>
        <w:t>LBRM</w:t>
      </w:r>
      <w:r w:rsidRPr="00A87FBF">
        <w:t xml:space="preserve"> calculation, the “max number of MIMO layers supported by the UE” is the “maximum number of MIMO layers </w:t>
      </w:r>
      <w:r w:rsidRPr="00A87FBF">
        <w:rPr>
          <w:color w:val="FF0000"/>
          <w:u w:val="single"/>
        </w:rPr>
        <w:t>for one TB</w:t>
      </w:r>
      <w:r w:rsidRPr="00A87FBF">
        <w:t xml:space="preserve"> supported by the UE for the serving cell”.</w:t>
      </w:r>
    </w:p>
    <w:p w14:paraId="356F0080" w14:textId="77777777" w:rsidR="00F1109E" w:rsidRDefault="00F1109E" w:rsidP="00F1109E">
      <w:pPr>
        <w:rPr>
          <w:b/>
          <w:lang w:eastAsia="x-none"/>
        </w:rPr>
      </w:pPr>
    </w:p>
    <w:p w14:paraId="1B48037B" w14:textId="77777777" w:rsidR="00F1109E" w:rsidRPr="000A2336" w:rsidRDefault="00F1109E" w:rsidP="00F1109E">
      <w:pPr>
        <w:rPr>
          <w:lang w:eastAsia="x-none"/>
        </w:rPr>
      </w:pPr>
      <w:r w:rsidRPr="000A2336">
        <w:rPr>
          <w:highlight w:val="green"/>
          <w:lang w:eastAsia="x-none"/>
        </w:rPr>
        <w:t>Agreements</w:t>
      </w:r>
      <w:r w:rsidRPr="000A2336">
        <w:rPr>
          <w:lang w:eastAsia="x-none"/>
        </w:rPr>
        <w:t>:</w:t>
      </w:r>
    </w:p>
    <w:p w14:paraId="34BA557C" w14:textId="77777777" w:rsidR="00F1109E" w:rsidRPr="000A2336" w:rsidRDefault="00F1109E" w:rsidP="0047694E">
      <w:pPr>
        <w:numPr>
          <w:ilvl w:val="0"/>
          <w:numId w:val="9"/>
        </w:numPr>
        <w:overflowPunct/>
        <w:autoSpaceDE/>
        <w:autoSpaceDN/>
        <w:adjustRightInd/>
        <w:spacing w:after="0"/>
        <w:textAlignment w:val="auto"/>
      </w:pPr>
      <w:r w:rsidRPr="000A2336">
        <w:t>Prior to RRC configuration, TBS_LBRM should be derived based on reference value for maximum number of layers and for maximum modulation order.</w:t>
      </w:r>
    </w:p>
    <w:p w14:paraId="6B6E3AAE" w14:textId="77777777" w:rsidR="00F1109E" w:rsidRPr="000A2336" w:rsidRDefault="00F1109E" w:rsidP="0047694E">
      <w:pPr>
        <w:pStyle w:val="ListParagraph"/>
        <w:numPr>
          <w:ilvl w:val="0"/>
          <w:numId w:val="8"/>
        </w:numPr>
        <w:spacing w:after="160" w:line="259" w:lineRule="auto"/>
        <w:contextualSpacing/>
        <w:rPr>
          <w:szCs w:val="20"/>
        </w:rPr>
      </w:pPr>
      <w:r w:rsidRPr="000A2336">
        <w:rPr>
          <w:szCs w:val="20"/>
        </w:rPr>
        <w:t>Reference values should be specified for Rel-15 at least for downlink</w:t>
      </w:r>
    </w:p>
    <w:p w14:paraId="7ECE0DBB" w14:textId="77777777" w:rsidR="00F1109E" w:rsidRPr="00460A13" w:rsidRDefault="00F1109E" w:rsidP="00F1109E">
      <w:pPr>
        <w:rPr>
          <w:lang w:eastAsia="x-none"/>
        </w:rPr>
      </w:pPr>
      <w:r w:rsidRPr="00460A13">
        <w:rPr>
          <w:highlight w:val="green"/>
          <w:lang w:eastAsia="x-none"/>
        </w:rPr>
        <w:t>Agreements</w:t>
      </w:r>
      <w:r w:rsidRPr="00460A13">
        <w:rPr>
          <w:lang w:eastAsia="x-none"/>
        </w:rPr>
        <w:t>:</w:t>
      </w:r>
    </w:p>
    <w:p w14:paraId="41F1CE1F" w14:textId="77777777" w:rsidR="00F1109E" w:rsidRPr="00460A13" w:rsidRDefault="00F1109E" w:rsidP="0047694E">
      <w:pPr>
        <w:numPr>
          <w:ilvl w:val="0"/>
          <w:numId w:val="8"/>
        </w:numPr>
        <w:overflowPunct/>
        <w:autoSpaceDE/>
        <w:autoSpaceDN/>
        <w:adjustRightInd/>
        <w:spacing w:after="0"/>
        <w:textAlignment w:val="auto"/>
      </w:pPr>
      <w:r w:rsidRPr="00460A13">
        <w:t xml:space="preserve">Details of soft buffer dimensioning are up to UE implementation. RAN1 recommends RAN4 to define suitable test cases. </w:t>
      </w:r>
      <w:r w:rsidRPr="004D64EE">
        <w:t xml:space="preserve">Send an LS to RAN4 – </w:t>
      </w:r>
      <w:hyperlink r:id="rId12" w:history="1">
        <w:r w:rsidRPr="006C318F">
          <w:rPr>
            <w:rStyle w:val="Hyperlink"/>
            <w:b/>
            <w:highlight w:val="green"/>
          </w:rPr>
          <w:t>R1-1801139</w:t>
        </w:r>
      </w:hyperlink>
    </w:p>
    <w:p w14:paraId="08BF9270" w14:textId="77777777" w:rsidR="00F1109E" w:rsidRDefault="00F1109E" w:rsidP="004514DA"/>
    <w:p w14:paraId="07EBA227" w14:textId="5F9961AD" w:rsidR="00F1109E" w:rsidRDefault="00F1109E" w:rsidP="004514DA">
      <w:r>
        <w:t>The submissions for this meeting addressed several topics, including the open items indicated in above agreements. We provide a summary of these in the next sections for each topic.</w:t>
      </w:r>
    </w:p>
    <w:p w14:paraId="4C6A24DA" w14:textId="07405747" w:rsidR="00F1109E" w:rsidRDefault="00F1109E" w:rsidP="00F1109E">
      <w:pPr>
        <w:pStyle w:val="Heading2"/>
      </w:pPr>
      <w:r>
        <w:t>Reference values prior to RRC</w:t>
      </w:r>
    </w:p>
    <w:p w14:paraId="5C39CE84" w14:textId="77777777" w:rsidR="00870A96" w:rsidRDefault="003853CC" w:rsidP="003853CC">
      <w:pPr>
        <w:rPr>
          <w:lang w:val="en-GB"/>
        </w:rPr>
      </w:pPr>
      <w:r>
        <w:rPr>
          <w:lang w:val="en-GB"/>
        </w:rPr>
        <w:t xml:space="preserve">Since the LBRM operation in 38.212 specification relies on configured values of bandwidth part and modulation, or UE capabilities on number of supportable layers, there can be some ambiguity prior to RRC. </w:t>
      </w:r>
    </w:p>
    <w:p w14:paraId="7B849ACC" w14:textId="65D29F65" w:rsidR="00870A96" w:rsidRDefault="00870A96" w:rsidP="003853CC">
      <w:pPr>
        <w:rPr>
          <w:lang w:val="en-GB"/>
        </w:rPr>
      </w:pPr>
      <w:r>
        <w:rPr>
          <w:lang w:val="en-GB"/>
        </w:rPr>
        <w:t>The PDSCH transmissions in these cases could be categorized into the following.</w:t>
      </w:r>
    </w:p>
    <w:p w14:paraId="6EBAE34D" w14:textId="77777777" w:rsidR="00870A96" w:rsidRDefault="00870A96" w:rsidP="0047694E">
      <w:pPr>
        <w:pStyle w:val="ListParagraph"/>
        <w:numPr>
          <w:ilvl w:val="0"/>
          <w:numId w:val="8"/>
        </w:numPr>
        <w:ind w:left="720"/>
        <w:rPr>
          <w:lang w:val="en-GB"/>
        </w:rPr>
      </w:pPr>
      <w:r w:rsidRPr="00870A96">
        <w:rPr>
          <w:lang w:val="en-GB"/>
        </w:rPr>
        <w:t>RMSI (Sib1/2) Reception – PDCCH monitored by SI-RNTI is conveying this PDSCH</w:t>
      </w:r>
    </w:p>
    <w:p w14:paraId="5731B3C6" w14:textId="6554575C" w:rsidR="00870A96" w:rsidRPr="00870A96" w:rsidRDefault="00870A96" w:rsidP="0047694E">
      <w:pPr>
        <w:pStyle w:val="ListParagraph"/>
        <w:numPr>
          <w:ilvl w:val="0"/>
          <w:numId w:val="8"/>
        </w:numPr>
        <w:ind w:left="720"/>
        <w:rPr>
          <w:lang w:val="en-GB"/>
        </w:rPr>
      </w:pPr>
      <w:proofErr w:type="spellStart"/>
      <w:r w:rsidRPr="00870A96">
        <w:rPr>
          <w:lang w:val="en-GB"/>
        </w:rPr>
        <w:t>Msg</w:t>
      </w:r>
      <w:proofErr w:type="spellEnd"/>
      <w:r w:rsidRPr="00870A96">
        <w:rPr>
          <w:lang w:val="en-GB"/>
        </w:rPr>
        <w:t xml:space="preserve"> 1/Msg2Msg 3/Msg4 – PDCCH monitored </w:t>
      </w:r>
      <w:proofErr w:type="gramStart"/>
      <w:r w:rsidRPr="00870A96">
        <w:rPr>
          <w:lang w:val="en-GB"/>
        </w:rPr>
        <w:t>by  RNTI’s</w:t>
      </w:r>
      <w:proofErr w:type="gramEnd"/>
      <w:r w:rsidRPr="00870A96">
        <w:rPr>
          <w:lang w:val="en-GB"/>
        </w:rPr>
        <w:t xml:space="preserve"> other than SI-RNTI such as RA-RNTI/TC-RNTI etc</w:t>
      </w:r>
    </w:p>
    <w:p w14:paraId="51750759" w14:textId="552DA6CE" w:rsidR="00870A96" w:rsidRDefault="00870A96" w:rsidP="00870A96">
      <w:pPr>
        <w:rPr>
          <w:lang w:val="en-GB"/>
        </w:rPr>
      </w:pPr>
      <w:r>
        <w:rPr>
          <w:lang w:val="en-GB"/>
        </w:rPr>
        <w:br/>
        <w:t>Here, the TBS sizes are expected to be fairly small, generally not drive the hardware provisioning on the data channel at the receiver. The only requirement is that the reference values be large enough to allow these messages to be transmitted with sufficient IR HARQ support. There are several proposals related to bounding this efficiently, e.g., in [1] the specification would use the largest TBS among all of the RMSI/OSI/Msg4/paging messages and presumably allow such messages to be coded down to R</w:t>
      </w:r>
      <w:r w:rsidRPr="00870A96">
        <w:rPr>
          <w:vertAlign w:val="subscript"/>
          <w:lang w:val="en-GB"/>
        </w:rPr>
        <w:t>LBRM</w:t>
      </w:r>
      <w:r>
        <w:rPr>
          <w:lang w:val="en-GB"/>
        </w:rPr>
        <w:t>, while in [2] and [6] a maximum modulation and numbers of layers would be supported so that those messages might achieve a lower coding rate while the buffer is still fairly limited. Overall, selection of a maximum based on [2] and [6] should be all inclusive.</w:t>
      </w:r>
    </w:p>
    <w:p w14:paraId="5365001E" w14:textId="2ABE15AF" w:rsidR="00870A96" w:rsidRPr="00870A96" w:rsidRDefault="00870A96" w:rsidP="00870A96">
      <w:pPr>
        <w:rPr>
          <w:b/>
          <w:lang w:val="en-GB"/>
        </w:rPr>
      </w:pPr>
      <w:r w:rsidRPr="00870A96">
        <w:rPr>
          <w:b/>
          <w:u w:val="single"/>
          <w:lang w:val="en-GB"/>
        </w:rPr>
        <w:lastRenderedPageBreak/>
        <w:t>Proposal</w:t>
      </w:r>
      <w:r w:rsidR="00722CE8">
        <w:rPr>
          <w:b/>
          <w:u w:val="single"/>
          <w:lang w:val="en-GB"/>
        </w:rPr>
        <w:t xml:space="preserve"> 1</w:t>
      </w:r>
      <w:r w:rsidRPr="00870A96">
        <w:rPr>
          <w:b/>
          <w:u w:val="single"/>
          <w:lang w:val="en-GB"/>
        </w:rPr>
        <w:t>:</w:t>
      </w:r>
      <w:r w:rsidRPr="00870A96">
        <w:rPr>
          <w:b/>
          <w:lang w:val="en-GB"/>
        </w:rPr>
        <w:t xml:space="preserve"> </w:t>
      </w:r>
      <w:r w:rsidR="007E7625" w:rsidRPr="007E7625">
        <w:rPr>
          <w:i/>
          <w:lang w:val="en-GB"/>
        </w:rPr>
        <w:t>Priori to RRC configuration,</w:t>
      </w:r>
      <w:r w:rsidR="007E7625">
        <w:rPr>
          <w:lang w:val="en-GB"/>
        </w:rPr>
        <w:t xml:space="preserve"> </w:t>
      </w:r>
      <w:r w:rsidR="007E7625">
        <w:rPr>
          <w:i/>
          <w:lang w:val="en-GB"/>
        </w:rPr>
        <w:t>f</w:t>
      </w:r>
      <w:r w:rsidRPr="00870A96">
        <w:rPr>
          <w:i/>
          <w:lang w:val="en-GB"/>
        </w:rPr>
        <w:t>or DL</w:t>
      </w:r>
      <w:r w:rsidR="007E7625">
        <w:rPr>
          <w:i/>
          <w:lang w:val="en-GB"/>
        </w:rPr>
        <w:t xml:space="preserve"> </w:t>
      </w:r>
      <w:r w:rsidR="001962E3">
        <w:rPr>
          <w:i/>
          <w:lang w:val="en-GB"/>
        </w:rPr>
        <w:t>TB</w:t>
      </w:r>
      <w:r w:rsidR="007E7625" w:rsidRPr="00B06509">
        <w:rPr>
          <w:i/>
          <w:vertAlign w:val="subscript"/>
          <w:lang w:val="en-GB"/>
        </w:rPr>
        <w:t>LBRM</w:t>
      </w:r>
      <w:r w:rsidR="007E7625">
        <w:rPr>
          <w:i/>
          <w:lang w:val="en-GB"/>
        </w:rPr>
        <w:t xml:space="preserve"> </w:t>
      </w:r>
      <w:r w:rsidR="001A1E69">
        <w:rPr>
          <w:i/>
          <w:lang w:val="en-GB"/>
        </w:rPr>
        <w:t xml:space="preserve">calculation, </w:t>
      </w:r>
      <w:r w:rsidR="007E7625">
        <w:rPr>
          <w:i/>
          <w:lang w:val="en-GB"/>
        </w:rPr>
        <w:t xml:space="preserve">the </w:t>
      </w:r>
      <w:r w:rsidRPr="00870A96">
        <w:rPr>
          <w:i/>
          <w:lang w:val="en-GB"/>
        </w:rPr>
        <w:t xml:space="preserve">reference value for </w:t>
      </w:r>
      <w:r w:rsidR="001A1E69">
        <w:rPr>
          <w:i/>
          <w:lang w:val="en-GB"/>
        </w:rPr>
        <w:t>“</w:t>
      </w:r>
      <w:r w:rsidRPr="00870A96">
        <w:rPr>
          <w:i/>
          <w:lang w:val="en-GB"/>
        </w:rPr>
        <w:t xml:space="preserve">maximum number of layers for </w:t>
      </w:r>
      <w:r w:rsidR="001A1E69">
        <w:rPr>
          <w:i/>
          <w:lang w:val="en-GB"/>
        </w:rPr>
        <w:t>one</w:t>
      </w:r>
      <w:r w:rsidR="001A1E69" w:rsidRPr="00870A96">
        <w:rPr>
          <w:i/>
          <w:lang w:val="en-GB"/>
        </w:rPr>
        <w:t xml:space="preserve"> </w:t>
      </w:r>
      <w:r w:rsidRPr="00870A96">
        <w:rPr>
          <w:i/>
          <w:lang w:val="en-GB"/>
        </w:rPr>
        <w:t>TB</w:t>
      </w:r>
      <w:r w:rsidR="001A1E69">
        <w:rPr>
          <w:i/>
          <w:lang w:val="en-GB"/>
        </w:rPr>
        <w:t>”</w:t>
      </w:r>
      <w:r w:rsidRPr="00870A96">
        <w:rPr>
          <w:i/>
          <w:lang w:val="en-GB"/>
        </w:rPr>
        <w:t xml:space="preserve"> is </w:t>
      </w:r>
      <w:r w:rsidR="001962E3" w:rsidRPr="005A5202">
        <w:rPr>
          <w:i/>
        </w:rPr>
        <w:sym w:font="Symbol" w:char="F06E"/>
      </w:r>
      <w:r w:rsidR="001962E3">
        <w:rPr>
          <w:i/>
          <w:vertAlign w:val="subscript"/>
        </w:rPr>
        <w:t>ref</w:t>
      </w:r>
      <w:r w:rsidR="001962E3">
        <w:t xml:space="preserve"> </w:t>
      </w:r>
      <w:r w:rsidRPr="00870A96">
        <w:rPr>
          <w:i/>
          <w:lang w:val="en-GB"/>
        </w:rPr>
        <w:t xml:space="preserve">= 2, and the reference value for </w:t>
      </w:r>
      <w:r w:rsidR="001A1E69">
        <w:rPr>
          <w:i/>
          <w:lang w:val="en-GB"/>
        </w:rPr>
        <w:t>“</w:t>
      </w:r>
      <w:r w:rsidRPr="00870A96">
        <w:rPr>
          <w:i/>
          <w:lang w:val="en-GB"/>
        </w:rPr>
        <w:t>maximum modulation order</w:t>
      </w:r>
      <w:r w:rsidR="005440D6">
        <w:rPr>
          <w:i/>
          <w:lang w:val="en-GB"/>
        </w:rPr>
        <w:t>”</w:t>
      </w:r>
      <w:r w:rsidRPr="00870A96">
        <w:rPr>
          <w:i/>
          <w:lang w:val="en-GB"/>
        </w:rPr>
        <w:t xml:space="preserve"> is </w:t>
      </w:r>
      <w:proofErr w:type="spellStart"/>
      <w:proofErr w:type="gramStart"/>
      <w:r w:rsidRPr="00870A96">
        <w:rPr>
          <w:i/>
          <w:lang w:val="en-GB"/>
        </w:rPr>
        <w:t>Q</w:t>
      </w:r>
      <w:r w:rsidRPr="00870A96">
        <w:rPr>
          <w:i/>
          <w:vertAlign w:val="subscript"/>
          <w:lang w:val="en-GB"/>
        </w:rPr>
        <w:t>m,ref</w:t>
      </w:r>
      <w:proofErr w:type="spellEnd"/>
      <w:proofErr w:type="gramEnd"/>
      <w:r w:rsidRPr="00870A96">
        <w:rPr>
          <w:i/>
          <w:vertAlign w:val="subscript"/>
          <w:lang w:val="en-GB"/>
        </w:rPr>
        <w:t xml:space="preserve"> </w:t>
      </w:r>
      <w:r w:rsidRPr="00870A96">
        <w:rPr>
          <w:i/>
          <w:lang w:val="en-GB"/>
        </w:rPr>
        <w:t>= 6.</w:t>
      </w:r>
      <w:r w:rsidR="00115E09">
        <w:rPr>
          <w:i/>
          <w:lang w:val="en-GB"/>
        </w:rPr>
        <w:t xml:space="preserve"> T</w:t>
      </w:r>
      <w:r w:rsidR="00115E09" w:rsidRPr="00C83C86">
        <w:rPr>
          <w:i/>
          <w:lang w:val="en-GB"/>
        </w:rPr>
        <w:t xml:space="preserve">he </w:t>
      </w:r>
      <w:r w:rsidR="001A1E69">
        <w:rPr>
          <w:i/>
          <w:lang w:val="en-GB"/>
        </w:rPr>
        <w:t>“</w:t>
      </w:r>
      <w:r w:rsidR="001A1E69" w:rsidRPr="00B06509">
        <w:rPr>
          <w:i/>
          <w:lang w:val="en-GB"/>
        </w:rPr>
        <w:t>Maximum number of PRBs across all configured BWPs of a carrier</w:t>
      </w:r>
      <w:r w:rsidR="001A1E69">
        <w:rPr>
          <w:i/>
          <w:lang w:val="en-GB"/>
        </w:rPr>
        <w:t xml:space="preserve">” </w:t>
      </w:r>
      <w:r w:rsidR="00115E09" w:rsidRPr="00C83C86">
        <w:rPr>
          <w:i/>
          <w:lang w:val="en-GB"/>
        </w:rPr>
        <w:t>corresponds to that of the initial BWP.</w:t>
      </w:r>
    </w:p>
    <w:p w14:paraId="34A72F93" w14:textId="55D37DF0" w:rsidR="00870A96" w:rsidRDefault="00722CE8" w:rsidP="00870A96">
      <w:pPr>
        <w:rPr>
          <w:lang w:val="en-GB"/>
        </w:rPr>
      </w:pPr>
      <w:r>
        <w:rPr>
          <w:lang w:val="en-GB"/>
        </w:rPr>
        <w:t>For the uplink, initial access messages will need some assumption, and in [6] it was mentioned that disabling UL LBRM was considered the default. Therefore, we consider the proposal from [2].</w:t>
      </w:r>
    </w:p>
    <w:p w14:paraId="0BFA9D70" w14:textId="01536878" w:rsidR="00004CD5" w:rsidRDefault="00722CE8" w:rsidP="00004CD5">
      <w:pPr>
        <w:rPr>
          <w:lang w:val="en-GB"/>
        </w:rPr>
      </w:pPr>
      <w:r w:rsidRPr="00C83C86">
        <w:rPr>
          <w:b/>
          <w:u w:val="single"/>
          <w:lang w:val="en-GB"/>
        </w:rPr>
        <w:t>Proposal</w:t>
      </w:r>
      <w:r>
        <w:rPr>
          <w:b/>
          <w:u w:val="single"/>
          <w:lang w:val="en-GB"/>
        </w:rPr>
        <w:t xml:space="preserve"> 2</w:t>
      </w:r>
      <w:r w:rsidRPr="00C83C86">
        <w:rPr>
          <w:b/>
          <w:u w:val="single"/>
          <w:lang w:val="en-GB"/>
        </w:rPr>
        <w:t>:</w:t>
      </w:r>
      <w:r>
        <w:rPr>
          <w:lang w:val="en-GB"/>
        </w:rPr>
        <w:t xml:space="preserve"> </w:t>
      </w:r>
      <w:r w:rsidRPr="00C83C86">
        <w:rPr>
          <w:i/>
          <w:lang w:val="en-GB"/>
        </w:rPr>
        <w:t>Prior to RRC configuration</w:t>
      </w:r>
      <w:r>
        <w:rPr>
          <w:i/>
          <w:lang w:val="en-GB"/>
        </w:rPr>
        <w:t>, LBRM is disabled for PUSCH transmissions.</w:t>
      </w:r>
    </w:p>
    <w:p w14:paraId="77DB77AA" w14:textId="77777777" w:rsidR="00090330" w:rsidRPr="006D6B1C" w:rsidRDefault="00090330" w:rsidP="00004CD5">
      <w:pPr>
        <w:rPr>
          <w:lang w:val="en-GB"/>
        </w:rPr>
      </w:pPr>
    </w:p>
    <w:p w14:paraId="2462F25F" w14:textId="3BD9380E" w:rsidR="00382A22" w:rsidRDefault="00090330" w:rsidP="00382A22">
      <w:pPr>
        <w:pStyle w:val="Heading2"/>
      </w:pPr>
      <w:r>
        <w:t>UE s</w:t>
      </w:r>
      <w:r w:rsidR="00006602">
        <w:t>oft buffer size</w:t>
      </w:r>
    </w:p>
    <w:p w14:paraId="45108071" w14:textId="7ED21086" w:rsidR="00235326" w:rsidRDefault="002B186D" w:rsidP="00235326">
      <w:pPr>
        <w:rPr>
          <w:lang w:val="en-GB"/>
        </w:rPr>
      </w:pPr>
      <w:r>
        <w:rPr>
          <w:lang w:val="en-GB"/>
        </w:rPr>
        <w:t xml:space="preserve">From the previous meeting, there was much discussion on the </w:t>
      </w:r>
      <w:r w:rsidR="003A0E6E">
        <w:rPr>
          <w:lang w:val="en-GB"/>
        </w:rPr>
        <w:t xml:space="preserve">possible test cases across FR1 and FR2 as well as a set of recommended values. However, the ultimate decision </w:t>
      </w:r>
      <w:r w:rsidR="00032424">
        <w:rPr>
          <w:lang w:val="en-GB"/>
        </w:rPr>
        <w:t xml:space="preserve">from RAN1 (above) </w:t>
      </w:r>
      <w:r w:rsidR="003A0E6E">
        <w:rPr>
          <w:lang w:val="en-GB"/>
        </w:rPr>
        <w:t>was for RAN4 to design the set of suitable test cases. Under this guidance, it is suggested that companies coordinate within RAN4 regarding test cases, rather than further discussing test cases in RAN1</w:t>
      </w:r>
      <w:r w:rsidR="00432397">
        <w:rPr>
          <w:lang w:val="en-GB"/>
        </w:rPr>
        <w:t xml:space="preserve"> like those in [5]</w:t>
      </w:r>
      <w:r w:rsidR="003A0E6E">
        <w:rPr>
          <w:lang w:val="en-GB"/>
        </w:rPr>
        <w:t xml:space="preserve"> (which may confuse RAN4 in light of LS R1-1801139)</w:t>
      </w:r>
      <w:r w:rsidR="00432397">
        <w:rPr>
          <w:lang w:val="en-GB"/>
        </w:rPr>
        <w:t>.</w:t>
      </w:r>
    </w:p>
    <w:p w14:paraId="19F90770" w14:textId="1D2C7765" w:rsidR="00004CD5" w:rsidRPr="00090330" w:rsidRDefault="003A0E6E" w:rsidP="00004CD5">
      <w:pPr>
        <w:rPr>
          <w:lang w:val="en-GB"/>
        </w:rPr>
      </w:pPr>
      <w:r>
        <w:rPr>
          <w:lang w:val="en-GB"/>
        </w:rPr>
        <w:t xml:space="preserve">We note that [1], [6] highlight the importance of UE testing for 16 HARQ processes, which was also captured already as part of UE feature discussion (i.e., that UE supports configuration for up to 16 HARQ processes). [3] advocates no specification of NR </w:t>
      </w:r>
      <w:r w:rsidR="008A6A05">
        <w:rPr>
          <w:lang w:val="en-GB"/>
        </w:rPr>
        <w:t>soft buffer size, which is the current status, while [</w:t>
      </w:r>
      <w:r w:rsidR="00432397">
        <w:rPr>
          <w:lang w:val="en-GB"/>
        </w:rPr>
        <w:t>4</w:t>
      </w:r>
      <w:r w:rsidR="008A6A05">
        <w:rPr>
          <w:lang w:val="en-GB"/>
        </w:rPr>
        <w:t>] discusses that EN-DC specification soft buffer sharing on UE would be tra</w:t>
      </w:r>
      <w:r w:rsidR="00480317">
        <w:rPr>
          <w:lang w:val="en-GB"/>
        </w:rPr>
        <w:t>nsparent to network assumptions.</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46D04B0B" w14:textId="77777777" w:rsidR="00D14D4B" w:rsidRPr="00D14D4B" w:rsidRDefault="00D14D4B" w:rsidP="00D14D4B">
      <w:pPr>
        <w:numPr>
          <w:ilvl w:val="0"/>
          <w:numId w:val="2"/>
        </w:numPr>
        <w:spacing w:before="100" w:beforeAutospacing="1" w:after="100" w:afterAutospacing="1"/>
        <w:rPr>
          <w:szCs w:val="22"/>
        </w:rPr>
      </w:pPr>
      <w:r w:rsidRPr="00D14D4B">
        <w:rPr>
          <w:szCs w:val="22"/>
        </w:rPr>
        <w:t>R1-1801345</w:t>
      </w:r>
      <w:r w:rsidRPr="00D14D4B">
        <w:rPr>
          <w:szCs w:val="22"/>
        </w:rPr>
        <w:tab/>
        <w:t>Remaining issues on soft buffer management</w:t>
      </w:r>
      <w:r w:rsidRPr="00D14D4B">
        <w:rPr>
          <w:szCs w:val="22"/>
        </w:rPr>
        <w:tab/>
        <w:t xml:space="preserve">Huawei, </w:t>
      </w:r>
      <w:proofErr w:type="spellStart"/>
      <w:r w:rsidRPr="00D14D4B">
        <w:rPr>
          <w:szCs w:val="22"/>
        </w:rPr>
        <w:t>HiSilicon</w:t>
      </w:r>
      <w:proofErr w:type="spellEnd"/>
    </w:p>
    <w:p w14:paraId="3FDBD0AB" w14:textId="77777777" w:rsidR="00D14D4B" w:rsidRPr="00D14D4B" w:rsidRDefault="00D14D4B" w:rsidP="00D14D4B">
      <w:pPr>
        <w:numPr>
          <w:ilvl w:val="0"/>
          <w:numId w:val="2"/>
        </w:numPr>
        <w:spacing w:before="100" w:beforeAutospacing="1" w:after="100" w:afterAutospacing="1"/>
        <w:rPr>
          <w:szCs w:val="22"/>
        </w:rPr>
      </w:pPr>
      <w:r w:rsidRPr="00D14D4B">
        <w:rPr>
          <w:szCs w:val="22"/>
        </w:rPr>
        <w:t>R1-1801561</w:t>
      </w:r>
      <w:r w:rsidRPr="00D14D4B">
        <w:rPr>
          <w:szCs w:val="22"/>
        </w:rPr>
        <w:tab/>
        <w:t>Remaining Issue of Soft Buffer Management</w:t>
      </w:r>
      <w:r w:rsidRPr="00D14D4B">
        <w:rPr>
          <w:szCs w:val="22"/>
        </w:rPr>
        <w:tab/>
        <w:t>Ericsson</w:t>
      </w:r>
    </w:p>
    <w:p w14:paraId="6EE10AA2" w14:textId="14079594" w:rsidR="00D14D4B" w:rsidRPr="00D14D4B" w:rsidRDefault="00D14D4B" w:rsidP="00D14D4B">
      <w:pPr>
        <w:numPr>
          <w:ilvl w:val="0"/>
          <w:numId w:val="2"/>
        </w:numPr>
        <w:spacing w:before="100" w:beforeAutospacing="1" w:after="100" w:afterAutospacing="1"/>
        <w:rPr>
          <w:szCs w:val="22"/>
        </w:rPr>
      </w:pPr>
      <w:r w:rsidRPr="00D14D4B">
        <w:rPr>
          <w:szCs w:val="22"/>
        </w:rPr>
        <w:t>R1-1801985</w:t>
      </w:r>
      <w:r w:rsidRPr="00D14D4B">
        <w:rPr>
          <w:szCs w:val="22"/>
        </w:rPr>
        <w:tab/>
        <w:t>On Soft Buffer Management</w:t>
      </w:r>
      <w:r w:rsidRPr="00D14D4B">
        <w:rPr>
          <w:szCs w:val="22"/>
        </w:rPr>
        <w:tab/>
      </w:r>
      <w:r w:rsidR="006C329B">
        <w:rPr>
          <w:szCs w:val="22"/>
        </w:rPr>
        <w:t xml:space="preserve"> </w:t>
      </w:r>
      <w:r w:rsidRPr="00D14D4B">
        <w:rPr>
          <w:szCs w:val="22"/>
        </w:rPr>
        <w:t>Samsung</w:t>
      </w:r>
    </w:p>
    <w:p w14:paraId="4A61D2E0" w14:textId="77777777" w:rsidR="00D14D4B" w:rsidRPr="00D14D4B" w:rsidRDefault="00D14D4B" w:rsidP="00D14D4B">
      <w:pPr>
        <w:numPr>
          <w:ilvl w:val="0"/>
          <w:numId w:val="2"/>
        </w:numPr>
        <w:spacing w:before="100" w:beforeAutospacing="1" w:after="100" w:afterAutospacing="1"/>
        <w:rPr>
          <w:szCs w:val="22"/>
        </w:rPr>
      </w:pPr>
      <w:r w:rsidRPr="00D14D4B">
        <w:rPr>
          <w:szCs w:val="22"/>
        </w:rPr>
        <w:t>R1-1802353</w:t>
      </w:r>
      <w:r w:rsidRPr="00D14D4B">
        <w:rPr>
          <w:szCs w:val="22"/>
        </w:rPr>
        <w:tab/>
        <w:t>Soft buffer partitioning in EN-DC</w:t>
      </w:r>
      <w:r w:rsidRPr="00D14D4B">
        <w:rPr>
          <w:szCs w:val="22"/>
        </w:rPr>
        <w:tab/>
        <w:t>NEC</w:t>
      </w:r>
    </w:p>
    <w:p w14:paraId="25E3B61D" w14:textId="77777777" w:rsidR="00D14D4B" w:rsidRPr="00D14D4B" w:rsidRDefault="00D14D4B" w:rsidP="00D14D4B">
      <w:pPr>
        <w:numPr>
          <w:ilvl w:val="0"/>
          <w:numId w:val="2"/>
        </w:numPr>
        <w:spacing w:before="100" w:beforeAutospacing="1" w:after="100" w:afterAutospacing="1"/>
        <w:rPr>
          <w:szCs w:val="22"/>
        </w:rPr>
      </w:pPr>
      <w:r w:rsidRPr="00D14D4B">
        <w:rPr>
          <w:szCs w:val="22"/>
        </w:rPr>
        <w:t>R1-1802489</w:t>
      </w:r>
      <w:r w:rsidRPr="00D14D4B">
        <w:rPr>
          <w:szCs w:val="22"/>
        </w:rPr>
        <w:tab/>
        <w:t>Soft-buffer management for NR</w:t>
      </w:r>
      <w:r w:rsidRPr="00D14D4B">
        <w:rPr>
          <w:szCs w:val="22"/>
        </w:rPr>
        <w:tab/>
        <w:t>NTT DOCOMO, INC.</w:t>
      </w:r>
    </w:p>
    <w:p w14:paraId="2044FBA0" w14:textId="3F640A43" w:rsidR="002E4881" w:rsidRPr="00D14D4B" w:rsidRDefault="00D14D4B" w:rsidP="00D14D4B">
      <w:pPr>
        <w:numPr>
          <w:ilvl w:val="0"/>
          <w:numId w:val="2"/>
        </w:numPr>
        <w:spacing w:before="100" w:beforeAutospacing="1" w:after="100" w:afterAutospacing="1"/>
        <w:rPr>
          <w:szCs w:val="22"/>
        </w:rPr>
      </w:pPr>
      <w:r w:rsidRPr="00D14D4B">
        <w:rPr>
          <w:szCs w:val="22"/>
        </w:rPr>
        <w:t>R1-1802843</w:t>
      </w:r>
      <w:r w:rsidRPr="00D14D4B">
        <w:rPr>
          <w:szCs w:val="22"/>
        </w:rPr>
        <w:tab/>
        <w:t>Remaining Issues on Soft buffer management</w:t>
      </w:r>
      <w:r w:rsidRPr="00D14D4B">
        <w:rPr>
          <w:szCs w:val="22"/>
        </w:rPr>
        <w:tab/>
        <w:t>Qualcomm Incorporated</w:t>
      </w:r>
    </w:p>
    <w:p w14:paraId="63427857" w14:textId="79ACE004" w:rsidR="001D708D" w:rsidRDefault="001D708D" w:rsidP="001D708D">
      <w:pPr>
        <w:pStyle w:val="Heading1"/>
      </w:pPr>
      <w:r>
        <w:t xml:space="preserve">Appendix </w:t>
      </w:r>
      <w:r w:rsidR="00A707C7">
        <w:t>of Proposals</w:t>
      </w:r>
    </w:p>
    <w:p w14:paraId="781AFEF9" w14:textId="337EC278" w:rsidR="00A707C7" w:rsidRDefault="0059787A" w:rsidP="00F803E7">
      <w:pPr>
        <w:pStyle w:val="Heading2"/>
      </w:pPr>
      <w:r>
        <w:t>Huawei</w:t>
      </w:r>
    </w:p>
    <w:p w14:paraId="484CDFE4" w14:textId="77777777" w:rsidR="0059787A" w:rsidRDefault="0059787A" w:rsidP="0059787A">
      <w:pPr>
        <w:rPr>
          <w:lang w:eastAsia="zh-CN"/>
        </w:rPr>
      </w:pPr>
      <w:r w:rsidRPr="00BE458D">
        <w:rPr>
          <w:b/>
          <w:i/>
          <w:lang w:val="x-none" w:eastAsia="zh-CN"/>
        </w:rPr>
        <w:t>P</w:t>
      </w:r>
      <w:r w:rsidRPr="00BE458D">
        <w:rPr>
          <w:rFonts w:hint="eastAsia"/>
          <w:b/>
          <w:i/>
          <w:lang w:val="x-none" w:eastAsia="zh-CN"/>
        </w:rPr>
        <w:t xml:space="preserve">roposal </w:t>
      </w:r>
      <w:r w:rsidRPr="00BE458D">
        <w:rPr>
          <w:b/>
          <w:i/>
          <w:lang w:val="x-none" w:eastAsia="zh-CN"/>
        </w:rPr>
        <w:t>1:</w:t>
      </w:r>
      <w:r w:rsidRPr="00BE458D">
        <w:rPr>
          <w:i/>
          <w:lang w:val="x-none" w:eastAsia="zh-CN"/>
        </w:rPr>
        <w:t xml:space="preserve"> The default TBS_LBRM prior to RRC configuration is derived from the maximum payload size of RMSI/OSI/Msg4/paging messages.</w:t>
      </w:r>
    </w:p>
    <w:p w14:paraId="4835F83B" w14:textId="77777777" w:rsidR="0059787A" w:rsidRDefault="0059787A" w:rsidP="0059787A">
      <w:pPr>
        <w:rPr>
          <w:lang w:eastAsia="zh-CN"/>
        </w:rPr>
      </w:pPr>
      <w:r>
        <w:t>All UEs will support 16 DL HARQ processes and 16 UL HARQ processes per carrier. That should be used in the soft buffer testing.</w:t>
      </w:r>
    </w:p>
    <w:p w14:paraId="5980D76F" w14:textId="77777777" w:rsidR="0059787A" w:rsidRPr="00F804D3" w:rsidRDefault="0059787A" w:rsidP="0059787A">
      <w:pPr>
        <w:rPr>
          <w:lang w:val="en-GB" w:eastAsia="zh-CN"/>
        </w:rPr>
      </w:pPr>
      <w:r w:rsidRPr="00BE458D">
        <w:rPr>
          <w:b/>
          <w:i/>
          <w:kern w:val="2"/>
          <w:lang w:val="en-GB" w:eastAsia="zh-CN"/>
        </w:rPr>
        <w:t xml:space="preserve">Proposal </w:t>
      </w:r>
      <w:r>
        <w:rPr>
          <w:b/>
          <w:i/>
          <w:kern w:val="2"/>
          <w:lang w:val="en-GB" w:eastAsia="zh-CN"/>
        </w:rPr>
        <w:t>2</w:t>
      </w:r>
      <w:r w:rsidRPr="00BE458D">
        <w:rPr>
          <w:b/>
          <w:i/>
          <w:kern w:val="2"/>
          <w:lang w:val="en-GB" w:eastAsia="zh-CN"/>
        </w:rPr>
        <w:t xml:space="preserve">: </w:t>
      </w:r>
      <w:r w:rsidRPr="00BE458D">
        <w:rPr>
          <w:i/>
          <w:kern w:val="2"/>
          <w:lang w:val="en-GB" w:eastAsia="zh-CN"/>
        </w:rPr>
        <w:t xml:space="preserve">The largest number of allowable HARQ processes 16 </w:t>
      </w:r>
      <w:r>
        <w:rPr>
          <w:i/>
          <w:kern w:val="2"/>
          <w:lang w:val="en-GB" w:eastAsia="zh-CN"/>
        </w:rPr>
        <w:t xml:space="preserve">per carrier </w:t>
      </w:r>
      <w:r w:rsidRPr="00BE458D">
        <w:rPr>
          <w:i/>
          <w:kern w:val="2"/>
          <w:lang w:val="en-GB" w:eastAsia="zh-CN"/>
        </w:rPr>
        <w:t>should be used for soft buffer testing.</w:t>
      </w:r>
    </w:p>
    <w:p w14:paraId="20F74E89" w14:textId="441DCA2E" w:rsidR="0059787A" w:rsidRDefault="0059787A" w:rsidP="0059787A">
      <w:pPr>
        <w:pStyle w:val="Heading2"/>
      </w:pPr>
      <w:r>
        <w:t>Ericsson</w:t>
      </w:r>
    </w:p>
    <w:p w14:paraId="6873FFB6" w14:textId="77777777" w:rsidR="00FE1AA8" w:rsidRPr="00FE1AA8" w:rsidRDefault="00FE1AA8" w:rsidP="00FE1AA8">
      <w:pPr>
        <w:rPr>
          <w:lang w:val="en-GB"/>
        </w:rPr>
      </w:pPr>
      <w:r w:rsidRPr="00FE1AA8">
        <w:rPr>
          <w:lang w:val="en-GB"/>
        </w:rPr>
        <w:t>In this contribution, we made the following observations:</w:t>
      </w:r>
    </w:p>
    <w:p w14:paraId="4525D6E3" w14:textId="77777777" w:rsidR="00FE1AA8" w:rsidRPr="00FE1AA8" w:rsidRDefault="00FE1AA8" w:rsidP="00FE1AA8">
      <w:pPr>
        <w:rPr>
          <w:b/>
          <w:lang w:val="en-GB"/>
        </w:rPr>
      </w:pPr>
      <w:r w:rsidRPr="00FE1AA8">
        <w:rPr>
          <w:b/>
          <w:lang w:val="en-GB"/>
        </w:rPr>
        <w:t>Observation 1</w:t>
      </w:r>
      <w:r w:rsidRPr="00FE1AA8">
        <w:rPr>
          <w:b/>
          <w:lang w:val="en-GB"/>
        </w:rPr>
        <w:tab/>
        <w:t>FBRM is applied to PDSCH transmission before RRC configuration.</w:t>
      </w:r>
    </w:p>
    <w:p w14:paraId="57B1A046" w14:textId="77777777" w:rsidR="00FE1AA8" w:rsidRPr="00FE1AA8" w:rsidRDefault="00FE1AA8" w:rsidP="00FE1AA8">
      <w:pPr>
        <w:rPr>
          <w:lang w:val="en-GB"/>
        </w:rPr>
      </w:pPr>
    </w:p>
    <w:p w14:paraId="4973C852" w14:textId="294B143B" w:rsidR="00FE1AA8" w:rsidRPr="00FE1AA8" w:rsidRDefault="00FE1AA8" w:rsidP="00FE1AA8">
      <w:pPr>
        <w:rPr>
          <w:lang w:val="en-GB"/>
        </w:rPr>
      </w:pPr>
      <w:r w:rsidRPr="00FE1AA8">
        <w:rPr>
          <w:lang w:val="en-GB"/>
        </w:rPr>
        <w:t>Based on the discussion in this contribution w</w:t>
      </w:r>
      <w:r>
        <w:rPr>
          <w:lang w:val="en-GB"/>
        </w:rPr>
        <w:t>e make the following proposals:</w:t>
      </w:r>
    </w:p>
    <w:p w14:paraId="79D8D3DE" w14:textId="2D740566" w:rsidR="00FE1AA8" w:rsidRPr="00FE1AA8" w:rsidRDefault="00FE1AA8" w:rsidP="00FE1AA8">
      <w:pPr>
        <w:rPr>
          <w:b/>
          <w:lang w:val="en-GB"/>
        </w:rPr>
      </w:pPr>
      <w:r w:rsidRPr="00FE1AA8">
        <w:rPr>
          <w:b/>
          <w:lang w:val="en-GB"/>
        </w:rPr>
        <w:t>Proposal 1</w:t>
      </w:r>
      <w:r w:rsidRPr="00FE1AA8">
        <w:rPr>
          <w:b/>
          <w:lang w:val="en-GB"/>
        </w:rPr>
        <w:tab/>
        <w:t>For DL, reference value for maximu</w:t>
      </w:r>
      <w:r w:rsidR="00A7185E">
        <w:rPr>
          <w:b/>
          <w:lang w:val="en-GB"/>
        </w:rPr>
        <w:t xml:space="preserve">m number of layers for a TB is </w:t>
      </w:r>
      <w:r w:rsidRPr="00FE1AA8">
        <w:rPr>
          <w:b/>
          <w:lang w:val="en-GB"/>
        </w:rPr>
        <w:t>ref = 2.</w:t>
      </w:r>
    </w:p>
    <w:p w14:paraId="0E44E2F0" w14:textId="77777777" w:rsidR="00FE1AA8" w:rsidRPr="00FE1AA8" w:rsidRDefault="00FE1AA8" w:rsidP="00FE1AA8">
      <w:pPr>
        <w:rPr>
          <w:b/>
          <w:lang w:val="en-GB"/>
        </w:rPr>
      </w:pPr>
      <w:r w:rsidRPr="00FE1AA8">
        <w:rPr>
          <w:b/>
          <w:lang w:val="en-GB"/>
        </w:rPr>
        <w:lastRenderedPageBreak/>
        <w:t>Proposal 2</w:t>
      </w:r>
      <w:r w:rsidRPr="00FE1AA8">
        <w:rPr>
          <w:b/>
          <w:lang w:val="en-GB"/>
        </w:rPr>
        <w:tab/>
        <w:t xml:space="preserve">For DL, reference value for maximum modulation order is </w:t>
      </w:r>
      <w:proofErr w:type="spellStart"/>
      <w:proofErr w:type="gramStart"/>
      <w:r w:rsidRPr="00FE1AA8">
        <w:rPr>
          <w:b/>
          <w:lang w:val="en-GB"/>
        </w:rPr>
        <w:t>Qm,ref</w:t>
      </w:r>
      <w:proofErr w:type="spellEnd"/>
      <w:proofErr w:type="gramEnd"/>
      <w:r w:rsidRPr="00FE1AA8">
        <w:rPr>
          <w:b/>
          <w:lang w:val="en-GB"/>
        </w:rPr>
        <w:t>= 6.</w:t>
      </w:r>
    </w:p>
    <w:p w14:paraId="03C2CB43" w14:textId="77777777" w:rsidR="00FE1AA8" w:rsidRPr="00FE1AA8" w:rsidRDefault="00FE1AA8" w:rsidP="00FE1AA8">
      <w:pPr>
        <w:rPr>
          <w:b/>
          <w:lang w:val="en-GB"/>
        </w:rPr>
      </w:pPr>
      <w:r w:rsidRPr="00FE1AA8">
        <w:rPr>
          <w:b/>
          <w:lang w:val="en-GB"/>
        </w:rPr>
        <w:t>Proposal 3</w:t>
      </w:r>
      <w:r w:rsidRPr="00FE1AA8">
        <w:rPr>
          <w:b/>
          <w:lang w:val="en-GB"/>
        </w:rPr>
        <w:tab/>
        <w:t>For UL, no reference values are necessary for maximum modulation order or maximum modulation order.</w:t>
      </w:r>
    </w:p>
    <w:p w14:paraId="45E21D67" w14:textId="59368588" w:rsidR="00FE1222" w:rsidRDefault="00813299" w:rsidP="00813299">
      <w:pPr>
        <w:pStyle w:val="Heading2"/>
      </w:pPr>
      <w:r>
        <w:t>Samsung</w:t>
      </w:r>
    </w:p>
    <w:p w14:paraId="465C61E2" w14:textId="77777777" w:rsidR="00813299" w:rsidRPr="00855FBE" w:rsidRDefault="00813299" w:rsidP="00813299">
      <w:pPr>
        <w:spacing w:after="0" w:line="288" w:lineRule="auto"/>
        <w:jc w:val="both"/>
        <w:rPr>
          <w:rFonts w:eastAsia="Malgun Gothic"/>
          <w:b/>
          <w:lang w:eastAsia="ko-KR"/>
        </w:rPr>
      </w:pPr>
      <w:r w:rsidRPr="00855FBE">
        <w:rPr>
          <w:rFonts w:eastAsia="Malgun Gothic" w:hint="eastAsia"/>
          <w:b/>
          <w:lang w:eastAsia="ko-KR"/>
        </w:rPr>
        <w:t>Proposal 1: It is unnecessary to define the soft buffer size in the specification</w:t>
      </w:r>
    </w:p>
    <w:p w14:paraId="1BADA2A7" w14:textId="3FEDF111" w:rsidR="00813299" w:rsidRDefault="00295D13" w:rsidP="00295D13">
      <w:pPr>
        <w:pStyle w:val="Heading2"/>
      </w:pPr>
      <w:r>
        <w:t>NEC</w:t>
      </w:r>
    </w:p>
    <w:p w14:paraId="6ED36E99" w14:textId="77777777" w:rsidR="006D7421" w:rsidRPr="00CD39D8" w:rsidRDefault="006D7421" w:rsidP="006D7421">
      <w:pPr>
        <w:spacing w:after="0"/>
        <w:rPr>
          <w:b/>
          <w:u w:val="single"/>
        </w:rPr>
      </w:pPr>
      <w:r w:rsidRPr="00CD39D8">
        <w:rPr>
          <w:b/>
          <w:u w:val="single"/>
        </w:rPr>
        <w:t>Observation:</w:t>
      </w:r>
    </w:p>
    <w:p w14:paraId="4046DF84" w14:textId="77777777" w:rsidR="006D7421" w:rsidRDefault="006D7421" w:rsidP="006D7421">
      <w:pPr>
        <w:spacing w:after="0"/>
        <w:ind w:firstLine="142"/>
      </w:pPr>
      <w:r>
        <w:t>It is not possible to define soft buffer partitioning between LTE and NR in case an EN-DC UE has common soft buffer shared between LTE and NR</w:t>
      </w:r>
    </w:p>
    <w:p w14:paraId="79F98F36" w14:textId="77777777" w:rsidR="006D7421" w:rsidRDefault="006D7421" w:rsidP="006D7421">
      <w:pPr>
        <w:spacing w:after="0"/>
        <w:ind w:firstLine="142"/>
      </w:pPr>
    </w:p>
    <w:p w14:paraId="75F7F6A9" w14:textId="77777777" w:rsidR="006D7421" w:rsidRPr="008B4F46" w:rsidRDefault="006D7421" w:rsidP="006D7421">
      <w:pPr>
        <w:spacing w:after="0"/>
        <w:rPr>
          <w:b/>
          <w:u w:val="single"/>
        </w:rPr>
      </w:pPr>
      <w:r>
        <w:rPr>
          <w:b/>
          <w:u w:val="single"/>
        </w:rPr>
        <w:t>Proposal</w:t>
      </w:r>
      <w:r w:rsidRPr="008B4F46">
        <w:rPr>
          <w:b/>
          <w:u w:val="single"/>
        </w:rPr>
        <w:t>:</w:t>
      </w:r>
    </w:p>
    <w:p w14:paraId="44BEAEE6" w14:textId="77777777" w:rsidR="006D7421" w:rsidRPr="00AF1F1E" w:rsidRDefault="006D7421" w:rsidP="006D7421">
      <w:pPr>
        <w:spacing w:after="0"/>
        <w:ind w:firstLine="142"/>
      </w:pPr>
      <w:r>
        <w:t xml:space="preserve">In EN-DC, </w:t>
      </w:r>
      <w:proofErr w:type="spellStart"/>
      <w:r>
        <w:t>eNB</w:t>
      </w:r>
      <w:proofErr w:type="spellEnd"/>
      <w:r>
        <w:t xml:space="preserve"> should be able to assume total soft buffer size for LTE according to UE category (LTE) of the UE, in case an EN-DC UE has common soft buffer shared between LTE and NR</w:t>
      </w:r>
    </w:p>
    <w:p w14:paraId="2645ED2C" w14:textId="53A8E741" w:rsidR="00295D13" w:rsidRDefault="004822DB" w:rsidP="00F222A8">
      <w:pPr>
        <w:pStyle w:val="Heading2"/>
      </w:pPr>
      <w:r>
        <w:t>NTT DOCOMO</w:t>
      </w:r>
    </w:p>
    <w:p w14:paraId="69BD1DB4" w14:textId="77777777" w:rsidR="00F222A8" w:rsidRDefault="00F222A8" w:rsidP="00F222A8">
      <w:pPr>
        <w:spacing w:after="60"/>
        <w:jc w:val="both"/>
        <w:rPr>
          <w:rFonts w:eastAsia="MS Mincho"/>
          <w:b/>
          <w:kern w:val="2"/>
          <w:sz w:val="22"/>
          <w:szCs w:val="22"/>
          <w:lang w:eastAsia="ja-JP"/>
        </w:rPr>
      </w:pPr>
      <w:r>
        <w:rPr>
          <w:rFonts w:eastAsia="MS Mincho" w:hint="eastAsia"/>
          <w:b/>
          <w:kern w:val="2"/>
          <w:sz w:val="22"/>
          <w:szCs w:val="22"/>
          <w:lang w:eastAsia="ja-JP"/>
        </w:rPr>
        <w:t>Proposal 1:</w:t>
      </w:r>
      <w:r>
        <w:rPr>
          <w:rFonts w:eastAsia="MS Mincho"/>
          <w:b/>
          <w:kern w:val="2"/>
          <w:sz w:val="22"/>
          <w:szCs w:val="22"/>
          <w:lang w:eastAsia="ja-JP"/>
        </w:rPr>
        <w:t xml:space="preserve"> UE has instantaneous buffer, which is used for storing the soft bits before decoding. The size is calculated from the maximum number of soft bits for one HARQ process.</w:t>
      </w:r>
    </w:p>
    <w:p w14:paraId="17296F1D" w14:textId="77777777" w:rsidR="00F222A8" w:rsidRDefault="00F222A8" w:rsidP="00F222A8">
      <w:pPr>
        <w:spacing w:after="60"/>
        <w:jc w:val="both"/>
        <w:rPr>
          <w:rFonts w:eastAsia="MS Mincho"/>
          <w:b/>
          <w:kern w:val="2"/>
          <w:sz w:val="22"/>
          <w:szCs w:val="22"/>
          <w:lang w:eastAsia="ja-JP"/>
        </w:rPr>
      </w:pPr>
      <w:r>
        <w:rPr>
          <w:rFonts w:eastAsia="MS Mincho"/>
          <w:b/>
          <w:kern w:val="2"/>
          <w:sz w:val="22"/>
          <w:szCs w:val="22"/>
          <w:lang w:eastAsia="ja-JP"/>
        </w:rPr>
        <w:t>Proposal 2:</w:t>
      </w:r>
      <w:r w:rsidRPr="003C3119">
        <w:rPr>
          <w:rFonts w:eastAsia="MS Mincho"/>
          <w:b/>
          <w:kern w:val="2"/>
          <w:sz w:val="22"/>
          <w:szCs w:val="22"/>
          <w:lang w:eastAsia="ja-JP"/>
        </w:rPr>
        <w:t xml:space="preserve"> </w:t>
      </w:r>
      <w:r>
        <w:rPr>
          <w:rFonts w:eastAsia="MS Mincho"/>
          <w:b/>
          <w:kern w:val="2"/>
          <w:sz w:val="22"/>
          <w:szCs w:val="22"/>
          <w:lang w:eastAsia="ja-JP"/>
        </w:rPr>
        <w:t>Test cases RAN1 recommends RAN4 should include 16 processes of DL and UL HARQ.</w:t>
      </w:r>
    </w:p>
    <w:p w14:paraId="2B987484" w14:textId="77777777" w:rsidR="00F222A8" w:rsidRDefault="00F222A8" w:rsidP="00F222A8">
      <w:pPr>
        <w:spacing w:after="60"/>
        <w:jc w:val="both"/>
        <w:rPr>
          <w:rFonts w:eastAsia="MS Mincho"/>
          <w:b/>
          <w:kern w:val="2"/>
          <w:sz w:val="22"/>
          <w:szCs w:val="22"/>
          <w:lang w:eastAsia="ja-JP"/>
        </w:rPr>
      </w:pPr>
      <w:r>
        <w:rPr>
          <w:rFonts w:eastAsia="MS Mincho" w:hint="eastAsia"/>
          <w:b/>
          <w:kern w:val="2"/>
          <w:sz w:val="22"/>
          <w:szCs w:val="22"/>
          <w:lang w:eastAsia="ja-JP"/>
        </w:rPr>
        <w:t xml:space="preserve">Proposal </w:t>
      </w:r>
      <w:r>
        <w:rPr>
          <w:rFonts w:eastAsia="MS Mincho"/>
          <w:b/>
          <w:kern w:val="2"/>
          <w:sz w:val="22"/>
          <w:szCs w:val="22"/>
          <w:lang w:eastAsia="ja-JP"/>
        </w:rPr>
        <w:t>3: Parameters for one of test cases should be maximum values related to soft buffer dimensioning.</w:t>
      </w:r>
    </w:p>
    <w:p w14:paraId="12BAC2A6" w14:textId="77777777" w:rsidR="00F222A8" w:rsidRDefault="00F222A8" w:rsidP="00F222A8">
      <w:pPr>
        <w:spacing w:after="60"/>
        <w:jc w:val="both"/>
        <w:rPr>
          <w:rFonts w:eastAsia="MS Mincho"/>
          <w:b/>
          <w:kern w:val="2"/>
          <w:sz w:val="22"/>
          <w:szCs w:val="22"/>
          <w:lang w:eastAsia="ja-JP"/>
        </w:rPr>
      </w:pPr>
      <w:r>
        <w:rPr>
          <w:rFonts w:eastAsia="MS Mincho"/>
          <w:b/>
          <w:kern w:val="2"/>
          <w:sz w:val="22"/>
          <w:szCs w:val="22"/>
          <w:lang w:eastAsia="ja-JP"/>
        </w:rPr>
        <w:t>Proposal 4: Reference value should be the followings:</w:t>
      </w:r>
    </w:p>
    <w:p w14:paraId="21CA13DA" w14:textId="77777777" w:rsidR="00F222A8" w:rsidRPr="00032CF7" w:rsidRDefault="00F222A8" w:rsidP="00F222A8">
      <w:pPr>
        <w:spacing w:after="60"/>
        <w:ind w:firstLine="720"/>
        <w:jc w:val="both"/>
        <w:rPr>
          <w:rFonts w:eastAsiaTheme="minorEastAsia"/>
          <w:b/>
          <w:kern w:val="2"/>
          <w:sz w:val="22"/>
          <w:szCs w:val="22"/>
          <w:lang w:eastAsia="ja-JP"/>
        </w:rPr>
      </w:pPr>
      <w:r>
        <w:rPr>
          <w:rFonts w:eastAsia="MS Mincho"/>
          <w:b/>
          <w:kern w:val="2"/>
          <w:sz w:val="22"/>
          <w:szCs w:val="22"/>
          <w:lang w:eastAsia="ja-JP"/>
        </w:rPr>
        <w:t>-</w:t>
      </w:r>
      <w:r w:rsidRPr="00032CF7">
        <w:rPr>
          <w:rFonts w:eastAsia="MS Mincho"/>
          <w:b/>
          <w:kern w:val="2"/>
          <w:sz w:val="22"/>
          <w:szCs w:val="22"/>
          <w:lang w:eastAsia="ja-JP"/>
        </w:rPr>
        <w:t xml:space="preserve"> F</w:t>
      </w:r>
      <w:r w:rsidRPr="00032CF7">
        <w:rPr>
          <w:rFonts w:eastAsiaTheme="minorEastAsia"/>
          <w:b/>
          <w:kern w:val="2"/>
          <w:sz w:val="22"/>
          <w:szCs w:val="22"/>
          <w:lang w:eastAsia="ja-JP"/>
        </w:rPr>
        <w:t>raction of maximum throughput: 70%</w:t>
      </w:r>
    </w:p>
    <w:p w14:paraId="606858DA" w14:textId="77777777" w:rsidR="00F222A8" w:rsidRPr="00032CF7" w:rsidRDefault="00F222A8" w:rsidP="00F222A8">
      <w:pPr>
        <w:spacing w:after="60"/>
        <w:ind w:firstLine="720"/>
        <w:jc w:val="both"/>
        <w:rPr>
          <w:rFonts w:eastAsiaTheme="minorEastAsia"/>
          <w:b/>
          <w:kern w:val="2"/>
          <w:sz w:val="22"/>
          <w:szCs w:val="22"/>
          <w:lang w:eastAsia="ja-JP"/>
        </w:rPr>
      </w:pPr>
      <w:r w:rsidRPr="00032CF7">
        <w:rPr>
          <w:rFonts w:eastAsiaTheme="minorEastAsia"/>
          <w:b/>
          <w:kern w:val="2"/>
          <w:sz w:val="22"/>
          <w:szCs w:val="22"/>
          <w:lang w:eastAsia="ja-JP"/>
        </w:rPr>
        <w:t>- SNR: the value at BLER=15% of the initial transmission</w:t>
      </w:r>
    </w:p>
    <w:p w14:paraId="379EA366" w14:textId="35A87221" w:rsidR="00F222A8" w:rsidRDefault="000320F4" w:rsidP="000320F4">
      <w:pPr>
        <w:pStyle w:val="Heading2"/>
      </w:pPr>
      <w:r>
        <w:t>Qualcomm</w:t>
      </w:r>
    </w:p>
    <w:p w14:paraId="5BF5FA9E" w14:textId="77777777" w:rsidR="00A15F97" w:rsidRDefault="00A15F97" w:rsidP="00A15F97">
      <w:pPr>
        <w:rPr>
          <w:i/>
          <w:lang w:val="en-GB"/>
        </w:rPr>
      </w:pPr>
      <w:r w:rsidRPr="00C83C86">
        <w:rPr>
          <w:b/>
          <w:u w:val="single"/>
          <w:lang w:val="en-GB"/>
        </w:rPr>
        <w:t>Proposal 1:</w:t>
      </w:r>
      <w:r>
        <w:rPr>
          <w:lang w:val="en-GB"/>
        </w:rPr>
        <w:t xml:space="preserve"> </w:t>
      </w:r>
      <w:r w:rsidRPr="00C83C86">
        <w:rPr>
          <w:i/>
          <w:lang w:val="en-GB"/>
        </w:rPr>
        <w:t>Prior to RRC configuration, TBS_LBRM for PDSCH should be derived based on the assumption of single layer operation and 64-QAM modulation. The number of RBs corresponds to that of the initial BWP.</w:t>
      </w:r>
    </w:p>
    <w:p w14:paraId="069C7590" w14:textId="77777777" w:rsidR="00A15F97" w:rsidRDefault="00A15F97" w:rsidP="00A15F97">
      <w:pPr>
        <w:rPr>
          <w:i/>
          <w:lang w:val="en-GB"/>
        </w:rPr>
      </w:pPr>
      <w:r w:rsidRPr="00C83C86">
        <w:rPr>
          <w:b/>
          <w:u w:val="single"/>
          <w:lang w:val="en-GB"/>
        </w:rPr>
        <w:t xml:space="preserve">Proposal </w:t>
      </w:r>
      <w:r>
        <w:rPr>
          <w:b/>
          <w:u w:val="single"/>
          <w:lang w:val="en-GB"/>
        </w:rPr>
        <w:t>2</w:t>
      </w:r>
      <w:r w:rsidRPr="00C83C86">
        <w:rPr>
          <w:b/>
          <w:u w:val="single"/>
          <w:lang w:val="en-GB"/>
        </w:rPr>
        <w:t>:</w:t>
      </w:r>
      <w:r>
        <w:rPr>
          <w:lang w:val="en-GB"/>
        </w:rPr>
        <w:t xml:space="preserve"> </w:t>
      </w:r>
      <w:r w:rsidRPr="00C83C86">
        <w:rPr>
          <w:i/>
          <w:lang w:val="en-GB"/>
        </w:rPr>
        <w:t>Prior to RRC configuration</w:t>
      </w:r>
      <w:r>
        <w:rPr>
          <w:i/>
          <w:lang w:val="en-GB"/>
        </w:rPr>
        <w:t>, LBRM is disabled for PUSCH transmissions.</w:t>
      </w:r>
    </w:p>
    <w:p w14:paraId="1A2F2BF0" w14:textId="77777777" w:rsidR="00A15F97" w:rsidRPr="00A15F97" w:rsidRDefault="00A15F97" w:rsidP="00A15F97">
      <w:pPr>
        <w:rPr>
          <w:lang w:val="en-GB"/>
        </w:rPr>
      </w:pPr>
    </w:p>
    <w:sectPr w:rsidR="00A15F97" w:rsidRPr="00A15F97"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286A0" w14:textId="77777777" w:rsidR="005C37B8" w:rsidRDefault="005C37B8">
      <w:r>
        <w:separator/>
      </w:r>
    </w:p>
  </w:endnote>
  <w:endnote w:type="continuationSeparator" w:id="0">
    <w:p w14:paraId="52F6B370" w14:textId="77777777" w:rsidR="005C37B8" w:rsidRDefault="005C37B8">
      <w:r>
        <w:continuationSeparator/>
      </w:r>
    </w:p>
  </w:endnote>
  <w:endnote w:type="continuationNotice" w:id="1">
    <w:p w14:paraId="2CEA4A31" w14:textId="77777777" w:rsidR="005C37B8" w:rsidRDefault="005C3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27549" w:rsidRDefault="00F275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27549" w:rsidRDefault="00F275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13A461C" w:rsidR="00F27549" w:rsidRDefault="00F275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0650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650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8A71F" w14:textId="77777777" w:rsidR="005C37B8" w:rsidRDefault="005C37B8">
      <w:r>
        <w:separator/>
      </w:r>
    </w:p>
  </w:footnote>
  <w:footnote w:type="continuationSeparator" w:id="0">
    <w:p w14:paraId="3E87C978" w14:textId="77777777" w:rsidR="005C37B8" w:rsidRDefault="005C37B8">
      <w:r>
        <w:continuationSeparator/>
      </w:r>
    </w:p>
  </w:footnote>
  <w:footnote w:type="continuationNotice" w:id="1">
    <w:p w14:paraId="57E246A4" w14:textId="77777777" w:rsidR="005C37B8" w:rsidRDefault="005C37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27549" w:rsidRDefault="00F275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F542B9"/>
    <w:multiLevelType w:val="hybridMultilevel"/>
    <w:tmpl w:val="0E7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5873346"/>
    <w:multiLevelType w:val="hybridMultilevel"/>
    <w:tmpl w:val="10E2EF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6"/>
  </w:num>
  <w:num w:numId="6">
    <w:abstractNumId w:val="8"/>
  </w:num>
  <w:num w:numId="7">
    <w:abstractNumId w:val="3"/>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CD5"/>
    <w:rsid w:val="00004D8C"/>
    <w:rsid w:val="00004DCB"/>
    <w:rsid w:val="000051F0"/>
    <w:rsid w:val="0000553B"/>
    <w:rsid w:val="00005EF6"/>
    <w:rsid w:val="000062D2"/>
    <w:rsid w:val="000063BC"/>
    <w:rsid w:val="00006602"/>
    <w:rsid w:val="00006780"/>
    <w:rsid w:val="00006C7A"/>
    <w:rsid w:val="00007080"/>
    <w:rsid w:val="00007495"/>
    <w:rsid w:val="00007744"/>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85E"/>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BF2"/>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0F4"/>
    <w:rsid w:val="000321DC"/>
    <w:rsid w:val="00032424"/>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9B1"/>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596"/>
    <w:rsid w:val="00056673"/>
    <w:rsid w:val="00056942"/>
    <w:rsid w:val="00056A6A"/>
    <w:rsid w:val="00056B97"/>
    <w:rsid w:val="00056C94"/>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D3D"/>
    <w:rsid w:val="00077073"/>
    <w:rsid w:val="00077521"/>
    <w:rsid w:val="0007776E"/>
    <w:rsid w:val="0008022A"/>
    <w:rsid w:val="00080418"/>
    <w:rsid w:val="00080525"/>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D53"/>
    <w:rsid w:val="00087E29"/>
    <w:rsid w:val="00090010"/>
    <w:rsid w:val="000901FF"/>
    <w:rsid w:val="0009033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224"/>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A8F"/>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8C2"/>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09"/>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2E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E69"/>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324F"/>
    <w:rsid w:val="002337C0"/>
    <w:rsid w:val="00233A4D"/>
    <w:rsid w:val="00233E11"/>
    <w:rsid w:val="002344C8"/>
    <w:rsid w:val="002349C5"/>
    <w:rsid w:val="00234B73"/>
    <w:rsid w:val="00235326"/>
    <w:rsid w:val="002353C5"/>
    <w:rsid w:val="00235581"/>
    <w:rsid w:val="00235698"/>
    <w:rsid w:val="00235B2E"/>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62B"/>
    <w:rsid w:val="00283852"/>
    <w:rsid w:val="00283FFA"/>
    <w:rsid w:val="00284293"/>
    <w:rsid w:val="00284E7F"/>
    <w:rsid w:val="00284E89"/>
    <w:rsid w:val="0028550D"/>
    <w:rsid w:val="00285520"/>
    <w:rsid w:val="00285894"/>
    <w:rsid w:val="00285E28"/>
    <w:rsid w:val="002862A6"/>
    <w:rsid w:val="002863E8"/>
    <w:rsid w:val="00286631"/>
    <w:rsid w:val="00286F76"/>
    <w:rsid w:val="00287376"/>
    <w:rsid w:val="00287433"/>
    <w:rsid w:val="002877DE"/>
    <w:rsid w:val="00287821"/>
    <w:rsid w:val="00287C28"/>
    <w:rsid w:val="00287C39"/>
    <w:rsid w:val="00290254"/>
    <w:rsid w:val="00290A06"/>
    <w:rsid w:val="00290C83"/>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D13"/>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BEF"/>
    <w:rsid w:val="002B0C99"/>
    <w:rsid w:val="002B10F9"/>
    <w:rsid w:val="002B12C7"/>
    <w:rsid w:val="002B186D"/>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679"/>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201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1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3D"/>
    <w:rsid w:val="00323FAD"/>
    <w:rsid w:val="00324089"/>
    <w:rsid w:val="0032437C"/>
    <w:rsid w:val="0032466A"/>
    <w:rsid w:val="00324701"/>
    <w:rsid w:val="00324887"/>
    <w:rsid w:val="0032489D"/>
    <w:rsid w:val="003249F8"/>
    <w:rsid w:val="00324CC3"/>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6F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870"/>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2F11"/>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2A22"/>
    <w:rsid w:val="00383D4B"/>
    <w:rsid w:val="00383DDB"/>
    <w:rsid w:val="00384255"/>
    <w:rsid w:val="003842A8"/>
    <w:rsid w:val="003843DE"/>
    <w:rsid w:val="00384747"/>
    <w:rsid w:val="003848D9"/>
    <w:rsid w:val="00384BC0"/>
    <w:rsid w:val="003852CC"/>
    <w:rsid w:val="003853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6E"/>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A4D"/>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1DE"/>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AC6"/>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397"/>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4DA"/>
    <w:rsid w:val="0045169D"/>
    <w:rsid w:val="004518D5"/>
    <w:rsid w:val="00451B06"/>
    <w:rsid w:val="00451BEB"/>
    <w:rsid w:val="004520FE"/>
    <w:rsid w:val="004527C0"/>
    <w:rsid w:val="00453871"/>
    <w:rsid w:val="00453DEF"/>
    <w:rsid w:val="004540AC"/>
    <w:rsid w:val="004543E4"/>
    <w:rsid w:val="00454826"/>
    <w:rsid w:val="004548E5"/>
    <w:rsid w:val="00454ACD"/>
    <w:rsid w:val="00454C83"/>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94E"/>
    <w:rsid w:val="00476D14"/>
    <w:rsid w:val="00476D8B"/>
    <w:rsid w:val="00476E98"/>
    <w:rsid w:val="00476EAE"/>
    <w:rsid w:val="004774C5"/>
    <w:rsid w:val="004775ED"/>
    <w:rsid w:val="004778C0"/>
    <w:rsid w:val="00477B60"/>
    <w:rsid w:val="00480317"/>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2DB"/>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00"/>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08"/>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0D6"/>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2B1"/>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1081"/>
    <w:rsid w:val="005815D2"/>
    <w:rsid w:val="00581716"/>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7A"/>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37B8"/>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74B1"/>
    <w:rsid w:val="0060764C"/>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1E"/>
    <w:rsid w:val="006767B8"/>
    <w:rsid w:val="00677725"/>
    <w:rsid w:val="00677F10"/>
    <w:rsid w:val="0068013A"/>
    <w:rsid w:val="006803C8"/>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102"/>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29B"/>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6B1C"/>
    <w:rsid w:val="006D72E1"/>
    <w:rsid w:val="006D742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5A6"/>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2CE8"/>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689"/>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0D"/>
    <w:rsid w:val="00775B1D"/>
    <w:rsid w:val="00775BAA"/>
    <w:rsid w:val="00775D7C"/>
    <w:rsid w:val="00775EFD"/>
    <w:rsid w:val="00775F11"/>
    <w:rsid w:val="00776351"/>
    <w:rsid w:val="00776679"/>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1FD1"/>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0FC"/>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41E"/>
    <w:rsid w:val="007E7625"/>
    <w:rsid w:val="007E7B2B"/>
    <w:rsid w:val="007E7E52"/>
    <w:rsid w:val="007E7E6F"/>
    <w:rsid w:val="007F05E0"/>
    <w:rsid w:val="007F0B77"/>
    <w:rsid w:val="007F0B82"/>
    <w:rsid w:val="007F0DD3"/>
    <w:rsid w:val="007F1083"/>
    <w:rsid w:val="007F18C0"/>
    <w:rsid w:val="007F1C00"/>
    <w:rsid w:val="007F1D1C"/>
    <w:rsid w:val="007F2477"/>
    <w:rsid w:val="007F2DBB"/>
    <w:rsid w:val="007F2ED4"/>
    <w:rsid w:val="007F344C"/>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B0"/>
    <w:rsid w:val="00812FE3"/>
    <w:rsid w:val="0081303D"/>
    <w:rsid w:val="00813299"/>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88"/>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0A96"/>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A05"/>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0AF"/>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CDB"/>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2D0"/>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114"/>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5F97"/>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74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4F6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7C7"/>
    <w:rsid w:val="00A70A35"/>
    <w:rsid w:val="00A70C9C"/>
    <w:rsid w:val="00A71209"/>
    <w:rsid w:val="00A7141F"/>
    <w:rsid w:val="00A7185E"/>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A30"/>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88F"/>
    <w:rsid w:val="00AF0FFE"/>
    <w:rsid w:val="00AF1414"/>
    <w:rsid w:val="00AF15C3"/>
    <w:rsid w:val="00AF19CD"/>
    <w:rsid w:val="00AF1A4A"/>
    <w:rsid w:val="00AF1EE9"/>
    <w:rsid w:val="00AF1EFB"/>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5D4"/>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509"/>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6E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A08"/>
    <w:rsid w:val="00BD2A58"/>
    <w:rsid w:val="00BD2F55"/>
    <w:rsid w:val="00BD3618"/>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94C"/>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69B4"/>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0C03"/>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ADD"/>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E8"/>
    <w:rsid w:val="00C75970"/>
    <w:rsid w:val="00C75AC4"/>
    <w:rsid w:val="00C75C9D"/>
    <w:rsid w:val="00C76261"/>
    <w:rsid w:val="00C76952"/>
    <w:rsid w:val="00C7731D"/>
    <w:rsid w:val="00C7799E"/>
    <w:rsid w:val="00C80441"/>
    <w:rsid w:val="00C804BD"/>
    <w:rsid w:val="00C80547"/>
    <w:rsid w:val="00C80D93"/>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4B5"/>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CA4"/>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4D4B"/>
    <w:rsid w:val="00D1552A"/>
    <w:rsid w:val="00D15D9D"/>
    <w:rsid w:val="00D1624D"/>
    <w:rsid w:val="00D16440"/>
    <w:rsid w:val="00D16E05"/>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C00"/>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697"/>
    <w:rsid w:val="00D61A63"/>
    <w:rsid w:val="00D62243"/>
    <w:rsid w:val="00D6278F"/>
    <w:rsid w:val="00D62949"/>
    <w:rsid w:val="00D629D3"/>
    <w:rsid w:val="00D62B69"/>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F33"/>
    <w:rsid w:val="00D73085"/>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77AFD"/>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BF7"/>
    <w:rsid w:val="00E87182"/>
    <w:rsid w:val="00E872C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09E"/>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2A8"/>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D96"/>
    <w:rsid w:val="00F24DB4"/>
    <w:rsid w:val="00F24E98"/>
    <w:rsid w:val="00F24F4D"/>
    <w:rsid w:val="00F24F64"/>
    <w:rsid w:val="00F24FA0"/>
    <w:rsid w:val="00F25157"/>
    <w:rsid w:val="00F254E5"/>
    <w:rsid w:val="00F25C12"/>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4F5"/>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3E7"/>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222"/>
    <w:rsid w:val="00FE15F5"/>
    <w:rsid w:val="00FE1728"/>
    <w:rsid w:val="00FE1AA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5"/>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6"/>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534219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jsoriaga\Documents\Work\5G%20Standards%203GPP\R1-180113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HR33RHYHUWRF-4-6560</_dlc_DocId>
    <_dlc_DocIdUrl xmlns="c06861ca-3f08-4d07-bff7-bb15bac121f4">
      <Url>https://projects.qualcomm.com/sites/pentari/_layouts/15/DocIdRedir.aspx?ID=HR33RHYHUWRF-4-6560</Url>
      <Description>HR33RHYHUWRF-4-6560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0D3022F1-8D22-4128-A1C9-80AC27C52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2017-03-25T00:57:00Z</cp:lastPrinted>
  <dcterms:created xsi:type="dcterms:W3CDTF">2018-02-26T17:39:00Z</dcterms:created>
  <dcterms:modified xsi:type="dcterms:W3CDTF">2018-02-26T17:39:00Z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4826aec6-b5e6-4d43-b8ca-92f7bcdd29b0</vt:lpwstr>
  </property>
  <property fmtid="{D5CDD505-2E9C-101B-9397-08002B2CF9AE}" pid="4" name="ContentTypeId">
    <vt:lpwstr>0x010100BC29BFD66497B943AA3B102F0C7B1355</vt:lpwstr>
  </property>
</Properties>
</file>