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AE44" w14:textId="3CB9071F" w:rsidR="007A6612" w:rsidRPr="00446F9D" w:rsidRDefault="007A6612" w:rsidP="007A6612">
      <w:pPr>
        <w:pStyle w:val="Header"/>
        <w:tabs>
          <w:tab w:val="clear" w:pos="4536"/>
        </w:tabs>
        <w:rPr>
          <w:i/>
        </w:rPr>
      </w:pPr>
      <w:r w:rsidRPr="00446F9D">
        <w:t xml:space="preserve">TSG-RAN WG1 </w:t>
      </w:r>
      <w:r w:rsidR="00C074E0">
        <w:t>#92</w:t>
      </w:r>
      <w:r w:rsidRPr="00446F9D">
        <w:tab/>
      </w:r>
      <w:r w:rsidR="00083069" w:rsidRPr="00083069">
        <w:t>R1-1802916</w:t>
      </w:r>
    </w:p>
    <w:p w14:paraId="31AA4018" w14:textId="77777777" w:rsidR="007A6612" w:rsidRPr="000833FA" w:rsidRDefault="00C074E0" w:rsidP="007A6612">
      <w:pPr>
        <w:pStyle w:val="Header"/>
        <w:rPr>
          <w:color w:val="000000"/>
        </w:rPr>
      </w:pPr>
      <w:r>
        <w:t>Athens, Greece, February 26 – March 2</w:t>
      </w:r>
      <w:r w:rsidR="007A6612">
        <w:t>, 2018</w:t>
      </w:r>
    </w:p>
    <w:p w14:paraId="6B69A6F1" w14:textId="77777777" w:rsidR="00A6549D" w:rsidRPr="000833FA" w:rsidRDefault="00A6549D" w:rsidP="00A6549D">
      <w:pPr>
        <w:pStyle w:val="Header"/>
      </w:pPr>
    </w:p>
    <w:p w14:paraId="4F365DAA"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73B4352C" w14:textId="5711F4D7"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F7B68">
        <w:t>On r</w:t>
      </w:r>
      <w:r w:rsidR="007111E2" w:rsidRPr="007111E2">
        <w:t xml:space="preserve">emaining issues of </w:t>
      </w:r>
      <w:r w:rsidR="002F7B68">
        <w:t>BWPs</w:t>
      </w:r>
    </w:p>
    <w:p w14:paraId="6368C0D5" w14:textId="39EFEA0A"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bookmarkEnd w:id="2"/>
      <w:r w:rsidR="00B46598">
        <w:t>1.3.</w:t>
      </w:r>
      <w:r w:rsidR="00083069">
        <w:t>4.1</w:t>
      </w:r>
      <w:bookmarkStart w:id="3" w:name="_GoBack"/>
      <w:bookmarkEnd w:id="3"/>
    </w:p>
    <w:p w14:paraId="44BAA24A"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46F0D4D6" w14:textId="77777777" w:rsidR="00F618ED" w:rsidRPr="002100D2" w:rsidRDefault="00F618ED" w:rsidP="00F618ED">
      <w:pPr>
        <w:pBdr>
          <w:bottom w:val="single" w:sz="4" w:space="1" w:color="auto"/>
        </w:pBdr>
        <w:tabs>
          <w:tab w:val="left" w:pos="2552"/>
        </w:tabs>
      </w:pPr>
    </w:p>
    <w:p w14:paraId="1E9C1C21" w14:textId="77777777" w:rsidR="0009344A" w:rsidRDefault="0009344A" w:rsidP="0009344A">
      <w:pPr>
        <w:pStyle w:val="Heading1"/>
      </w:pPr>
      <w:r>
        <w:t>Introduction</w:t>
      </w:r>
    </w:p>
    <w:p w14:paraId="65EFEA0A" w14:textId="77777777" w:rsidR="0009344A" w:rsidRDefault="0009344A" w:rsidP="0009344A">
      <w:pPr>
        <w:pStyle w:val="BodyText"/>
      </w:pPr>
      <w:r>
        <w:t>At the January NR Ad Hoc some issues around DCI sizes, search spaces, and BWPs were discussed. In this paper two related aspects are discussed.</w:t>
      </w:r>
    </w:p>
    <w:p w14:paraId="3FF2697C" w14:textId="77777777" w:rsidR="0009344A" w:rsidRDefault="0009344A" w:rsidP="0009344A">
      <w:pPr>
        <w:pStyle w:val="Heading1"/>
      </w:pPr>
      <w:r>
        <w:t>Discussion</w:t>
      </w:r>
    </w:p>
    <w:p w14:paraId="51C58A72" w14:textId="77777777" w:rsidR="0009344A" w:rsidRDefault="0009344A" w:rsidP="0009344A">
      <w:pPr>
        <w:pStyle w:val="Heading2"/>
      </w:pPr>
      <w:bookmarkStart w:id="5" w:name="_Ref506546580"/>
      <w:r>
        <w:t>CORESETs, DCI sizes, and BWPs</w:t>
      </w:r>
      <w:bookmarkEnd w:id="5"/>
    </w:p>
    <w:p w14:paraId="225D0D6F" w14:textId="77777777" w:rsidR="0009344A" w:rsidRDefault="0009344A" w:rsidP="0009344A">
      <w:pPr>
        <w:pStyle w:val="BodyText"/>
      </w:pPr>
      <w:r>
        <w:t>The following “wish list” is an attempt to summarize the views expressed in Vancouver and agreements made, some of which can be (partially) conflicting:</w:t>
      </w:r>
    </w:p>
    <w:p w14:paraId="66D922E1" w14:textId="77777777" w:rsidR="0009344A" w:rsidRDefault="0009344A" w:rsidP="0009344A">
      <w:pPr>
        <w:pStyle w:val="BodyText"/>
        <w:numPr>
          <w:ilvl w:val="0"/>
          <w:numId w:val="37"/>
        </w:numPr>
      </w:pPr>
      <w:r>
        <w:t>The UE is capable of monitoring at most 4 DCI sizes (per slot), 3 with the C-RNTI and 1 with another less time-critical RNTI</w:t>
      </w:r>
    </w:p>
    <w:p w14:paraId="331BFD7C" w14:textId="77777777" w:rsidR="0009344A" w:rsidRDefault="0009344A" w:rsidP="0009344A">
      <w:pPr>
        <w:pStyle w:val="BodyText"/>
        <w:numPr>
          <w:ilvl w:val="0"/>
          <w:numId w:val="37"/>
        </w:numPr>
      </w:pPr>
      <w:r>
        <w:t xml:space="preserve">It should be possible to address multiple UEs with a single DCI (e.g. for system info, paging, </w:t>
      </w:r>
      <w:proofErr w:type="spellStart"/>
      <w:r>
        <w:t>etc</w:t>
      </w:r>
      <w:proofErr w:type="spellEnd"/>
      <w:r>
        <w:t>) under the condition that they have the same CORESET/search space configuration</w:t>
      </w:r>
    </w:p>
    <w:p w14:paraId="53D85F87" w14:textId="77777777" w:rsidR="0009344A" w:rsidRDefault="0009344A" w:rsidP="0009344A">
      <w:pPr>
        <w:pStyle w:val="BodyText"/>
        <w:numPr>
          <w:ilvl w:val="0"/>
          <w:numId w:val="37"/>
        </w:numPr>
      </w:pPr>
      <w:r>
        <w:t>The DCI size depends on the size of the BWP (agreed in the ad hoc)</w:t>
      </w:r>
    </w:p>
    <w:p w14:paraId="2ED5A3F2" w14:textId="77777777" w:rsidR="0009344A" w:rsidRDefault="0009344A" w:rsidP="0009344A">
      <w:pPr>
        <w:pStyle w:val="BodyText"/>
        <w:numPr>
          <w:ilvl w:val="0"/>
          <w:numId w:val="37"/>
        </w:numPr>
      </w:pPr>
      <w:r>
        <w:t>The fallback DCI should be possible to use also in a UE-specific search space</w:t>
      </w:r>
    </w:p>
    <w:p w14:paraId="54FF55F3" w14:textId="77777777" w:rsidR="0009344A" w:rsidRDefault="0009344A" w:rsidP="0009344A">
      <w:pPr>
        <w:pStyle w:val="BodyText"/>
        <w:numPr>
          <w:ilvl w:val="0"/>
          <w:numId w:val="37"/>
        </w:numPr>
      </w:pPr>
      <w:r>
        <w:t>The size of formats 0-0 and 1-0 are aligned</w:t>
      </w:r>
    </w:p>
    <w:p w14:paraId="62913FB7" w14:textId="77777777" w:rsidR="0009344A" w:rsidRDefault="0009344A" w:rsidP="0009344A">
      <w:pPr>
        <w:pStyle w:val="BodyText"/>
        <w:numPr>
          <w:ilvl w:val="0"/>
          <w:numId w:val="37"/>
        </w:numPr>
      </w:pPr>
      <w:r>
        <w:t>The size of formats 0-1 and 1-1 may be different</w:t>
      </w:r>
    </w:p>
    <w:p w14:paraId="794633A8" w14:textId="77777777" w:rsidR="0009344A" w:rsidRDefault="0009344A" w:rsidP="0009344A">
      <w:pPr>
        <w:pStyle w:val="BodyText"/>
      </w:pPr>
      <w:r>
        <w:t>To find an overall solution it is suggested to focus on the relevant scenario. For example, in case of bandwidth adaptation it is reasonable if the “narrow” BWP is completely inside the “wide” BWP. Although other configurations are possible, the design should not optimize for these scenarios.</w:t>
      </w:r>
    </w:p>
    <w:p w14:paraId="1538AE9E" w14:textId="77777777" w:rsidR="0009344A" w:rsidRDefault="0009344A" w:rsidP="0009344A">
      <w:pPr>
        <w:pStyle w:val="BodyText"/>
      </w:pPr>
      <w:r>
        <w:t>One possible solution could be to treat the different DCI formats differently.</w:t>
      </w:r>
    </w:p>
    <w:p w14:paraId="3A8F9D2B" w14:textId="77777777" w:rsidR="0009344A" w:rsidRDefault="0009344A" w:rsidP="0009344A">
      <w:pPr>
        <w:pStyle w:val="BodyText"/>
        <w:numPr>
          <w:ilvl w:val="0"/>
          <w:numId w:val="39"/>
        </w:numPr>
      </w:pPr>
      <w:r>
        <w:t xml:space="preserve">DCI format 0-0 and 1-0 are decoded and interpreted assuming the </w:t>
      </w:r>
      <w:r>
        <w:rPr>
          <w:i/>
        </w:rPr>
        <w:t>default</w:t>
      </w:r>
      <w:r>
        <w:t xml:space="preserve"> BWP (both for CSS and USS)</w:t>
      </w:r>
    </w:p>
    <w:p w14:paraId="328D562F" w14:textId="77777777" w:rsidR="0009344A" w:rsidRDefault="0009344A" w:rsidP="0009344A">
      <w:pPr>
        <w:pStyle w:val="BodyText"/>
        <w:numPr>
          <w:ilvl w:val="1"/>
          <w:numId w:val="38"/>
        </w:numPr>
      </w:pPr>
      <w:r>
        <w:t>One DCI size used as 0-0/1-0 are size aligned</w:t>
      </w:r>
    </w:p>
    <w:p w14:paraId="73302190" w14:textId="77777777" w:rsidR="0009344A" w:rsidRDefault="0009344A" w:rsidP="0009344A">
      <w:pPr>
        <w:pStyle w:val="BodyText"/>
        <w:numPr>
          <w:ilvl w:val="1"/>
          <w:numId w:val="38"/>
        </w:numPr>
      </w:pPr>
      <w:r>
        <w:t xml:space="preserve">The resource assignment relates to the RBs numbered across the default BWP, i.e. regardless of the active BWP only RBs in the default BWP are schedulable. </w:t>
      </w:r>
    </w:p>
    <w:p w14:paraId="18847F03" w14:textId="77777777" w:rsidR="0009344A" w:rsidRDefault="0009344A" w:rsidP="0009344A">
      <w:pPr>
        <w:pStyle w:val="BodyText"/>
        <w:numPr>
          <w:ilvl w:val="1"/>
          <w:numId w:val="38"/>
        </w:numPr>
      </w:pPr>
      <w:r>
        <w:t>For the CSS, all UEs with the same default BWP configured will have the same RB numbering and can receive the same PDSCH transmission regardless of whether the UEs have the “narrow” or “wide” BWP as the active one.</w:t>
      </w:r>
    </w:p>
    <w:p w14:paraId="2E094692" w14:textId="77777777" w:rsidR="0009344A" w:rsidRDefault="0009344A" w:rsidP="0009344A">
      <w:pPr>
        <w:pStyle w:val="BodyText"/>
        <w:numPr>
          <w:ilvl w:val="1"/>
          <w:numId w:val="38"/>
        </w:numPr>
      </w:pPr>
      <w:r>
        <w:t>For the USS, unicast data can be scheduled but only across the narrower BWP.</w:t>
      </w:r>
    </w:p>
    <w:p w14:paraId="34E51686" w14:textId="77777777" w:rsidR="0009344A" w:rsidRDefault="0009344A" w:rsidP="0009344A">
      <w:pPr>
        <w:pStyle w:val="BodyText"/>
        <w:numPr>
          <w:ilvl w:val="1"/>
          <w:numId w:val="38"/>
        </w:numPr>
      </w:pPr>
      <w:r>
        <w:t>This assumes that the default BWP is always receivable regardless of whether a UE uses the default or “wide” BWP as the active BWP. In other words, the narrow/default BWP is within the wide BWP.</w:t>
      </w:r>
    </w:p>
    <w:p w14:paraId="539DD118" w14:textId="77777777" w:rsidR="0009344A" w:rsidRDefault="0009344A" w:rsidP="0009344A">
      <w:pPr>
        <w:pStyle w:val="BodyText"/>
        <w:numPr>
          <w:ilvl w:val="0"/>
          <w:numId w:val="38"/>
        </w:numPr>
      </w:pPr>
      <w:r>
        <w:t xml:space="preserve">DCI format 0-1 and 1-1 are decoded and interpreted assuming the </w:t>
      </w:r>
      <w:r>
        <w:rPr>
          <w:i/>
        </w:rPr>
        <w:t>active</w:t>
      </w:r>
      <w:r>
        <w:t xml:space="preserve"> BWP (for USS)</w:t>
      </w:r>
    </w:p>
    <w:p w14:paraId="686B6B52" w14:textId="77777777" w:rsidR="0009344A" w:rsidRDefault="0009344A" w:rsidP="0009344A">
      <w:pPr>
        <w:pStyle w:val="BodyText"/>
        <w:numPr>
          <w:ilvl w:val="1"/>
          <w:numId w:val="38"/>
        </w:numPr>
      </w:pPr>
      <w:r>
        <w:t>Two DCI sizes can be used as 0-1 and 1-1 are not necessarily size aligned</w:t>
      </w:r>
    </w:p>
    <w:p w14:paraId="7C010E50" w14:textId="77777777" w:rsidR="0009344A" w:rsidRDefault="0009344A" w:rsidP="0009344A">
      <w:pPr>
        <w:pStyle w:val="BodyText"/>
        <w:numPr>
          <w:ilvl w:val="1"/>
          <w:numId w:val="38"/>
        </w:numPr>
      </w:pPr>
      <w:r>
        <w:t xml:space="preserve">The resource assignment relates to the RBs numbered across the active BWP, i.e. the full set of RBs in the active BWP whether it is the “narrow” BWP or the “wide” BWP. </w:t>
      </w:r>
    </w:p>
    <w:p w14:paraId="4F8F17FC" w14:textId="77777777" w:rsidR="0009344A" w:rsidRDefault="0009344A" w:rsidP="0009344A">
      <w:pPr>
        <w:pStyle w:val="BodyText"/>
      </w:pPr>
      <w:r>
        <w:t xml:space="preserve">This is illustrated in </w:t>
      </w:r>
      <w:r>
        <w:fldChar w:fldCharType="begin"/>
      </w:r>
      <w:r>
        <w:instrText xml:space="preserve"> REF _Ref506299421 \h </w:instrText>
      </w:r>
      <w:r>
        <w:fldChar w:fldCharType="separate"/>
      </w:r>
      <w:r>
        <w:t xml:space="preserve">Figure </w:t>
      </w:r>
      <w:r>
        <w:rPr>
          <w:noProof/>
        </w:rPr>
        <w:t>1</w:t>
      </w:r>
      <w:r>
        <w:fldChar w:fldCharType="end"/>
      </w:r>
      <w:r>
        <w:t>.</w:t>
      </w:r>
    </w:p>
    <w:p w14:paraId="3F980161" w14:textId="77777777" w:rsidR="0009344A" w:rsidRDefault="0009344A" w:rsidP="0009344A">
      <w:pPr>
        <w:pStyle w:val="BodyText"/>
      </w:pPr>
      <w:r>
        <w:t xml:space="preserve">If it is desirable to schedule multiple UEs using a single DCI, e.g. for paging, this is possible </w:t>
      </w:r>
      <w:proofErr w:type="gramStart"/>
      <w:r>
        <w:t>as long as</w:t>
      </w:r>
      <w:proofErr w:type="gramEnd"/>
      <w:r>
        <w:t xml:space="preserve"> the narrow/default BWP is configured in the same way for all these UEs. Irrespective of whether a UE has the default or wide BWOP as the active one, it will be able to decode and interpret DCI formats 0-0/1-0 in the same way.</w:t>
      </w:r>
    </w:p>
    <w:p w14:paraId="4579B01E" w14:textId="77777777" w:rsidR="0009344A" w:rsidRDefault="0009344A" w:rsidP="0009344A">
      <w:pPr>
        <w:pStyle w:val="BodyText"/>
        <w:keepNext/>
      </w:pPr>
      <w:r w:rsidRPr="00706D43">
        <w:lastRenderedPageBreak/>
        <w:t xml:space="preserve"> </w:t>
      </w:r>
      <w:r w:rsidRPr="00706D43">
        <w:rPr>
          <w:noProof/>
        </w:rPr>
        <w:drawing>
          <wp:inline distT="0" distB="0" distL="0" distR="0" wp14:anchorId="51971A64" wp14:editId="2CDC5B6D">
            <wp:extent cx="5760720" cy="15850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585079"/>
                    </a:xfrm>
                    <a:prstGeom prst="rect">
                      <a:avLst/>
                    </a:prstGeom>
                    <a:noFill/>
                    <a:ln>
                      <a:noFill/>
                    </a:ln>
                  </pic:spPr>
                </pic:pic>
              </a:graphicData>
            </a:graphic>
          </wp:inline>
        </w:drawing>
      </w:r>
    </w:p>
    <w:p w14:paraId="68664C7B" w14:textId="77777777" w:rsidR="0009344A" w:rsidRDefault="0009344A" w:rsidP="0009344A">
      <w:pPr>
        <w:pStyle w:val="Caption"/>
        <w:jc w:val="both"/>
      </w:pPr>
      <w:bookmarkStart w:id="6" w:name="_Ref506299421"/>
      <w:r>
        <w:t xml:space="preserve">Figure </w:t>
      </w:r>
      <w:fldSimple w:instr=" SEQ Figure \* ARABIC ">
        <w:r>
          <w:rPr>
            <w:noProof/>
          </w:rPr>
          <w:t>1</w:t>
        </w:r>
      </w:fldSimple>
      <w:bookmarkEnd w:id="6"/>
      <w:r>
        <w:t>: Bandwidth parts and DCI interpretation.</w:t>
      </w:r>
    </w:p>
    <w:p w14:paraId="379105DE" w14:textId="77777777" w:rsidR="0009344A" w:rsidRDefault="0009344A" w:rsidP="0009344A">
      <w:pPr>
        <w:pStyle w:val="Heading2"/>
      </w:pPr>
      <w:r>
        <w:t>BWP indicator</w:t>
      </w:r>
    </w:p>
    <w:p w14:paraId="519AE0CD" w14:textId="77777777" w:rsidR="0009344A" w:rsidRDefault="0009344A" w:rsidP="0009344A">
      <w:pPr>
        <w:pStyle w:val="BodyText"/>
      </w:pPr>
      <w:r>
        <w:t>The previous section discussed the DCI handling one a certain BWP is active. DCI formats 0-1 and 1-1 includes a BWP index field which is used to indicate the BWP to use. At the NR ad hoc in January, the interpretation of this field was discussed, resulting in the following working assumption:</w:t>
      </w:r>
    </w:p>
    <w:p w14:paraId="3DAEF96E" w14:textId="77777777" w:rsidR="0009344A" w:rsidRPr="001A2CC7" w:rsidRDefault="0009344A" w:rsidP="0009344A">
      <w:pPr>
        <w:rPr>
          <w:szCs w:val="20"/>
          <w:highlight w:val="darkYellow"/>
          <w:lang w:eastAsia="x-none"/>
        </w:rPr>
      </w:pPr>
      <w:r w:rsidRPr="001A2CC7">
        <w:rPr>
          <w:szCs w:val="20"/>
          <w:highlight w:val="darkYellow"/>
          <w:lang w:eastAsia="x-none"/>
        </w:rPr>
        <w:t>Working assumption:</w:t>
      </w:r>
    </w:p>
    <w:p w14:paraId="7CA3CC72" w14:textId="77777777" w:rsidR="0009344A" w:rsidRPr="000F23BF" w:rsidRDefault="0009344A" w:rsidP="0009344A">
      <w:pPr>
        <w:numPr>
          <w:ilvl w:val="0"/>
          <w:numId w:val="34"/>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14:paraId="32E7294D" w14:textId="77777777" w:rsidR="0009344A" w:rsidRPr="000F23BF" w:rsidRDefault="0009344A" w:rsidP="0009344A">
      <w:pPr>
        <w:numPr>
          <w:ilvl w:val="1"/>
          <w:numId w:val="34"/>
        </w:numPr>
        <w:rPr>
          <w:szCs w:val="20"/>
          <w:lang w:eastAsia="x-none"/>
        </w:rPr>
      </w:pPr>
      <w:r w:rsidRPr="000F23BF">
        <w:rPr>
          <w:szCs w:val="20"/>
          <w:lang w:eastAsia="x-none"/>
        </w:rPr>
        <w:t>Zero-pad too small bitfields to match the new BWP</w:t>
      </w:r>
    </w:p>
    <w:p w14:paraId="69283A6C" w14:textId="77777777" w:rsidR="0009344A" w:rsidRPr="000F23BF" w:rsidRDefault="0009344A" w:rsidP="0009344A">
      <w:pPr>
        <w:numPr>
          <w:ilvl w:val="1"/>
          <w:numId w:val="34"/>
        </w:numPr>
        <w:rPr>
          <w:szCs w:val="20"/>
          <w:lang w:eastAsia="x-none"/>
        </w:rPr>
      </w:pPr>
      <w:r w:rsidRPr="000F23BF">
        <w:rPr>
          <w:szCs w:val="20"/>
          <w:lang w:eastAsia="x-none"/>
        </w:rPr>
        <w:t>Truncate too large bitfields to match the new BWP</w:t>
      </w:r>
    </w:p>
    <w:p w14:paraId="47563E11" w14:textId="77777777" w:rsidR="0009344A" w:rsidRDefault="0009344A" w:rsidP="0009344A">
      <w:pPr>
        <w:rPr>
          <w:lang w:eastAsia="x-none"/>
        </w:rPr>
      </w:pPr>
    </w:p>
    <w:p w14:paraId="5297DD2E" w14:textId="77777777" w:rsidR="0009344A" w:rsidRDefault="0009344A" w:rsidP="0009344A">
      <w:pPr>
        <w:pStyle w:val="BodyText"/>
      </w:pPr>
      <w:r>
        <w:t>However, this approach has some potential problems as the DCI content (and the DCI size) is defined assuming the BWP in which the DCI is received. If the DCI is relevant for another BWP (i.e. the BWP index pointing to a different BWP than the currently active one) the current agreement implies that the DCI is ‘transformed’ through truncation/padding to match the new BWP. However, this ‘transformed’ DCI may not make sense depending on how the DCI fields are configured. Note that it is not only the resource allocation field that may differ, various multi-antenna related fields may also be different.</w:t>
      </w:r>
    </w:p>
    <w:p w14:paraId="270D00BC" w14:textId="77777777" w:rsidR="0009344A" w:rsidRDefault="0009344A" w:rsidP="0009344A">
      <w:pPr>
        <w:pStyle w:val="BodyText"/>
      </w:pPr>
      <w:r>
        <w:t>In general, it is not good to link different features tightly to each other as experience suggests that unforeseen problems are likely to appear.</w:t>
      </w:r>
    </w:p>
    <w:p w14:paraId="38E1E9AA" w14:textId="77777777" w:rsidR="0009344A" w:rsidRDefault="0009344A" w:rsidP="0009344A">
      <w:pPr>
        <w:pStyle w:val="BodyText"/>
      </w:pPr>
      <w:r>
        <w:t>Possibilities on how to treat the working assumption include:</w:t>
      </w:r>
    </w:p>
    <w:p w14:paraId="4DCDEF88" w14:textId="77777777" w:rsidR="0009344A" w:rsidRDefault="0009344A" w:rsidP="0009344A">
      <w:pPr>
        <w:pStyle w:val="BodyText"/>
        <w:numPr>
          <w:ilvl w:val="0"/>
          <w:numId w:val="36"/>
        </w:numPr>
      </w:pPr>
      <w:r>
        <w:t>Confirm the working assumption</w:t>
      </w:r>
    </w:p>
    <w:p w14:paraId="706B06E6" w14:textId="77777777" w:rsidR="0009344A" w:rsidRDefault="0009344A" w:rsidP="0009344A">
      <w:pPr>
        <w:pStyle w:val="BodyText"/>
        <w:numPr>
          <w:ilvl w:val="1"/>
          <w:numId w:val="36"/>
        </w:numPr>
      </w:pPr>
      <w:r>
        <w:t>The usefulness of the DCI content when applied to the new BWP can be questioned.</w:t>
      </w:r>
    </w:p>
    <w:p w14:paraId="54F4A53B" w14:textId="77777777" w:rsidR="0009344A" w:rsidRDefault="0009344A" w:rsidP="0009344A">
      <w:pPr>
        <w:pStyle w:val="BodyText"/>
        <w:numPr>
          <w:ilvl w:val="1"/>
          <w:numId w:val="36"/>
        </w:numPr>
      </w:pPr>
      <w:r>
        <w:t>The possibility of ‘null scheduling’, i.e. a grant/assignment not scheduling any data necessary in this case in case the truncated/padded DCI may result in garbage DCI information.</w:t>
      </w:r>
    </w:p>
    <w:p w14:paraId="4873B60E" w14:textId="77777777" w:rsidR="0009344A" w:rsidRDefault="0009344A" w:rsidP="0009344A">
      <w:pPr>
        <w:pStyle w:val="BodyText"/>
        <w:numPr>
          <w:ilvl w:val="0"/>
          <w:numId w:val="36"/>
        </w:numPr>
      </w:pPr>
      <w:r>
        <w:t>Define ‘more advanced’ transformations of the DCI</w:t>
      </w:r>
    </w:p>
    <w:p w14:paraId="1A1C06F6" w14:textId="77777777" w:rsidR="0009344A" w:rsidRDefault="0009344A" w:rsidP="0009344A">
      <w:pPr>
        <w:pStyle w:val="BodyText"/>
        <w:numPr>
          <w:ilvl w:val="1"/>
          <w:numId w:val="36"/>
        </w:numPr>
      </w:pPr>
      <w:r>
        <w:t>This can be a lengthy exercise given the wide range of configurations possible. Note that the ‘transformation’ applies not only to the resource allocation fields but also to the other fields such as multi-antenna related information.</w:t>
      </w:r>
    </w:p>
    <w:p w14:paraId="4043D6F8" w14:textId="77777777" w:rsidR="0009344A" w:rsidRDefault="0009344A" w:rsidP="0009344A">
      <w:pPr>
        <w:pStyle w:val="BodyText"/>
        <w:numPr>
          <w:ilvl w:val="0"/>
          <w:numId w:val="36"/>
        </w:numPr>
      </w:pPr>
      <w:r>
        <w:t xml:space="preserve">Interpretation of the DCI is done according to the </w:t>
      </w:r>
      <w:r w:rsidRPr="00C56D9A">
        <w:rPr>
          <w:i/>
        </w:rPr>
        <w:t xml:space="preserve">current </w:t>
      </w:r>
      <w:r w:rsidRPr="009F3A15">
        <w:t>BWP</w:t>
      </w:r>
      <w:r>
        <w:t xml:space="preserve"> and the BWP indicator activates the new BWP (see </w:t>
      </w:r>
      <w:r>
        <w:fldChar w:fldCharType="begin"/>
      </w:r>
      <w:r>
        <w:instrText xml:space="preserve"> REF _Ref506299647 \h </w:instrText>
      </w:r>
      <w:r>
        <w:fldChar w:fldCharType="separate"/>
      </w:r>
      <w:r>
        <w:t xml:space="preserve">Figure </w:t>
      </w:r>
      <w:r>
        <w:rPr>
          <w:noProof/>
        </w:rPr>
        <w:t>2</w:t>
      </w:r>
      <w:r>
        <w:fldChar w:fldCharType="end"/>
      </w:r>
      <w:r>
        <w:t>).</w:t>
      </w:r>
    </w:p>
    <w:p w14:paraId="059ACC80" w14:textId="77777777" w:rsidR="0009344A" w:rsidRDefault="0009344A" w:rsidP="0009344A">
      <w:pPr>
        <w:pStyle w:val="BodyText"/>
        <w:numPr>
          <w:ilvl w:val="1"/>
          <w:numId w:val="36"/>
        </w:numPr>
      </w:pPr>
      <w:r>
        <w:t>This allows to ‘open up’ a larger BWP but in the first occurrence only data in the region were the old and new BWP overlaps is possible to schedule. In later slots the DCI can schedule the full BWP</w:t>
      </w:r>
    </w:p>
    <w:p w14:paraId="1EA40D43" w14:textId="77777777" w:rsidR="0009344A" w:rsidRDefault="0009344A" w:rsidP="0009344A">
      <w:pPr>
        <w:pStyle w:val="BodyText"/>
        <w:numPr>
          <w:ilvl w:val="0"/>
          <w:numId w:val="36"/>
        </w:numPr>
      </w:pPr>
      <w:r>
        <w:t>Remove the BWP index from the DCI and define a separate ‘BWP switch command’ using one of the existing DCI sizes</w:t>
      </w:r>
    </w:p>
    <w:p w14:paraId="169D971D" w14:textId="77777777" w:rsidR="0009344A" w:rsidRDefault="0009344A" w:rsidP="0009344A">
      <w:pPr>
        <w:pStyle w:val="BodyText"/>
        <w:numPr>
          <w:ilvl w:val="1"/>
          <w:numId w:val="36"/>
        </w:numPr>
      </w:pPr>
      <w:r>
        <w:t>Avoids ambiguities in the DCI interpretation.</w:t>
      </w:r>
    </w:p>
    <w:p w14:paraId="36BAE9DC" w14:textId="77777777" w:rsidR="0009344A" w:rsidRDefault="0009344A" w:rsidP="0009344A">
      <w:pPr>
        <w:pStyle w:val="BodyText"/>
        <w:numPr>
          <w:ilvl w:val="1"/>
          <w:numId w:val="36"/>
        </w:numPr>
      </w:pPr>
      <w:r>
        <w:t xml:space="preserve">Possible error cases if the UE misses the switch as this may result </w:t>
      </w:r>
      <w:proofErr w:type="spellStart"/>
      <w:r>
        <w:t>int</w:t>
      </w:r>
      <w:proofErr w:type="spellEnd"/>
      <w:r>
        <w:t xml:space="preserve"> eh </w:t>
      </w:r>
      <w:proofErr w:type="spellStart"/>
      <w:r>
        <w:t>gNB</w:t>
      </w:r>
      <w:proofErr w:type="spellEnd"/>
      <w:r>
        <w:t xml:space="preserve"> and UE having different views on the active BWP. Some form of acknowledgement mechanism is likely needed.</w:t>
      </w:r>
    </w:p>
    <w:p w14:paraId="3BAA6AD9" w14:textId="77777777" w:rsidR="0009344A" w:rsidRDefault="0009344A" w:rsidP="0009344A">
      <w:pPr>
        <w:pStyle w:val="BodyText"/>
      </w:pPr>
      <w:r>
        <w:lastRenderedPageBreak/>
        <w:t xml:space="preserve">Note that the options above are only relevant for formats 0-1 and 1-1 as there is not BWP indicator in 0-0 and 1-0. </w:t>
      </w:r>
    </w:p>
    <w:p w14:paraId="13D1DD14" w14:textId="77777777" w:rsidR="0009344A" w:rsidRDefault="0009344A" w:rsidP="0009344A">
      <w:pPr>
        <w:pStyle w:val="BodyText"/>
      </w:pPr>
      <w:r>
        <w:t xml:space="preserve">Of the options listed above, option 3 seems to be the simplest approach (it is also in line with the discussion in Section </w:t>
      </w:r>
      <w:r>
        <w:fldChar w:fldCharType="begin"/>
      </w:r>
      <w:r>
        <w:instrText xml:space="preserve"> REF _Ref506546580 \r \h </w:instrText>
      </w:r>
      <w:r>
        <w:fldChar w:fldCharType="separate"/>
      </w:r>
      <w:r>
        <w:t>2.1</w:t>
      </w:r>
      <w:r>
        <w:fldChar w:fldCharType="end"/>
      </w:r>
      <w:r>
        <w:t>) followed by option 4.</w:t>
      </w:r>
    </w:p>
    <w:p w14:paraId="751AFE5C" w14:textId="77777777" w:rsidR="0009344A" w:rsidRDefault="0009344A" w:rsidP="0009344A">
      <w:pPr>
        <w:pStyle w:val="BodyText"/>
        <w:keepNext/>
      </w:pPr>
      <w:r w:rsidRPr="006D2219">
        <w:rPr>
          <w:noProof/>
        </w:rPr>
        <w:drawing>
          <wp:inline distT="0" distB="0" distL="0" distR="0" wp14:anchorId="1CAC2A0F" wp14:editId="13D6438A">
            <wp:extent cx="5760720" cy="277268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772685"/>
                    </a:xfrm>
                    <a:prstGeom prst="rect">
                      <a:avLst/>
                    </a:prstGeom>
                    <a:noFill/>
                    <a:ln>
                      <a:noFill/>
                    </a:ln>
                  </pic:spPr>
                </pic:pic>
              </a:graphicData>
            </a:graphic>
          </wp:inline>
        </w:drawing>
      </w:r>
    </w:p>
    <w:p w14:paraId="279D152C" w14:textId="77777777" w:rsidR="0009344A" w:rsidRDefault="0009344A" w:rsidP="0009344A">
      <w:pPr>
        <w:pStyle w:val="Caption"/>
        <w:jc w:val="both"/>
      </w:pPr>
      <w:bookmarkStart w:id="7" w:name="_Ref506299647"/>
      <w:r>
        <w:t xml:space="preserve">Figure </w:t>
      </w:r>
      <w:fldSimple w:instr=" SEQ Figure \* ARABIC ">
        <w:r>
          <w:rPr>
            <w:noProof/>
          </w:rPr>
          <w:t>2</w:t>
        </w:r>
      </w:fldSimple>
      <w:bookmarkEnd w:id="7"/>
      <w:r>
        <w:t>: Illustration of option 3.</w:t>
      </w:r>
    </w:p>
    <w:p w14:paraId="5041F54D" w14:textId="77777777" w:rsidR="0009344A" w:rsidRDefault="0009344A" w:rsidP="0009344A">
      <w:pPr>
        <w:pStyle w:val="Heading1"/>
      </w:pPr>
      <w:r>
        <w:t>Proposals</w:t>
      </w:r>
    </w:p>
    <w:p w14:paraId="0D6C6D48" w14:textId="77777777" w:rsidR="0009344A" w:rsidRDefault="0009344A" w:rsidP="0009344A">
      <w:pPr>
        <w:pStyle w:val="BodyText"/>
      </w:pPr>
      <w:r>
        <w:t>For DCI reception and interpretation:</w:t>
      </w:r>
    </w:p>
    <w:p w14:paraId="13A922A0" w14:textId="77777777" w:rsidR="0009344A" w:rsidRDefault="0009344A" w:rsidP="0009344A">
      <w:pPr>
        <w:pStyle w:val="BodyText"/>
        <w:numPr>
          <w:ilvl w:val="0"/>
          <w:numId w:val="42"/>
        </w:numPr>
      </w:pPr>
      <w:r>
        <w:t>DCI formats are decoded and interpreted differently:</w:t>
      </w:r>
    </w:p>
    <w:p w14:paraId="5AA201D4" w14:textId="77777777" w:rsidR="0009344A" w:rsidRDefault="0009344A" w:rsidP="0009344A">
      <w:pPr>
        <w:pStyle w:val="BodyText"/>
        <w:numPr>
          <w:ilvl w:val="1"/>
          <w:numId w:val="42"/>
        </w:numPr>
      </w:pPr>
      <w:r>
        <w:t xml:space="preserve">DCI format 0-0 and 1-0 are decoded and interpreted assuming the </w:t>
      </w:r>
      <w:r w:rsidRPr="002E4C6D">
        <w:rPr>
          <w:i/>
        </w:rPr>
        <w:t>default</w:t>
      </w:r>
      <w:r>
        <w:t xml:space="preserve"> BWP (both for CSS and USS)</w:t>
      </w:r>
    </w:p>
    <w:p w14:paraId="142D1A94" w14:textId="77777777" w:rsidR="0009344A" w:rsidRDefault="0009344A" w:rsidP="0009344A">
      <w:pPr>
        <w:pStyle w:val="BodyText"/>
        <w:numPr>
          <w:ilvl w:val="1"/>
          <w:numId w:val="38"/>
        </w:numPr>
      </w:pPr>
      <w:r>
        <w:t xml:space="preserve">DCI format 0-1 and 1-1 are decoded and interpreted assuming the </w:t>
      </w:r>
      <w:r>
        <w:rPr>
          <w:i/>
        </w:rPr>
        <w:t>active</w:t>
      </w:r>
      <w:r>
        <w:t xml:space="preserve"> BWP (for USS)</w:t>
      </w:r>
    </w:p>
    <w:p w14:paraId="21615D36" w14:textId="77777777" w:rsidR="0009344A" w:rsidRDefault="0009344A" w:rsidP="0009344A">
      <w:pPr>
        <w:pStyle w:val="BodyText"/>
      </w:pPr>
      <w:r>
        <w:t>For BWP switching:</w:t>
      </w:r>
    </w:p>
    <w:p w14:paraId="2F4191FF" w14:textId="77777777" w:rsidR="0009344A" w:rsidRDefault="0009344A" w:rsidP="0009344A">
      <w:pPr>
        <w:pStyle w:val="BodyText"/>
        <w:numPr>
          <w:ilvl w:val="0"/>
          <w:numId w:val="44"/>
        </w:numPr>
      </w:pPr>
      <w:r>
        <w:t xml:space="preserve">DCI formats 0-1/1-1 are interpreted according to the currently </w:t>
      </w:r>
      <w:r>
        <w:rPr>
          <w:i/>
        </w:rPr>
        <w:t>active</w:t>
      </w:r>
      <w:r w:rsidRPr="00C56D9A">
        <w:rPr>
          <w:i/>
        </w:rPr>
        <w:t xml:space="preserve"> </w:t>
      </w:r>
      <w:r w:rsidRPr="009F3A15">
        <w:t>BWP</w:t>
      </w:r>
      <w:r>
        <w:t>. The BWP indicator activates the new BWP at the time instant included in the scheduling information.</w:t>
      </w:r>
    </w:p>
    <w:p w14:paraId="018AB204" w14:textId="77777777" w:rsidR="0009344A" w:rsidRDefault="0009344A" w:rsidP="0009344A">
      <w:pPr>
        <w:pStyle w:val="BodyText"/>
      </w:pPr>
    </w:p>
    <w:p w14:paraId="40DBF6C7" w14:textId="77777777" w:rsidR="0009344A" w:rsidRDefault="0009344A" w:rsidP="0009344A">
      <w:pPr>
        <w:pStyle w:val="BodyText"/>
      </w:pPr>
    </w:p>
    <w:p w14:paraId="7F295ACB" w14:textId="77777777" w:rsidR="002E4C6D" w:rsidRDefault="002E4C6D" w:rsidP="0009344A">
      <w:pPr>
        <w:pStyle w:val="Heading1"/>
        <w:numPr>
          <w:ilvl w:val="0"/>
          <w:numId w:val="0"/>
        </w:numPr>
        <w:ind w:left="567" w:hanging="567"/>
      </w:pPr>
    </w:p>
    <w:sectPr w:rsidR="002E4C6D" w:rsidSect="00C6289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380CB" w14:textId="77777777" w:rsidR="0048668A" w:rsidRDefault="0048668A" w:rsidP="00896408">
      <w:r>
        <w:separator/>
      </w:r>
    </w:p>
  </w:endnote>
  <w:endnote w:type="continuationSeparator" w:id="0">
    <w:p w14:paraId="47CB10E5" w14:textId="77777777" w:rsidR="0048668A" w:rsidRDefault="0048668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6C62A" w14:textId="77777777" w:rsidR="005C579E" w:rsidRDefault="005C5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8957" w14:textId="77777777" w:rsidR="005C579E" w:rsidRDefault="005C5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DDDC4" w14:textId="77777777" w:rsidR="005C579E" w:rsidRDefault="005C5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B19FF" w14:textId="77777777" w:rsidR="0048668A" w:rsidRDefault="0048668A" w:rsidP="00896408">
      <w:r>
        <w:separator/>
      </w:r>
    </w:p>
  </w:footnote>
  <w:footnote w:type="continuationSeparator" w:id="0">
    <w:p w14:paraId="74080D85" w14:textId="77777777" w:rsidR="0048668A" w:rsidRDefault="0048668A"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3560B" w14:textId="77777777" w:rsidR="005C579E" w:rsidRDefault="005C5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4CBC1" w14:textId="77777777" w:rsidR="005C579E" w:rsidRDefault="005C5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A8797" w14:textId="77777777" w:rsidR="005C579E" w:rsidRDefault="005C5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67A6"/>
    <w:multiLevelType w:val="hybridMultilevel"/>
    <w:tmpl w:val="AA60CBB4"/>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0B23738">
      <w:start w:val="10"/>
      <w:numFmt w:val="bullet"/>
      <w:lvlText w:val="-"/>
      <w:lvlJc w:val="left"/>
      <w:pPr>
        <w:ind w:left="2880" w:hanging="360"/>
      </w:pPr>
      <w:rPr>
        <w:rFonts w:ascii="Times New Roman" w:eastAsia="SimSun" w:hAnsi="Times New Roman" w:cs="Times New Roman"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CFE2336"/>
    <w:multiLevelType w:val="hybridMultilevel"/>
    <w:tmpl w:val="19DE9AEC"/>
    <w:lvl w:ilvl="0" w:tplc="041D0001">
      <w:start w:val="1"/>
      <w:numFmt w:val="bullet"/>
      <w:lvlText w:val=""/>
      <w:lvlJc w:val="left"/>
      <w:pPr>
        <w:ind w:left="1120" w:hanging="360"/>
      </w:pPr>
      <w:rPr>
        <w:rFonts w:ascii="Symbol" w:hAnsi="Symbol" w:hint="default"/>
      </w:rPr>
    </w:lvl>
    <w:lvl w:ilvl="1" w:tplc="041D0003" w:tentative="1">
      <w:start w:val="1"/>
      <w:numFmt w:val="bullet"/>
      <w:lvlText w:val="o"/>
      <w:lvlJc w:val="left"/>
      <w:pPr>
        <w:ind w:left="1840" w:hanging="360"/>
      </w:pPr>
      <w:rPr>
        <w:rFonts w:ascii="Courier New" w:hAnsi="Courier New" w:cs="Courier New" w:hint="default"/>
      </w:rPr>
    </w:lvl>
    <w:lvl w:ilvl="2" w:tplc="041D0005" w:tentative="1">
      <w:start w:val="1"/>
      <w:numFmt w:val="bullet"/>
      <w:lvlText w:val=""/>
      <w:lvlJc w:val="left"/>
      <w:pPr>
        <w:ind w:left="2560" w:hanging="360"/>
      </w:pPr>
      <w:rPr>
        <w:rFonts w:ascii="Wingdings" w:hAnsi="Wingdings" w:hint="default"/>
      </w:rPr>
    </w:lvl>
    <w:lvl w:ilvl="3" w:tplc="041D0001" w:tentative="1">
      <w:start w:val="1"/>
      <w:numFmt w:val="bullet"/>
      <w:lvlText w:val=""/>
      <w:lvlJc w:val="left"/>
      <w:pPr>
        <w:ind w:left="3280" w:hanging="360"/>
      </w:pPr>
      <w:rPr>
        <w:rFonts w:ascii="Symbol" w:hAnsi="Symbol" w:hint="default"/>
      </w:rPr>
    </w:lvl>
    <w:lvl w:ilvl="4" w:tplc="041D0003" w:tentative="1">
      <w:start w:val="1"/>
      <w:numFmt w:val="bullet"/>
      <w:lvlText w:val="o"/>
      <w:lvlJc w:val="left"/>
      <w:pPr>
        <w:ind w:left="4000" w:hanging="360"/>
      </w:pPr>
      <w:rPr>
        <w:rFonts w:ascii="Courier New" w:hAnsi="Courier New" w:cs="Courier New" w:hint="default"/>
      </w:rPr>
    </w:lvl>
    <w:lvl w:ilvl="5" w:tplc="041D0005" w:tentative="1">
      <w:start w:val="1"/>
      <w:numFmt w:val="bullet"/>
      <w:lvlText w:val=""/>
      <w:lvlJc w:val="left"/>
      <w:pPr>
        <w:ind w:left="4720" w:hanging="360"/>
      </w:pPr>
      <w:rPr>
        <w:rFonts w:ascii="Wingdings" w:hAnsi="Wingdings" w:hint="default"/>
      </w:rPr>
    </w:lvl>
    <w:lvl w:ilvl="6" w:tplc="041D0001" w:tentative="1">
      <w:start w:val="1"/>
      <w:numFmt w:val="bullet"/>
      <w:lvlText w:val=""/>
      <w:lvlJc w:val="left"/>
      <w:pPr>
        <w:ind w:left="5440" w:hanging="360"/>
      </w:pPr>
      <w:rPr>
        <w:rFonts w:ascii="Symbol" w:hAnsi="Symbol" w:hint="default"/>
      </w:rPr>
    </w:lvl>
    <w:lvl w:ilvl="7" w:tplc="041D0003" w:tentative="1">
      <w:start w:val="1"/>
      <w:numFmt w:val="bullet"/>
      <w:lvlText w:val="o"/>
      <w:lvlJc w:val="left"/>
      <w:pPr>
        <w:ind w:left="6160" w:hanging="360"/>
      </w:pPr>
      <w:rPr>
        <w:rFonts w:ascii="Courier New" w:hAnsi="Courier New" w:cs="Courier New" w:hint="default"/>
      </w:rPr>
    </w:lvl>
    <w:lvl w:ilvl="8" w:tplc="041D0005" w:tentative="1">
      <w:start w:val="1"/>
      <w:numFmt w:val="bullet"/>
      <w:lvlText w:val=""/>
      <w:lvlJc w:val="left"/>
      <w:pPr>
        <w:ind w:left="6880" w:hanging="360"/>
      </w:pPr>
      <w:rPr>
        <w:rFonts w:ascii="Wingdings" w:hAnsi="Wingdings" w:hint="default"/>
      </w:rPr>
    </w:lvl>
  </w:abstractNum>
  <w:abstractNum w:abstractNumId="4" w15:restartNumberingAfterBreak="0">
    <w:nsid w:val="0D831F94"/>
    <w:multiLevelType w:val="hybridMultilevel"/>
    <w:tmpl w:val="416E6C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9154B8"/>
    <w:multiLevelType w:val="hybridMultilevel"/>
    <w:tmpl w:val="D3CE3B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483B46"/>
    <w:multiLevelType w:val="hybridMultilevel"/>
    <w:tmpl w:val="6AF60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C62B46"/>
    <w:multiLevelType w:val="hybridMultilevel"/>
    <w:tmpl w:val="9A3C7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01C0C"/>
    <w:multiLevelType w:val="hybridMultilevel"/>
    <w:tmpl w:val="11EE50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47CEC"/>
    <w:multiLevelType w:val="hybridMultilevel"/>
    <w:tmpl w:val="658E7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086A07"/>
    <w:multiLevelType w:val="hybridMultilevel"/>
    <w:tmpl w:val="6A605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4C000E"/>
    <w:multiLevelType w:val="hybridMultilevel"/>
    <w:tmpl w:val="B45A96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E461C"/>
    <w:multiLevelType w:val="hybridMultilevel"/>
    <w:tmpl w:val="D65C46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A829BA"/>
    <w:multiLevelType w:val="hybridMultilevel"/>
    <w:tmpl w:val="19D2E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B3F03"/>
    <w:multiLevelType w:val="hybridMultilevel"/>
    <w:tmpl w:val="115AF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9F0DB4"/>
    <w:multiLevelType w:val="hybridMultilevel"/>
    <w:tmpl w:val="D090A4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87C40"/>
    <w:multiLevelType w:val="hybridMultilevel"/>
    <w:tmpl w:val="B8447678"/>
    <w:lvl w:ilvl="0" w:tplc="04090001">
      <w:start w:val="1"/>
      <w:numFmt w:val="bullet"/>
      <w:lvlText w:val=""/>
      <w:lvlJc w:val="left"/>
      <w:pPr>
        <w:ind w:left="720" w:hanging="360"/>
      </w:pPr>
      <w:rPr>
        <w:rFonts w:ascii="Symbol" w:hAnsi="Symbol" w:hint="default"/>
      </w:rPr>
    </w:lvl>
    <w:lvl w:ilvl="1" w:tplc="341228EC">
      <w:numFmt w:val="bullet"/>
      <w:lvlText w:val="•"/>
      <w:lvlJc w:val="left"/>
      <w:pPr>
        <w:ind w:left="1590" w:hanging="51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5E1B"/>
    <w:multiLevelType w:val="hybridMultilevel"/>
    <w:tmpl w:val="185603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CB5ADE"/>
    <w:multiLevelType w:val="hybridMultilevel"/>
    <w:tmpl w:val="90E633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4033C"/>
    <w:multiLevelType w:val="hybridMultilevel"/>
    <w:tmpl w:val="9F32D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2514A6"/>
    <w:multiLevelType w:val="hybridMultilevel"/>
    <w:tmpl w:val="DB4EB78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C932E3"/>
    <w:multiLevelType w:val="hybridMultilevel"/>
    <w:tmpl w:val="BCCC6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9A06D9"/>
    <w:multiLevelType w:val="hybridMultilevel"/>
    <w:tmpl w:val="E8188F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1320E0"/>
    <w:multiLevelType w:val="hybridMultilevel"/>
    <w:tmpl w:val="4976A0A4"/>
    <w:lvl w:ilvl="0" w:tplc="3AD2FBA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3B2D16"/>
    <w:multiLevelType w:val="hybridMultilevel"/>
    <w:tmpl w:val="A3AA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8449C"/>
    <w:multiLevelType w:val="hybridMultilevel"/>
    <w:tmpl w:val="94E000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14650D"/>
    <w:multiLevelType w:val="hybridMultilevel"/>
    <w:tmpl w:val="B8726E70"/>
    <w:lvl w:ilvl="0" w:tplc="C2ACB3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114D7F"/>
    <w:multiLevelType w:val="hybridMultilevel"/>
    <w:tmpl w:val="9CC6CA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B495A2D"/>
    <w:multiLevelType w:val="hybridMultilevel"/>
    <w:tmpl w:val="720A53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FF7DCB"/>
    <w:multiLevelType w:val="hybridMultilevel"/>
    <w:tmpl w:val="438E0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AE5B72"/>
    <w:multiLevelType w:val="hybridMultilevel"/>
    <w:tmpl w:val="0C50D0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E43A51"/>
    <w:multiLevelType w:val="hybridMultilevel"/>
    <w:tmpl w:val="33BC09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86375"/>
    <w:multiLevelType w:val="hybridMultilevel"/>
    <w:tmpl w:val="95AA0CE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320D8D"/>
    <w:multiLevelType w:val="hybridMultilevel"/>
    <w:tmpl w:val="01E4C1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FB7749B"/>
    <w:multiLevelType w:val="hybridMultilevel"/>
    <w:tmpl w:val="DB4EB78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18"/>
  </w:num>
  <w:num w:numId="4">
    <w:abstractNumId w:val="27"/>
  </w:num>
  <w:num w:numId="5">
    <w:abstractNumId w:val="12"/>
  </w:num>
  <w:num w:numId="6">
    <w:abstractNumId w:val="10"/>
  </w:num>
  <w:num w:numId="7">
    <w:abstractNumId w:val="31"/>
  </w:num>
  <w:num w:numId="8">
    <w:abstractNumId w:val="22"/>
  </w:num>
  <w:num w:numId="9">
    <w:abstractNumId w:val="13"/>
  </w:num>
  <w:num w:numId="10">
    <w:abstractNumId w:val="41"/>
  </w:num>
  <w:num w:numId="11">
    <w:abstractNumId w:val="19"/>
  </w:num>
  <w:num w:numId="12">
    <w:abstractNumId w:val="6"/>
  </w:num>
  <w:num w:numId="13">
    <w:abstractNumId w:val="4"/>
  </w:num>
  <w:num w:numId="14">
    <w:abstractNumId w:val="24"/>
  </w:num>
  <w:num w:numId="15">
    <w:abstractNumId w:val="3"/>
  </w:num>
  <w:num w:numId="16">
    <w:abstractNumId w:val="33"/>
  </w:num>
  <w:num w:numId="17">
    <w:abstractNumId w:val="34"/>
  </w:num>
  <w:num w:numId="18">
    <w:abstractNumId w:val="7"/>
  </w:num>
  <w:num w:numId="19">
    <w:abstractNumId w:val="2"/>
  </w:num>
  <w:num w:numId="20">
    <w:abstractNumId w:val="40"/>
  </w:num>
  <w:num w:numId="21">
    <w:abstractNumId w:val="32"/>
  </w:num>
  <w:num w:numId="22">
    <w:abstractNumId w:val="28"/>
  </w:num>
  <w:num w:numId="23">
    <w:abstractNumId w:val="39"/>
  </w:num>
  <w:num w:numId="24">
    <w:abstractNumId w:val="1"/>
  </w:num>
  <w:num w:numId="25">
    <w:abstractNumId w:val="8"/>
  </w:num>
  <w:num w:numId="26">
    <w:abstractNumId w:val="38"/>
  </w:num>
  <w:num w:numId="27">
    <w:abstractNumId w:val="15"/>
  </w:num>
  <w:num w:numId="28">
    <w:abstractNumId w:val="29"/>
  </w:num>
  <w:num w:numId="29">
    <w:abstractNumId w:val="0"/>
  </w:num>
  <w:num w:numId="30">
    <w:abstractNumId w:val="35"/>
  </w:num>
  <w:num w:numId="31">
    <w:abstractNumId w:val="26"/>
  </w:num>
  <w:num w:numId="32">
    <w:abstractNumId w:val="9"/>
  </w:num>
  <w:num w:numId="33">
    <w:abstractNumId w:val="17"/>
  </w:num>
  <w:num w:numId="34">
    <w:abstractNumId w:val="36"/>
  </w:num>
  <w:num w:numId="35">
    <w:abstractNumId w:val="37"/>
  </w:num>
  <w:num w:numId="36">
    <w:abstractNumId w:val="23"/>
  </w:num>
  <w:num w:numId="37">
    <w:abstractNumId w:val="20"/>
  </w:num>
  <w:num w:numId="38">
    <w:abstractNumId w:val="5"/>
  </w:num>
  <w:num w:numId="39">
    <w:abstractNumId w:val="16"/>
  </w:num>
  <w:num w:numId="40">
    <w:abstractNumId w:val="25"/>
  </w:num>
  <w:num w:numId="41">
    <w:abstractNumId w:val="11"/>
  </w:num>
  <w:num w:numId="42">
    <w:abstractNumId w:val="30"/>
  </w:num>
  <w:num w:numId="43">
    <w:abstractNumId w:val="43"/>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617F"/>
    <w:rsid w:val="000208D5"/>
    <w:rsid w:val="00021435"/>
    <w:rsid w:val="00024F13"/>
    <w:rsid w:val="00034EFF"/>
    <w:rsid w:val="000642A3"/>
    <w:rsid w:val="000673F5"/>
    <w:rsid w:val="000772DC"/>
    <w:rsid w:val="00083069"/>
    <w:rsid w:val="0009344A"/>
    <w:rsid w:val="000B0A0B"/>
    <w:rsid w:val="000B6961"/>
    <w:rsid w:val="000C4A8E"/>
    <w:rsid w:val="000C5F12"/>
    <w:rsid w:val="000C7647"/>
    <w:rsid w:val="00106665"/>
    <w:rsid w:val="00124EB6"/>
    <w:rsid w:val="001372E8"/>
    <w:rsid w:val="00172B21"/>
    <w:rsid w:val="00192A1D"/>
    <w:rsid w:val="001B6357"/>
    <w:rsid w:val="001B64CA"/>
    <w:rsid w:val="001E2FED"/>
    <w:rsid w:val="001E5AFE"/>
    <w:rsid w:val="001F5876"/>
    <w:rsid w:val="002553B4"/>
    <w:rsid w:val="00262FC3"/>
    <w:rsid w:val="0028065B"/>
    <w:rsid w:val="00286B6D"/>
    <w:rsid w:val="00292CE7"/>
    <w:rsid w:val="002B0DDD"/>
    <w:rsid w:val="002B59EF"/>
    <w:rsid w:val="002D263D"/>
    <w:rsid w:val="002E0FF8"/>
    <w:rsid w:val="002E4C6D"/>
    <w:rsid w:val="002F7B68"/>
    <w:rsid w:val="00313725"/>
    <w:rsid w:val="003220AA"/>
    <w:rsid w:val="0033205D"/>
    <w:rsid w:val="00341942"/>
    <w:rsid w:val="0034475B"/>
    <w:rsid w:val="0035540F"/>
    <w:rsid w:val="00360D53"/>
    <w:rsid w:val="00365BA9"/>
    <w:rsid w:val="00365CE4"/>
    <w:rsid w:val="00393FEA"/>
    <w:rsid w:val="00394B27"/>
    <w:rsid w:val="003A3D8B"/>
    <w:rsid w:val="003C1DC4"/>
    <w:rsid w:val="003D4A05"/>
    <w:rsid w:val="003F232C"/>
    <w:rsid w:val="00416DEC"/>
    <w:rsid w:val="00450FA7"/>
    <w:rsid w:val="00452212"/>
    <w:rsid w:val="00462E49"/>
    <w:rsid w:val="0048093F"/>
    <w:rsid w:val="00484C91"/>
    <w:rsid w:val="0048668A"/>
    <w:rsid w:val="004900B0"/>
    <w:rsid w:val="004B6C81"/>
    <w:rsid w:val="004C00C1"/>
    <w:rsid w:val="004C672E"/>
    <w:rsid w:val="004D7FE0"/>
    <w:rsid w:val="004F430F"/>
    <w:rsid w:val="004F6E72"/>
    <w:rsid w:val="00502F10"/>
    <w:rsid w:val="00504A5D"/>
    <w:rsid w:val="005053EA"/>
    <w:rsid w:val="0050616A"/>
    <w:rsid w:val="00511208"/>
    <w:rsid w:val="005164F1"/>
    <w:rsid w:val="0052140E"/>
    <w:rsid w:val="0053186E"/>
    <w:rsid w:val="00544261"/>
    <w:rsid w:val="005514B5"/>
    <w:rsid w:val="005838EA"/>
    <w:rsid w:val="00585773"/>
    <w:rsid w:val="005C579E"/>
    <w:rsid w:val="005C77FC"/>
    <w:rsid w:val="005D04D6"/>
    <w:rsid w:val="00614513"/>
    <w:rsid w:val="006249FD"/>
    <w:rsid w:val="0063517D"/>
    <w:rsid w:val="00666BD1"/>
    <w:rsid w:val="00672D94"/>
    <w:rsid w:val="00674051"/>
    <w:rsid w:val="00682798"/>
    <w:rsid w:val="0068782F"/>
    <w:rsid w:val="006A286A"/>
    <w:rsid w:val="006B21CA"/>
    <w:rsid w:val="006C7AB7"/>
    <w:rsid w:val="006D2219"/>
    <w:rsid w:val="00701F1C"/>
    <w:rsid w:val="00706D43"/>
    <w:rsid w:val="007111E2"/>
    <w:rsid w:val="00714F6D"/>
    <w:rsid w:val="00737C08"/>
    <w:rsid w:val="0078136E"/>
    <w:rsid w:val="00785910"/>
    <w:rsid w:val="00785B81"/>
    <w:rsid w:val="007A6612"/>
    <w:rsid w:val="007A72B4"/>
    <w:rsid w:val="007C690E"/>
    <w:rsid w:val="007D5680"/>
    <w:rsid w:val="007F5DBD"/>
    <w:rsid w:val="00802FBE"/>
    <w:rsid w:val="008412FD"/>
    <w:rsid w:val="00857E6D"/>
    <w:rsid w:val="00860E63"/>
    <w:rsid w:val="00896408"/>
    <w:rsid w:val="008A0342"/>
    <w:rsid w:val="008D69A9"/>
    <w:rsid w:val="00900A98"/>
    <w:rsid w:val="00922798"/>
    <w:rsid w:val="00931200"/>
    <w:rsid w:val="009367BE"/>
    <w:rsid w:val="00942F98"/>
    <w:rsid w:val="00945406"/>
    <w:rsid w:val="00946303"/>
    <w:rsid w:val="009564F5"/>
    <w:rsid w:val="00957ED7"/>
    <w:rsid w:val="009740DC"/>
    <w:rsid w:val="009770FF"/>
    <w:rsid w:val="009A0611"/>
    <w:rsid w:val="009E46CD"/>
    <w:rsid w:val="009F7D8C"/>
    <w:rsid w:val="00A42CFD"/>
    <w:rsid w:val="00A6549D"/>
    <w:rsid w:val="00A92581"/>
    <w:rsid w:val="00AA4C0D"/>
    <w:rsid w:val="00AB48FE"/>
    <w:rsid w:val="00AB5904"/>
    <w:rsid w:val="00AC5D2E"/>
    <w:rsid w:val="00AC643E"/>
    <w:rsid w:val="00B03ED8"/>
    <w:rsid w:val="00B06102"/>
    <w:rsid w:val="00B1604D"/>
    <w:rsid w:val="00B368D9"/>
    <w:rsid w:val="00B46598"/>
    <w:rsid w:val="00B5007A"/>
    <w:rsid w:val="00B715F8"/>
    <w:rsid w:val="00B72FED"/>
    <w:rsid w:val="00B739EF"/>
    <w:rsid w:val="00B86D40"/>
    <w:rsid w:val="00B9752A"/>
    <w:rsid w:val="00BB2430"/>
    <w:rsid w:val="00BB7B54"/>
    <w:rsid w:val="00BC61C7"/>
    <w:rsid w:val="00BE25D1"/>
    <w:rsid w:val="00BE3E7C"/>
    <w:rsid w:val="00BE4063"/>
    <w:rsid w:val="00BF6ABA"/>
    <w:rsid w:val="00C074E0"/>
    <w:rsid w:val="00C1560A"/>
    <w:rsid w:val="00C25ED8"/>
    <w:rsid w:val="00C27BC3"/>
    <w:rsid w:val="00C50236"/>
    <w:rsid w:val="00C56D9A"/>
    <w:rsid w:val="00C60FA1"/>
    <w:rsid w:val="00C62894"/>
    <w:rsid w:val="00C66E71"/>
    <w:rsid w:val="00C77098"/>
    <w:rsid w:val="00C8496C"/>
    <w:rsid w:val="00C8651A"/>
    <w:rsid w:val="00CA7BC4"/>
    <w:rsid w:val="00CB5A40"/>
    <w:rsid w:val="00CC1CA7"/>
    <w:rsid w:val="00CD1737"/>
    <w:rsid w:val="00CE6CB0"/>
    <w:rsid w:val="00CE7B9C"/>
    <w:rsid w:val="00D03072"/>
    <w:rsid w:val="00D16A42"/>
    <w:rsid w:val="00D43BA3"/>
    <w:rsid w:val="00D44A43"/>
    <w:rsid w:val="00D54895"/>
    <w:rsid w:val="00D577BB"/>
    <w:rsid w:val="00D677A2"/>
    <w:rsid w:val="00D92AB5"/>
    <w:rsid w:val="00DA27DA"/>
    <w:rsid w:val="00DB5084"/>
    <w:rsid w:val="00DB6ED2"/>
    <w:rsid w:val="00DC2E6E"/>
    <w:rsid w:val="00DD11CB"/>
    <w:rsid w:val="00DE1BAA"/>
    <w:rsid w:val="00E10C1F"/>
    <w:rsid w:val="00E20E32"/>
    <w:rsid w:val="00E2157C"/>
    <w:rsid w:val="00E25B87"/>
    <w:rsid w:val="00E30C81"/>
    <w:rsid w:val="00E33BAF"/>
    <w:rsid w:val="00E34104"/>
    <w:rsid w:val="00E35E76"/>
    <w:rsid w:val="00E55D5E"/>
    <w:rsid w:val="00E73C4A"/>
    <w:rsid w:val="00E83266"/>
    <w:rsid w:val="00EB26FB"/>
    <w:rsid w:val="00EC1F08"/>
    <w:rsid w:val="00EC2F3D"/>
    <w:rsid w:val="00EE2EAD"/>
    <w:rsid w:val="00EF603E"/>
    <w:rsid w:val="00F04346"/>
    <w:rsid w:val="00F346B4"/>
    <w:rsid w:val="00F512F5"/>
    <w:rsid w:val="00F61675"/>
    <w:rsid w:val="00F618ED"/>
    <w:rsid w:val="00F74C55"/>
    <w:rsid w:val="00F81C1C"/>
    <w:rsid w:val="00F8504A"/>
    <w:rsid w:val="00F92325"/>
    <w:rsid w:val="00F929FB"/>
    <w:rsid w:val="00FA2D6F"/>
    <w:rsid w:val="00FC7919"/>
    <w:rsid w:val="00FD0EBD"/>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A9F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19"/>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20"/>
      </w:numPr>
    </w:pPr>
  </w:style>
  <w:style w:type="paragraph" w:customStyle="1" w:styleId="B1">
    <w:name w:val="B1"/>
    <w:basedOn w:val="List"/>
    <w:link w:val="B1Zchn"/>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styleId="CommentReference">
    <w:name w:val="annotation reference"/>
    <w:basedOn w:val="DefaultParagraphFont"/>
    <w:uiPriority w:val="99"/>
    <w:semiHidden/>
    <w:unhideWhenUsed/>
    <w:rsid w:val="000673F5"/>
    <w:rPr>
      <w:sz w:val="16"/>
      <w:szCs w:val="16"/>
    </w:rPr>
  </w:style>
  <w:style w:type="paragraph" w:styleId="CommentText">
    <w:name w:val="annotation text"/>
    <w:basedOn w:val="Normal"/>
    <w:link w:val="CommentTextChar"/>
    <w:uiPriority w:val="99"/>
    <w:semiHidden/>
    <w:unhideWhenUsed/>
    <w:rsid w:val="000673F5"/>
    <w:rPr>
      <w:szCs w:val="20"/>
    </w:rPr>
  </w:style>
  <w:style w:type="character" w:customStyle="1" w:styleId="CommentTextChar">
    <w:name w:val="Comment Text Char"/>
    <w:basedOn w:val="DefaultParagraphFont"/>
    <w:link w:val="CommentText"/>
    <w:uiPriority w:val="99"/>
    <w:semiHidden/>
    <w:rsid w:val="000673F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0673F5"/>
    <w:rPr>
      <w:b/>
      <w:bCs/>
    </w:rPr>
  </w:style>
  <w:style w:type="character" w:customStyle="1" w:styleId="CommentSubjectChar">
    <w:name w:val="Comment Subject Char"/>
    <w:basedOn w:val="CommentTextChar"/>
    <w:link w:val="CommentSubject"/>
    <w:uiPriority w:val="99"/>
    <w:semiHidden/>
    <w:rsid w:val="000673F5"/>
    <w:rPr>
      <w:rFonts w:ascii="Times New Roman"/>
      <w:b/>
      <w:bCs/>
      <w:sz w:val="20"/>
      <w:szCs w:val="20"/>
    </w:rPr>
  </w:style>
  <w:style w:type="paragraph" w:styleId="BalloonText">
    <w:name w:val="Balloon Text"/>
    <w:basedOn w:val="Normal"/>
    <w:link w:val="BalloonTextChar"/>
    <w:uiPriority w:val="99"/>
    <w:semiHidden/>
    <w:unhideWhenUsed/>
    <w:rsid w:val="00067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9C3F-2025-43A5-8E22-7E3201AD9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2018-02-16T14:05:00Z</dcterms:created>
  <dcterms:modified xsi:type="dcterms:W3CDTF">2018-02-16T14:05:00Z</dcterms:modified>
</cp:coreProperties>
</file>