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B7C8A5" w14:textId="759F58E6" w:rsidR="00C913C2" w:rsidRPr="00DA12F7" w:rsidRDefault="00C913C2" w:rsidP="00C4782E">
      <w:pPr>
        <w:tabs>
          <w:tab w:val="right" w:pos="9972"/>
        </w:tabs>
        <w:spacing w:after="0"/>
      </w:pPr>
      <w:r>
        <w:rPr>
          <w:rFonts w:ascii="Arial" w:hAnsi="Arial" w:cs="Arial"/>
          <w:b/>
          <w:sz w:val="24"/>
        </w:rPr>
        <w:t>3GPP TSG RAN WG1 Meeting #92</w:t>
      </w:r>
      <w:r w:rsidRPr="00DA12F7">
        <w:rPr>
          <w:rFonts w:ascii="Arial" w:hAnsi="Arial" w:cs="Arial"/>
          <w:b/>
          <w:sz w:val="24"/>
        </w:rPr>
        <w:tab/>
      </w:r>
      <w:r w:rsidRPr="00947A60">
        <w:rPr>
          <w:rFonts w:ascii="Arial" w:hAnsi="Arial" w:cs="Arial"/>
          <w:b/>
          <w:sz w:val="24"/>
        </w:rPr>
        <w:t>R1-180</w:t>
      </w:r>
      <w:r w:rsidR="00C4782E">
        <w:rPr>
          <w:rFonts w:ascii="Arial" w:hAnsi="Arial" w:cs="Arial"/>
          <w:b/>
          <w:sz w:val="24"/>
        </w:rPr>
        <w:t>2836</w:t>
      </w:r>
    </w:p>
    <w:p w14:paraId="0A992169" w14:textId="77777777" w:rsidR="00C913C2" w:rsidRPr="00DA12F7" w:rsidRDefault="00C913C2" w:rsidP="00C913C2">
      <w:pPr>
        <w:tabs>
          <w:tab w:val="right" w:pos="9630"/>
        </w:tabs>
        <w:spacing w:after="0"/>
        <w:rPr>
          <w:rFonts w:ascii="Arial" w:hAnsi="Arial" w:cs="Arial"/>
          <w:b/>
          <w:sz w:val="24"/>
          <w:szCs w:val="24"/>
        </w:rPr>
      </w:pPr>
      <w:r w:rsidRPr="00F4082C">
        <w:rPr>
          <w:rFonts w:ascii="Arial" w:hAnsi="Arial" w:cs="Arial"/>
          <w:b/>
          <w:bCs/>
          <w:sz w:val="24"/>
          <w:szCs w:val="24"/>
        </w:rPr>
        <w:t>Athens, Greece, February 26</w:t>
      </w:r>
      <w:r w:rsidRPr="00F4082C">
        <w:rPr>
          <w:rFonts w:ascii="Arial" w:hAnsi="Arial" w:cs="Arial"/>
          <w:b/>
          <w:bCs/>
          <w:sz w:val="24"/>
          <w:szCs w:val="24"/>
          <w:vertAlign w:val="superscript"/>
        </w:rPr>
        <w:t>th</w:t>
      </w:r>
      <w:r w:rsidRPr="00F4082C">
        <w:rPr>
          <w:rFonts w:ascii="Arial" w:hAnsi="Arial" w:cs="Arial"/>
          <w:b/>
          <w:bCs/>
          <w:sz w:val="24"/>
          <w:szCs w:val="24"/>
        </w:rPr>
        <w:t xml:space="preserve"> – March 2</w:t>
      </w:r>
      <w:r w:rsidRPr="00F4082C">
        <w:rPr>
          <w:rFonts w:ascii="Arial" w:hAnsi="Arial" w:cs="Arial"/>
          <w:b/>
          <w:bCs/>
          <w:sz w:val="24"/>
          <w:szCs w:val="24"/>
          <w:vertAlign w:val="superscript"/>
        </w:rPr>
        <w:t>nd</w:t>
      </w:r>
      <w:r w:rsidRPr="00F4082C">
        <w:rPr>
          <w:rFonts w:ascii="Arial" w:hAnsi="Arial" w:cs="Arial"/>
          <w:b/>
          <w:bCs/>
          <w:sz w:val="24"/>
          <w:szCs w:val="24"/>
        </w:rPr>
        <w:t>, 2018</w:t>
      </w:r>
    </w:p>
    <w:p w14:paraId="07970799" w14:textId="77777777" w:rsidR="00B75493" w:rsidRPr="000A64D8" w:rsidRDefault="00B75493" w:rsidP="00B75493">
      <w:pPr>
        <w:pStyle w:val="Footer"/>
        <w:jc w:val="both"/>
        <w:rPr>
          <w:noProof w:val="0"/>
        </w:rPr>
      </w:pPr>
    </w:p>
    <w:p w14:paraId="480B252A" w14:textId="5FA604D9" w:rsidR="00B75493" w:rsidRPr="000A64D8" w:rsidRDefault="00B75493" w:rsidP="00B75493">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CA5F07">
        <w:rPr>
          <w:rFonts w:ascii="Arial" w:hAnsi="Arial"/>
          <w:sz w:val="24"/>
        </w:rPr>
        <w:t>7</w:t>
      </w:r>
      <w:r w:rsidR="008D0F91">
        <w:rPr>
          <w:rFonts w:ascii="Arial" w:hAnsi="Arial"/>
          <w:sz w:val="24"/>
        </w:rPr>
        <w:t>.3.1.</w:t>
      </w:r>
      <w:r w:rsidR="00CA5F07">
        <w:rPr>
          <w:rFonts w:ascii="Arial" w:hAnsi="Arial"/>
          <w:sz w:val="24"/>
        </w:rPr>
        <w:t>4</w:t>
      </w:r>
    </w:p>
    <w:p w14:paraId="6E9D9904" w14:textId="77777777" w:rsidR="00B75493" w:rsidRPr="000A64D8" w:rsidRDefault="00B75493" w:rsidP="00B7549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2F0429B6" w14:textId="670FCAF9" w:rsidR="00B75493" w:rsidRPr="00736CD8" w:rsidRDefault="00B75493" w:rsidP="00B75493">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CA5F07">
        <w:rPr>
          <w:rFonts w:ascii="Arial" w:hAnsi="Arial"/>
          <w:sz w:val="24"/>
          <w:szCs w:val="24"/>
        </w:rPr>
        <w:t>Discussion on DCI related issues</w:t>
      </w:r>
    </w:p>
    <w:p w14:paraId="43B7F87F" w14:textId="4DC0FD50" w:rsidR="0068226B" w:rsidRDefault="00B75493" w:rsidP="00B7549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14:paraId="43B7F880" w14:textId="77777777" w:rsidR="004503F9" w:rsidRPr="00183CB7" w:rsidRDefault="004503F9" w:rsidP="004503F9">
      <w:pPr>
        <w:pStyle w:val="Heading1"/>
      </w:pPr>
      <w:r w:rsidRPr="00183CB7">
        <w:t>Introduction</w:t>
      </w:r>
    </w:p>
    <w:p w14:paraId="3BD06C7B" w14:textId="6F82A8F2" w:rsidR="002277AA" w:rsidRDefault="00877B1B" w:rsidP="00F32FE3">
      <w:pPr>
        <w:jc w:val="both"/>
        <w:rPr>
          <w:szCs w:val="22"/>
        </w:rPr>
      </w:pPr>
      <w:r>
        <w:rPr>
          <w:szCs w:val="22"/>
        </w:rPr>
        <w:t>This contribution discusses some aspects related to DCI formats as follows:</w:t>
      </w:r>
    </w:p>
    <w:p w14:paraId="02982D8D" w14:textId="54FA9DF1" w:rsidR="00877B1B" w:rsidRDefault="00877B1B" w:rsidP="00885F7D">
      <w:pPr>
        <w:pStyle w:val="ListParagraph"/>
        <w:numPr>
          <w:ilvl w:val="0"/>
          <w:numId w:val="39"/>
        </w:numPr>
      </w:pPr>
      <w:r>
        <w:t>DCI triggering aperiodic TRS</w:t>
      </w:r>
    </w:p>
    <w:p w14:paraId="2D8A1B37" w14:textId="449445A6" w:rsidR="00877B1B" w:rsidRDefault="00877B1B" w:rsidP="00885F7D">
      <w:pPr>
        <w:pStyle w:val="ListParagraph"/>
        <w:numPr>
          <w:ilvl w:val="0"/>
          <w:numId w:val="39"/>
        </w:numPr>
      </w:pPr>
      <w:r>
        <w:t>DCI size quantization</w:t>
      </w:r>
    </w:p>
    <w:p w14:paraId="17AB8FD1" w14:textId="787D79D1" w:rsidR="00182741" w:rsidRDefault="00182741" w:rsidP="00182741">
      <w:pPr>
        <w:pStyle w:val="Heading1"/>
      </w:pPr>
      <w:r>
        <w:t>DCI triggering aperiodic TRS</w:t>
      </w:r>
    </w:p>
    <w:p w14:paraId="1536944E" w14:textId="13D255AE" w:rsidR="00111F6B" w:rsidRPr="00FB7009" w:rsidRDefault="0094662F" w:rsidP="00FB7009">
      <w:r>
        <w:rPr>
          <w:lang w:val="en-GB"/>
        </w:rPr>
        <w:t>Multiple use cases for aperiodic TRS (CSI-RS for tracking) have been identified and discussed in RAN1</w:t>
      </w:r>
      <w:r w:rsidR="00FB7009">
        <w:rPr>
          <w:lang w:val="en-GB"/>
        </w:rPr>
        <w:t>#91</w:t>
      </w:r>
      <w:r w:rsidR="007C286F">
        <w:rPr>
          <w:lang w:val="en-GB"/>
        </w:rPr>
        <w:t xml:space="preserve"> [1]</w:t>
      </w:r>
      <w:r>
        <w:rPr>
          <w:lang w:val="en-GB"/>
        </w:rPr>
        <w:t xml:space="preserve">. This contribution provides details on how to signal aperiodic </w:t>
      </w:r>
      <w:r w:rsidR="007C286F">
        <w:rPr>
          <w:lang w:val="en-GB"/>
        </w:rPr>
        <w:t xml:space="preserve">TRS triggering via DCI. </w:t>
      </w:r>
      <w:r w:rsidR="00FB7009">
        <w:rPr>
          <w:lang w:val="en-GB"/>
        </w:rPr>
        <w:t xml:space="preserve">Periodic TRS has been already agreed and introduced for robust data reception performance in NR to replace one of CRS functionality in LTE, which includes time and frequency tracking, Doppler and Delay spread estimation and power delay profile estimation. In contiguous operation in connected mode, periodic TRS can provide reference for good demodulation performance at UE. </w:t>
      </w:r>
      <w:r w:rsidR="00C52117">
        <w:rPr>
          <w:lang w:val="en-GB"/>
        </w:rPr>
        <w:t>Unfortunately,</w:t>
      </w:r>
      <w:r w:rsidR="00FB7009">
        <w:rPr>
          <w:lang w:val="en-GB"/>
        </w:rPr>
        <w:t xml:space="preserve"> there are many events in NR which may need more than periodic TRS. A</w:t>
      </w:r>
      <w:r w:rsidR="00111F6B" w:rsidRPr="00FB7009">
        <w:t xml:space="preserve">periodic TRS is essential given we have many aperiodic events as well as some periodic events which may not be aligned with periodic TRS. </w:t>
      </w:r>
      <w:r w:rsidR="00C829B6">
        <w:t>Use cases for aperiodic TRS are summarized below.</w:t>
      </w:r>
    </w:p>
    <w:p w14:paraId="69E44089" w14:textId="7A230ED8" w:rsidR="00111F6B" w:rsidRPr="00FB7009" w:rsidRDefault="00111F6B" w:rsidP="00FB7009">
      <w:pPr>
        <w:numPr>
          <w:ilvl w:val="0"/>
          <w:numId w:val="41"/>
        </w:numPr>
      </w:pPr>
      <w:r w:rsidRPr="00FB7009">
        <w:t>Aperiodic event</w:t>
      </w:r>
      <w:r w:rsidR="00FB7009">
        <w:t>s</w:t>
      </w:r>
    </w:p>
    <w:p w14:paraId="748CBD8E" w14:textId="1240B40E" w:rsidR="00111F6B" w:rsidRPr="00FB7009" w:rsidRDefault="00111F6B" w:rsidP="00FB7009">
      <w:pPr>
        <w:numPr>
          <w:ilvl w:val="1"/>
          <w:numId w:val="41"/>
        </w:numPr>
      </w:pPr>
      <w:r w:rsidRPr="00FB7009">
        <w:t xml:space="preserve">SCell activation </w:t>
      </w:r>
    </w:p>
    <w:p w14:paraId="5650DF1B" w14:textId="4C037906" w:rsidR="00111F6B" w:rsidRDefault="00111F6B" w:rsidP="00FB7009">
      <w:pPr>
        <w:numPr>
          <w:ilvl w:val="2"/>
          <w:numId w:val="41"/>
        </w:numPr>
      </w:pPr>
      <w:r w:rsidRPr="00FB7009">
        <w:t xml:space="preserve">Without aperiodic TRS, SCell activation can be delayed further up to TRS periodicity (max 80 ms on top of </w:t>
      </w:r>
      <w:r w:rsidR="00C80492">
        <w:t xml:space="preserve">SCell </w:t>
      </w:r>
      <w:r w:rsidRPr="00FB7009">
        <w:t>activation</w:t>
      </w:r>
      <w:r>
        <w:t xml:space="preserve"> procedure</w:t>
      </w:r>
      <w:r w:rsidRPr="00FB7009">
        <w:t xml:space="preserve"> delay).</w:t>
      </w:r>
    </w:p>
    <w:p w14:paraId="3C46B039" w14:textId="14154993" w:rsidR="00C829B6" w:rsidRPr="00FB7009" w:rsidRDefault="00C829B6" w:rsidP="00FB7009">
      <w:pPr>
        <w:numPr>
          <w:ilvl w:val="2"/>
          <w:numId w:val="41"/>
        </w:numPr>
      </w:pPr>
      <w:r>
        <w:t xml:space="preserve">For SCell activation, network can activate SCell followed by aperiodic TRS, aperiodic CSI-RS. </w:t>
      </w:r>
      <w:r w:rsidR="007B6F80">
        <w:t xml:space="preserve">After SCell activation, UE can perform </w:t>
      </w:r>
      <w:r w:rsidR="00396E66">
        <w:t>tracking based on TRS and CSI estimation and reporting based on CSI-RS. Network would be able to start data transmission based on reported CSI.</w:t>
      </w:r>
    </w:p>
    <w:p w14:paraId="295D9810" w14:textId="60221177" w:rsidR="008060FA" w:rsidRDefault="008060FA" w:rsidP="00FB7009">
      <w:pPr>
        <w:numPr>
          <w:ilvl w:val="1"/>
          <w:numId w:val="41"/>
        </w:numPr>
      </w:pPr>
      <w:r>
        <w:t>BWP switching</w:t>
      </w:r>
    </w:p>
    <w:p w14:paraId="1604F8C5" w14:textId="01D19B2D" w:rsidR="008060FA" w:rsidRDefault="008060FA" w:rsidP="008060FA">
      <w:pPr>
        <w:numPr>
          <w:ilvl w:val="2"/>
          <w:numId w:val="41"/>
        </w:numPr>
      </w:pPr>
      <w:r>
        <w:t xml:space="preserve">Upon BWP switching especially including RF retuning, a new reference signals for tracking is desirable before starting proper data </w:t>
      </w:r>
      <w:r w:rsidR="00AF3E20">
        <w:t>reception.</w:t>
      </w:r>
    </w:p>
    <w:p w14:paraId="613AB702" w14:textId="5CF71B62" w:rsidR="00396E66" w:rsidRDefault="00396E66" w:rsidP="008060FA">
      <w:pPr>
        <w:numPr>
          <w:ilvl w:val="2"/>
          <w:numId w:val="41"/>
        </w:numPr>
      </w:pPr>
      <w:r>
        <w:t>Similar to SCell activation, BWP switching can exploit aperiodic TRS and aperiodic CSI-RS for faster link adaptation.</w:t>
      </w:r>
    </w:p>
    <w:p w14:paraId="778BE5A6" w14:textId="198BF5B3" w:rsidR="00111F6B" w:rsidRPr="00FB7009" w:rsidRDefault="00111F6B" w:rsidP="00FB7009">
      <w:pPr>
        <w:numPr>
          <w:ilvl w:val="1"/>
          <w:numId w:val="41"/>
        </w:numPr>
      </w:pPr>
      <w:r w:rsidRPr="00FB7009">
        <w:t xml:space="preserve">Multi-beam change </w:t>
      </w:r>
    </w:p>
    <w:p w14:paraId="4CF5FF26" w14:textId="6D8BCEC8" w:rsidR="00111F6B" w:rsidRPr="00FB7009" w:rsidRDefault="00111F6B" w:rsidP="00FB7009">
      <w:pPr>
        <w:numPr>
          <w:ilvl w:val="2"/>
          <w:numId w:val="41"/>
        </w:numPr>
      </w:pPr>
      <w:r w:rsidRPr="00FB7009">
        <w:t>Without aperiodic TRS, data reception can be delayed up to TRS periodicity</w:t>
      </w:r>
      <w:r w:rsidR="001E17B7">
        <w:t xml:space="preserve"> in addition to other delays involved with beam change</w:t>
      </w:r>
      <w:r w:rsidRPr="00FB7009">
        <w:t>.</w:t>
      </w:r>
    </w:p>
    <w:p w14:paraId="144A39BC" w14:textId="7DBC6B9E" w:rsidR="00111F6B" w:rsidRDefault="00C80492" w:rsidP="00FB7009">
      <w:pPr>
        <w:numPr>
          <w:ilvl w:val="3"/>
          <w:numId w:val="41"/>
        </w:numPr>
      </w:pPr>
      <w:r>
        <w:t>Practically i</w:t>
      </w:r>
      <w:r w:rsidR="00111F6B" w:rsidRPr="00FB7009">
        <w:t>t is assumed that UE is not tracking TRS from multiple beams simultaneously</w:t>
      </w:r>
    </w:p>
    <w:p w14:paraId="4079803D" w14:textId="0BDE0AE4" w:rsidR="00396E66" w:rsidRPr="00FB7009" w:rsidRDefault="00396E66" w:rsidP="00396E66">
      <w:pPr>
        <w:numPr>
          <w:ilvl w:val="2"/>
          <w:numId w:val="41"/>
        </w:numPr>
      </w:pPr>
      <w:r>
        <w:lastRenderedPageBreak/>
        <w:t xml:space="preserve">With </w:t>
      </w:r>
      <w:r w:rsidR="001E17B7">
        <w:t xml:space="preserve">PDSCH </w:t>
      </w:r>
      <w:r>
        <w:t>beam change</w:t>
      </w:r>
      <w:r w:rsidR="001E17B7">
        <w:t>, proper data transmission can start after tracking and CSI reporting based on aperiodic TRS and aperiodic CSI-RS.</w:t>
      </w:r>
      <w:r>
        <w:t xml:space="preserve"> </w:t>
      </w:r>
    </w:p>
    <w:p w14:paraId="7E95AE78" w14:textId="77777777" w:rsidR="00111F6B" w:rsidRPr="00FB7009" w:rsidRDefault="00111F6B" w:rsidP="00FB7009">
      <w:pPr>
        <w:numPr>
          <w:ilvl w:val="0"/>
          <w:numId w:val="41"/>
        </w:numPr>
      </w:pPr>
      <w:r w:rsidRPr="00FB7009">
        <w:t>Periodic events</w:t>
      </w:r>
    </w:p>
    <w:p w14:paraId="4F53353E" w14:textId="77777777" w:rsidR="00111F6B" w:rsidRPr="00FB7009" w:rsidRDefault="00111F6B" w:rsidP="00FB7009">
      <w:pPr>
        <w:numPr>
          <w:ilvl w:val="1"/>
          <w:numId w:val="41"/>
        </w:numPr>
      </w:pPr>
      <w:r w:rsidRPr="00FB7009">
        <w:t xml:space="preserve">Connected mode DRX </w:t>
      </w:r>
    </w:p>
    <w:p w14:paraId="462E6AE8" w14:textId="5A420C3B" w:rsidR="00111F6B" w:rsidRPr="00FB7009" w:rsidRDefault="00111F6B" w:rsidP="00FB7009">
      <w:pPr>
        <w:numPr>
          <w:ilvl w:val="2"/>
          <w:numId w:val="41"/>
        </w:numPr>
      </w:pPr>
      <w:r w:rsidRPr="00FB7009">
        <w:t>Without aperiodic TRS, it requires UE to wake up in the middle of CDRX off when periodic TRS is not aligned with CDRX on-duration, not desirable for CDRX feature</w:t>
      </w:r>
      <w:r w:rsidR="00AF3E20">
        <w:t xml:space="preserve"> from UE power saving perspective.</w:t>
      </w:r>
    </w:p>
    <w:p w14:paraId="7DC828E2" w14:textId="77777777" w:rsidR="00111F6B" w:rsidRPr="00FB7009" w:rsidRDefault="00111F6B" w:rsidP="00FB7009">
      <w:pPr>
        <w:numPr>
          <w:ilvl w:val="1"/>
          <w:numId w:val="41"/>
        </w:numPr>
      </w:pPr>
      <w:r w:rsidRPr="00FB7009">
        <w:t xml:space="preserve">Idle mode DRX </w:t>
      </w:r>
    </w:p>
    <w:p w14:paraId="02D567CE" w14:textId="151CCA20" w:rsidR="00111F6B" w:rsidRPr="00FB7009" w:rsidRDefault="00111F6B" w:rsidP="00FB7009">
      <w:pPr>
        <w:numPr>
          <w:ilvl w:val="2"/>
          <w:numId w:val="41"/>
        </w:numPr>
      </w:pPr>
      <w:r w:rsidRPr="00FB7009">
        <w:t>Without aperiodic TRS, it requires UE to wake up before paging occasion when SSB is not aligned with paging occasion, affecting standby time reduction roughly to 1/2.</w:t>
      </w:r>
    </w:p>
    <w:p w14:paraId="014046EA" w14:textId="4F500935" w:rsidR="007C286F" w:rsidRDefault="00AF3E20" w:rsidP="007C286F">
      <w:pPr>
        <w:rPr>
          <w:lang w:val="en-GB"/>
        </w:rPr>
      </w:pPr>
      <w:r>
        <w:rPr>
          <w:lang w:val="en-GB"/>
        </w:rPr>
        <w:t xml:space="preserve">Aperiodic TRS can be triggered via different options. For example, it can be triggered by DCI, MAC-CE or DRX reception event. </w:t>
      </w:r>
      <w:r w:rsidR="00D625BF">
        <w:rPr>
          <w:lang w:val="en-GB"/>
        </w:rPr>
        <w:t xml:space="preserve">In NR, </w:t>
      </w:r>
      <w:r>
        <w:rPr>
          <w:lang w:val="en-GB"/>
        </w:rPr>
        <w:t>SCell activation is done via MAC-CE, BWP switching is done via DCI,</w:t>
      </w:r>
      <w:r w:rsidR="00D625BF">
        <w:rPr>
          <w:lang w:val="en-GB"/>
        </w:rPr>
        <w:t xml:space="preserve"> and</w:t>
      </w:r>
      <w:r>
        <w:rPr>
          <w:lang w:val="en-GB"/>
        </w:rPr>
        <w:t xml:space="preserve"> beam</w:t>
      </w:r>
      <w:r w:rsidR="00D625BF">
        <w:rPr>
          <w:lang w:val="en-GB"/>
        </w:rPr>
        <w:t xml:space="preserve"> change is done via MAC-CE (for PDCCH) and DCI (for PDSCH). </w:t>
      </w:r>
      <w:r w:rsidR="001E17B7">
        <w:rPr>
          <w:lang w:val="en-GB"/>
        </w:rPr>
        <w:t>A</w:t>
      </w:r>
      <w:r w:rsidR="00D625BF">
        <w:rPr>
          <w:lang w:val="en-GB"/>
        </w:rPr>
        <w:t xml:space="preserve">periodic TRS triggering </w:t>
      </w:r>
      <w:r w:rsidR="001E17B7">
        <w:rPr>
          <w:lang w:val="en-GB"/>
        </w:rPr>
        <w:t>can be tied to</w:t>
      </w:r>
      <w:r w:rsidR="00D625BF">
        <w:rPr>
          <w:lang w:val="en-GB"/>
        </w:rPr>
        <w:t xml:space="preserve"> the existing triggers for SCell activation, BWP switching </w:t>
      </w:r>
      <w:r w:rsidR="001E17B7">
        <w:rPr>
          <w:lang w:val="en-GB"/>
        </w:rPr>
        <w:t xml:space="preserve">or </w:t>
      </w:r>
      <w:r w:rsidR="00D625BF">
        <w:rPr>
          <w:lang w:val="en-GB"/>
        </w:rPr>
        <w:t xml:space="preserve">beam </w:t>
      </w:r>
      <w:r w:rsidR="001E17B7">
        <w:rPr>
          <w:lang w:val="en-GB"/>
        </w:rPr>
        <w:t>switch</w:t>
      </w:r>
      <w:r w:rsidR="00D625BF">
        <w:rPr>
          <w:lang w:val="en-GB"/>
        </w:rPr>
        <w:t xml:space="preserve">. However, </w:t>
      </w:r>
      <w:r w:rsidR="00C52117">
        <w:rPr>
          <w:lang w:val="en-GB"/>
        </w:rPr>
        <w:t>to</w:t>
      </w:r>
      <w:r w:rsidR="00D625BF">
        <w:rPr>
          <w:lang w:val="en-GB"/>
        </w:rPr>
        <w:t xml:space="preserve"> have a unified framework for different use cases, it is proposed to consider aperiodic TRS triggering via DCI. It should be noted that this is also aligned with aperiodic CSI-RS triggering, which is already agreed for NR. In fact, TRS is also configured as CSI-RS resource set. Thus, it is natural to allow TRS triggering via DCI.</w:t>
      </w:r>
    </w:p>
    <w:p w14:paraId="7197A7D6" w14:textId="0253CCA5" w:rsidR="00D625BF" w:rsidRDefault="00D625BF" w:rsidP="00D625BF">
      <w:r w:rsidRPr="00A740F2">
        <w:rPr>
          <w:b/>
          <w:u w:val="single"/>
        </w:rPr>
        <w:t xml:space="preserve">Proposal </w:t>
      </w:r>
      <w:r>
        <w:rPr>
          <w:b/>
          <w:u w:val="single"/>
        </w:rPr>
        <w:t>1</w:t>
      </w:r>
      <w:r>
        <w:t>: NR supports aperiodic TRS (CSI-RS for tracking) triggering via DCI.</w:t>
      </w:r>
    </w:p>
    <w:p w14:paraId="38EED118" w14:textId="6547FE41" w:rsidR="00885F7D" w:rsidRDefault="00660A48" w:rsidP="00195BFA">
      <w:r>
        <w:t xml:space="preserve">Currently aperiodic CSI-RS can be triggered only by UL DCI. Given that aperiodic TRS does not involve UL transmission by nature, it is proposed to support aperiodic TRS triggering via both DL DCI and UL DCI. </w:t>
      </w:r>
      <w:r w:rsidR="00656044">
        <w:t>UL DCI still can be used for triggering aperiodic TRS when network transmits UL DCI.</w:t>
      </w:r>
    </w:p>
    <w:p w14:paraId="6CC42B07" w14:textId="2833D67E" w:rsidR="00660A48" w:rsidRPr="00885F7D" w:rsidRDefault="00660A48" w:rsidP="00885F7D">
      <w:pPr>
        <w:pStyle w:val="ListParagraph"/>
      </w:pPr>
      <w:r w:rsidRPr="00885F7D">
        <w:t>For UL DCI, the existing CSI request field can be used to indicate aperiodic TRS.</w:t>
      </w:r>
    </w:p>
    <w:p w14:paraId="67B85C8A" w14:textId="487A4125" w:rsidR="00885F7D" w:rsidRPr="00885F7D" w:rsidRDefault="00656044" w:rsidP="00885F7D">
      <w:pPr>
        <w:pStyle w:val="ListParagraph"/>
        <w:spacing w:after="120"/>
      </w:pPr>
      <w:r>
        <w:t xml:space="preserve">For DL DCI, existing fields can be repurposed </w:t>
      </w:r>
      <w:r w:rsidR="00C52117">
        <w:t>to indicate triggering of aperiodic TRS with</w:t>
      </w:r>
      <w:r>
        <w:t xml:space="preserve"> issuing zero RA grant</w:t>
      </w:r>
      <w:r w:rsidR="00C52117">
        <w:t xml:space="preserve"> (0 RB assignment with RA type 0)</w:t>
      </w:r>
      <w:r>
        <w:t xml:space="preserve"> or </w:t>
      </w:r>
      <w:r w:rsidR="00C52117">
        <w:t>invalid grant in the frequency domain RA field (all ones with RA type 1)</w:t>
      </w:r>
    </w:p>
    <w:p w14:paraId="68366EBF" w14:textId="24FF3490" w:rsidR="00C52117" w:rsidRDefault="00C52117" w:rsidP="00C52117">
      <w:r w:rsidRPr="00A740F2">
        <w:rPr>
          <w:b/>
          <w:u w:val="single"/>
        </w:rPr>
        <w:t xml:space="preserve">Proposal </w:t>
      </w:r>
      <w:r>
        <w:rPr>
          <w:b/>
          <w:u w:val="single"/>
        </w:rPr>
        <w:t>2</w:t>
      </w:r>
      <w:r>
        <w:t>: Aperiodic TRS triggering is supported for both DL DCI and UL DCI as shown above.</w:t>
      </w:r>
    </w:p>
    <w:p w14:paraId="12269BB5" w14:textId="5072A155" w:rsidR="006C2400" w:rsidRDefault="006C2400" w:rsidP="006C2400">
      <w:pPr>
        <w:pStyle w:val="Heading1"/>
      </w:pPr>
      <w:r>
        <w:t>Fallback DCI and BWP Switching</w:t>
      </w:r>
    </w:p>
    <w:p w14:paraId="5D1D0F9F" w14:textId="1CCAE9C6" w:rsidR="006C2400" w:rsidRDefault="006C2400" w:rsidP="006C2400">
      <w:pPr>
        <w:rPr>
          <w:lang w:val="en-GB"/>
        </w:rPr>
      </w:pPr>
      <w:r>
        <w:rPr>
          <w:lang w:val="en-GB"/>
        </w:rPr>
        <w:t>In RAN1 #91, decision was made that f</w:t>
      </w:r>
      <w:r w:rsidRPr="002F79D1">
        <w:rPr>
          <w:lang w:val="en-GB"/>
        </w:rPr>
        <w:t xml:space="preserve">allback DCI </w:t>
      </w:r>
      <w:r>
        <w:rPr>
          <w:lang w:val="en-GB"/>
        </w:rPr>
        <w:t xml:space="preserve">(Format 0_0 and 1_0) </w:t>
      </w:r>
      <w:r w:rsidRPr="002F79D1">
        <w:rPr>
          <w:lang w:val="en-GB"/>
        </w:rPr>
        <w:t>does not contain BWP ID field</w:t>
      </w:r>
      <w:r>
        <w:rPr>
          <w:lang w:val="en-GB"/>
        </w:rPr>
        <w:t>, and this is subsequently captured in the specification TS 38.212. Therefore</w:t>
      </w:r>
      <w:r w:rsidRPr="002F79D1">
        <w:rPr>
          <w:lang w:val="en-GB"/>
        </w:rPr>
        <w:t xml:space="preserve"> it </w:t>
      </w:r>
      <w:r>
        <w:rPr>
          <w:lang w:val="en-GB"/>
        </w:rPr>
        <w:t>can</w:t>
      </w:r>
      <w:r w:rsidRPr="002F79D1">
        <w:rPr>
          <w:lang w:val="en-GB"/>
        </w:rPr>
        <w:t xml:space="preserve">not </w:t>
      </w:r>
      <w:r>
        <w:rPr>
          <w:lang w:val="en-GB"/>
        </w:rPr>
        <w:t xml:space="preserve">be </w:t>
      </w:r>
      <w:r w:rsidRPr="002F79D1">
        <w:rPr>
          <w:lang w:val="en-GB"/>
        </w:rPr>
        <w:t>used to trigger BWP switching</w:t>
      </w:r>
      <w:r>
        <w:rPr>
          <w:lang w:val="en-GB"/>
        </w:rPr>
        <w:t>; DCI-based BWP switching can only be signalled via non-fallback DCI (Format 0_1 and 1_1).</w:t>
      </w:r>
    </w:p>
    <w:p w14:paraId="2214C884" w14:textId="42C03E13" w:rsidR="00F7198E" w:rsidRDefault="006C2400" w:rsidP="00F7198E">
      <w:pPr>
        <w:rPr>
          <w:lang w:val="en-GB"/>
        </w:rPr>
      </w:pPr>
      <w:r>
        <w:rPr>
          <w:lang w:val="en-GB"/>
        </w:rPr>
        <w:t xml:space="preserve">Not being able to signal BWP switch with fallback DCI results in an issue, which is discussed more in depth in our companion contribution </w:t>
      </w:r>
      <w:r>
        <w:rPr>
          <w:lang w:val="en-GB"/>
        </w:rPr>
        <w:fldChar w:fldCharType="begin"/>
      </w:r>
      <w:r>
        <w:rPr>
          <w:lang w:val="en-GB"/>
        </w:rPr>
        <w:instrText xml:space="preserve"> REF _Ref506566712 \r \h </w:instrText>
      </w:r>
      <w:r>
        <w:rPr>
          <w:lang w:val="en-GB"/>
        </w:rPr>
      </w:r>
      <w:r>
        <w:rPr>
          <w:lang w:val="en-GB"/>
        </w:rPr>
        <w:fldChar w:fldCharType="separate"/>
      </w:r>
      <w:r>
        <w:rPr>
          <w:lang w:val="en-GB"/>
        </w:rPr>
        <w:t>[2]</w:t>
      </w:r>
      <w:r>
        <w:rPr>
          <w:lang w:val="en-GB"/>
        </w:rPr>
        <w:fldChar w:fldCharType="end"/>
      </w:r>
      <w:r>
        <w:rPr>
          <w:lang w:val="en-GB"/>
        </w:rPr>
        <w:t>. The observation and proposal are repeated here:</w:t>
      </w:r>
    </w:p>
    <w:p w14:paraId="506564FB" w14:textId="7B9075CC" w:rsidR="006C2400" w:rsidRDefault="006C2400" w:rsidP="00F7198E">
      <w:pPr>
        <w:rPr>
          <w:lang w:val="en-GB"/>
        </w:rPr>
      </w:pPr>
      <w:r w:rsidRPr="00157901">
        <w:rPr>
          <w:b/>
          <w:u w:val="single"/>
          <w:lang w:val="en-GB"/>
        </w:rPr>
        <w:t>Observation:</w:t>
      </w:r>
      <w:r>
        <w:rPr>
          <w:lang w:val="en-GB"/>
        </w:rPr>
        <w:t xml:space="preserve"> </w:t>
      </w:r>
      <w:r>
        <w:t>If fallback DCI only monitoring is configured for USS which is associated with a particular BWP, and that particular BWP is not associated with any other non-fallback DCI monitoring, DCI-based BWP switching can become a “one-way street” for transitioning into that particular BWP but not allowing transitioning out due to lack of support for BWP switch in fallback DCI. Timer-based switch can provide some remedy but would not work for all cases. Fundamentally, this “bug” is due to lack of support for BWP switching in fallback DCI.</w:t>
      </w:r>
    </w:p>
    <w:p w14:paraId="20379654" w14:textId="4395B02F" w:rsidR="006C2400" w:rsidRPr="00F7198E" w:rsidRDefault="006C2400" w:rsidP="00F7198E">
      <w:pPr>
        <w:rPr>
          <w:lang w:val="en-GB"/>
        </w:rPr>
      </w:pPr>
      <w:r w:rsidRPr="00157901">
        <w:rPr>
          <w:b/>
          <w:u w:val="single"/>
          <w:lang w:val="en-GB"/>
        </w:rPr>
        <w:t>Proposal</w:t>
      </w:r>
      <w:r>
        <w:rPr>
          <w:b/>
          <w:u w:val="single"/>
          <w:lang w:val="en-GB"/>
        </w:rPr>
        <w:t xml:space="preserve"> 3</w:t>
      </w:r>
      <w:r w:rsidRPr="00157901">
        <w:rPr>
          <w:b/>
          <w:u w:val="single"/>
          <w:lang w:val="en-GB"/>
        </w:rPr>
        <w:t>:</w:t>
      </w:r>
      <w:r>
        <w:rPr>
          <w:lang w:val="en-GB"/>
        </w:rPr>
        <w:t xml:space="preserve"> </w:t>
      </w:r>
      <w:r>
        <w:t>Support null-assignment in fallback DCI for the case BWP switch needs to be indicated, and BWP ID for the new BWP is introduced to occupy one or more of the unused field(s) due to null-assignment.</w:t>
      </w:r>
    </w:p>
    <w:p w14:paraId="058E5E99" w14:textId="3DD7DDD0" w:rsidR="00A23603" w:rsidRDefault="00E747D5" w:rsidP="00A83937">
      <w:pPr>
        <w:pStyle w:val="Heading1"/>
      </w:pPr>
      <w:r>
        <w:t>D</w:t>
      </w:r>
      <w:r w:rsidR="00A23603">
        <w:t>CI Size Quantization</w:t>
      </w:r>
    </w:p>
    <w:p w14:paraId="23DCF7BA" w14:textId="77777777" w:rsidR="00A23603" w:rsidRDefault="00A23603" w:rsidP="00E14F56">
      <w:pPr>
        <w:jc w:val="both"/>
      </w:pPr>
      <w:r>
        <w:t>For LTE, DCI format and the DCI size (i.e. number of uncoded bits for PDCCH) are coupled, and the exact size is dependent on the number of RBs con</w:t>
      </w:r>
      <w:bookmarkStart w:id="2" w:name="_GoBack"/>
      <w:bookmarkEnd w:id="2"/>
      <w:r>
        <w:t>figured in the system (N</w:t>
      </w:r>
      <w:r w:rsidRPr="008429EF">
        <w:rPr>
          <w:vertAlign w:val="subscript"/>
        </w:rPr>
        <w:t>RB</w:t>
      </w:r>
      <w:r>
        <w:t>). For example, for N</w:t>
      </w:r>
      <w:r w:rsidRPr="008429EF">
        <w:rPr>
          <w:vertAlign w:val="subscript"/>
        </w:rPr>
        <w:t>RB</w:t>
      </w:r>
      <w:r>
        <w:t xml:space="preserve"> = 100 (i.e. 20MHz BW), DCI format 1A requires </w:t>
      </w:r>
      <w:r>
        <w:lastRenderedPageBreak/>
        <w:t>53 bits for its content including CRC. However, depending on the transmission mode, the UE needs to monitor another DCI format which has a different size compared to 1A. For example, for TM9, Format 2C should be blindly decoded with a size equal to 75 bits including CRC. This results in two blind decodes, and this gets multiplied by the number of search spaces and the number of aggregation levels. For this example, it can be seen that at least for UE-specific search space, such multiple decodes can be avoided if UE coordinates with eNB that it only decodes for DCI with size 75 bits. In case Format 1A needs to be conveyed to this UE, there can be a format type identifier embedded in the payload to distinguish between Format 1A and 2C. Since Format 1A contains fewer bits than Format 2C, when 1A is transmitted this way, padding for 22 bits (75-53) can be used.</w:t>
      </w:r>
    </w:p>
    <w:p w14:paraId="6F186007" w14:textId="083066D3" w:rsidR="00A23603" w:rsidRDefault="00A23603" w:rsidP="00E14F56">
      <w:pPr>
        <w:jc w:val="both"/>
      </w:pPr>
      <w:r>
        <w:t xml:space="preserve">The issue of multiple blind decodes due to multiple DCI size hypotheses presents a challenge for LTE as more features are added and extreme care </w:t>
      </w:r>
      <w:r w:rsidR="00C52117">
        <w:t>must</w:t>
      </w:r>
      <w:r>
        <w:t xml:space="preserve"> be taken to “retrofit” new DCI formats into existing sizes to avoid incurring more blind decoding requirement on the UE.</w:t>
      </w:r>
    </w:p>
    <w:p w14:paraId="1528D4FF" w14:textId="77777777" w:rsidR="00A23603" w:rsidRDefault="00A23603" w:rsidP="00E14F56">
      <w:pPr>
        <w:jc w:val="both"/>
      </w:pPr>
      <w:r>
        <w:t>For NR, there is an alternative to the association between DCI format and DCI size hypotheses. We present a scheme where DCI format and DCI size could be loosely coupled.</w:t>
      </w:r>
    </w:p>
    <w:p w14:paraId="5A7FF634" w14:textId="77777777" w:rsidR="00A23603" w:rsidRDefault="00A23603" w:rsidP="00E14F56">
      <w:pPr>
        <w:jc w:val="both"/>
      </w:pPr>
      <w:r>
        <w:t>First, there could be a number of DCI size options (i.e. “quanta”) that is predefined in the spec. For example, 48 bits, 64 bits, 72 bits, and so on, or at even finer granularity.</w:t>
      </w:r>
    </w:p>
    <w:p w14:paraId="7A15123D" w14:textId="77777777" w:rsidR="00A23603" w:rsidRDefault="00A23603" w:rsidP="00E14F56">
      <w:pPr>
        <w:jc w:val="both"/>
      </w:pPr>
      <w:r>
        <w:t>Second, UE and gNB can agree on a subset of DCI sizes over which UE would perform blind decoding. Suppose the agreed blind decoding size hypotheses are L</w:t>
      </w:r>
      <w:r w:rsidRPr="00FE41B2">
        <w:rPr>
          <w:vertAlign w:val="subscript"/>
        </w:rPr>
        <w:t>1</w:t>
      </w:r>
      <w:r>
        <w:t xml:space="preserve"> and L</w:t>
      </w:r>
      <w:r w:rsidRPr="00FE41B2">
        <w:rPr>
          <w:vertAlign w:val="subscript"/>
        </w:rPr>
        <w:t>2</w:t>
      </w:r>
      <w:r>
        <w:t>, when gNB has a DCI (Format A) to transmit, it would pick the smallest L which can fit Format A, and pad the rest of the payload for encoding. The number of DCI formats that can be supported by UE’s blind decoding can increase significantly without incurring blind decoding complexity. DCI format identifier needs to be embedded in the DCI payload, similar to Format 0 and 1A flag in LTE. The number of bits required for the DCI format identifier would be log2(number of DCI formats to discern) at the minimum, and this can also be dependent on the actual number of DCI formats that UE has to support for its current mode of operation.</w:t>
      </w:r>
    </w:p>
    <w:p w14:paraId="156996D7" w14:textId="77777777" w:rsidR="00A23603" w:rsidRDefault="00A23603" w:rsidP="00E14F56">
      <w:pPr>
        <w:jc w:val="both"/>
      </w:pPr>
      <w:r>
        <w:t>Limiting to fewer DCI size options for hypotheses could result in spectral efficiency loss if significant number of padded bits are used. This is akin to more “quantization loss”. More DCI size options that closely tailor the actual DCI formats in operation would result in fewer padding and achieve higher spectral efficiency at the expense of more blind decoding. The DCI size options would be a tradeoff between spectral efficiency and UE blind decoding complexity.</w:t>
      </w:r>
    </w:p>
    <w:p w14:paraId="0ECC6025" w14:textId="77777777" w:rsidR="00A23603" w:rsidRDefault="00A23603" w:rsidP="00E14F56">
      <w:pPr>
        <w:jc w:val="both"/>
      </w:pPr>
      <w:r>
        <w:t>RAN1 should specify the DCI size options for NR considering the size of the largest and smallest DCI formats, and those in between, and consider leaving some margin for future extension.</w:t>
      </w:r>
    </w:p>
    <w:p w14:paraId="51911B18" w14:textId="2F771065" w:rsidR="00A23603" w:rsidRDefault="00A23603" w:rsidP="00A23603">
      <w:r w:rsidRPr="00A740F2">
        <w:rPr>
          <w:b/>
          <w:u w:val="single"/>
        </w:rPr>
        <w:t xml:space="preserve">Proposal </w:t>
      </w:r>
      <w:r w:rsidR="006C2400">
        <w:rPr>
          <w:b/>
          <w:u w:val="single"/>
        </w:rPr>
        <w:t>4</w:t>
      </w:r>
      <w:r>
        <w:t>: gNB configures a set of DCI size hypotheses for blind decoding at least for UE-specific search space, based on the DCI formats that the UE needs to support in current mode of operation</w:t>
      </w:r>
      <w:r w:rsidR="00602147">
        <w:t>.</w:t>
      </w:r>
    </w:p>
    <w:p w14:paraId="46C955A3" w14:textId="05BCC6C4" w:rsidR="00A23603" w:rsidRDefault="00A23603" w:rsidP="00A23603">
      <w:r w:rsidRPr="00A740F2">
        <w:rPr>
          <w:b/>
          <w:u w:val="single"/>
        </w:rPr>
        <w:t xml:space="preserve">Proposal </w:t>
      </w:r>
      <w:r w:rsidR="006C2400">
        <w:rPr>
          <w:b/>
          <w:u w:val="single"/>
        </w:rPr>
        <w:t>5</w:t>
      </w:r>
      <w:r>
        <w:t>: All DCI formats are discerned by an identifier which is explicitly carried in the DCI payload</w:t>
      </w:r>
      <w:r w:rsidR="00602147">
        <w:t>.</w:t>
      </w:r>
    </w:p>
    <w:p w14:paraId="34E739F6" w14:textId="3621F909" w:rsidR="00A23603" w:rsidRDefault="00A23603" w:rsidP="00A23603">
      <w:r w:rsidRPr="00A740F2">
        <w:rPr>
          <w:b/>
          <w:u w:val="single"/>
        </w:rPr>
        <w:t xml:space="preserve">Proposal </w:t>
      </w:r>
      <w:r w:rsidR="006C2400">
        <w:rPr>
          <w:b/>
          <w:u w:val="single"/>
        </w:rPr>
        <w:t>6</w:t>
      </w:r>
      <w:r>
        <w:t>: The number of bits and the enumeration of the DCI format identifier can be UE-specific based on the DCI formats in operation</w:t>
      </w:r>
      <w:r w:rsidR="00602147">
        <w:t>.</w:t>
      </w:r>
    </w:p>
    <w:p w14:paraId="25A773DA" w14:textId="77777777" w:rsidR="00A23603" w:rsidRDefault="00A23603" w:rsidP="00A23603">
      <w:r>
        <w:t>The proposed framework would be flexible and is a practical way to future-proof NR DCI format and blind decoding designs.</w:t>
      </w:r>
    </w:p>
    <w:p w14:paraId="39C34F11" w14:textId="505BB213" w:rsidR="00A23603" w:rsidRPr="00A23603" w:rsidRDefault="00A23603" w:rsidP="00A23603">
      <w:pPr>
        <w:rPr>
          <w:lang w:val="en-GB"/>
        </w:rPr>
      </w:pPr>
      <w:r w:rsidRPr="00A740F2">
        <w:rPr>
          <w:b/>
          <w:u w:val="single"/>
        </w:rPr>
        <w:t xml:space="preserve">Proposal </w:t>
      </w:r>
      <w:r w:rsidR="006C2400">
        <w:rPr>
          <w:b/>
          <w:u w:val="single"/>
        </w:rPr>
        <w:t>7</w:t>
      </w:r>
      <w:r>
        <w:t>: RAN1 considers DCI quantization for NR.</w:t>
      </w:r>
    </w:p>
    <w:p w14:paraId="56D28D4B" w14:textId="26018A49" w:rsidR="00067CA8" w:rsidRPr="00226FE2" w:rsidRDefault="004503F9" w:rsidP="00067CA8">
      <w:pPr>
        <w:pStyle w:val="Heading1"/>
        <w:rPr>
          <w:lang w:eastAsia="zh-CN"/>
        </w:rPr>
      </w:pPr>
      <w:r>
        <w:rPr>
          <w:lang w:eastAsia="zh-CN"/>
        </w:rPr>
        <w:t>Conclusions</w:t>
      </w:r>
    </w:p>
    <w:p w14:paraId="104D2FA2" w14:textId="4FC76683" w:rsidR="00EF3FCB" w:rsidRDefault="00531C5A" w:rsidP="00531C5A">
      <w:pPr>
        <w:jc w:val="both"/>
        <w:rPr>
          <w:lang w:eastAsia="ja-JP"/>
        </w:rPr>
      </w:pPr>
      <w:r>
        <w:rPr>
          <w:szCs w:val="22"/>
        </w:rPr>
        <w:t xml:space="preserve">This contribution has discussed </w:t>
      </w:r>
      <w:r w:rsidR="00EC4C4A">
        <w:rPr>
          <w:szCs w:val="22"/>
        </w:rPr>
        <w:t xml:space="preserve">benefits of DCI based control signaling vs MAC-CE, </w:t>
      </w:r>
      <w:r>
        <w:rPr>
          <w:szCs w:val="22"/>
        </w:rPr>
        <w:t>reduction on PDCCH blind decoding hypotheses</w:t>
      </w:r>
      <w:r w:rsidR="00436617">
        <w:rPr>
          <w:szCs w:val="22"/>
        </w:rPr>
        <w:t xml:space="preserve"> and DCI quantization</w:t>
      </w:r>
      <w:r>
        <w:rPr>
          <w:szCs w:val="22"/>
        </w:rPr>
        <w:t>. The following proposals have been made:</w:t>
      </w:r>
    </w:p>
    <w:p w14:paraId="5E714755" w14:textId="77777777" w:rsidR="00C52117" w:rsidRDefault="00C52117" w:rsidP="00C52117">
      <w:r w:rsidRPr="00A740F2">
        <w:rPr>
          <w:b/>
          <w:u w:val="single"/>
        </w:rPr>
        <w:t xml:space="preserve">Proposal </w:t>
      </w:r>
      <w:r>
        <w:rPr>
          <w:b/>
          <w:u w:val="single"/>
        </w:rPr>
        <w:t>1</w:t>
      </w:r>
      <w:r>
        <w:t>: NR supports aperiodic TRS (CSI-RS for tracking) triggering via DCI.</w:t>
      </w:r>
    </w:p>
    <w:p w14:paraId="0EA3CE64" w14:textId="7B5A895F" w:rsidR="00C52117" w:rsidRDefault="00C52117" w:rsidP="00C52117">
      <w:r w:rsidRPr="00A740F2">
        <w:rPr>
          <w:b/>
          <w:u w:val="single"/>
        </w:rPr>
        <w:t xml:space="preserve">Proposal </w:t>
      </w:r>
      <w:r>
        <w:rPr>
          <w:b/>
          <w:u w:val="single"/>
        </w:rPr>
        <w:t>2</w:t>
      </w:r>
      <w:r>
        <w:t>: Aperiodic TRS triggering is supported for both DL DCI and UL DCI as follows:</w:t>
      </w:r>
    </w:p>
    <w:p w14:paraId="5EB30D9E" w14:textId="77777777" w:rsidR="00C52117" w:rsidRPr="00885F7D" w:rsidRDefault="00C52117" w:rsidP="00C52117">
      <w:pPr>
        <w:pStyle w:val="ListParagraph"/>
      </w:pPr>
      <w:r w:rsidRPr="00885F7D">
        <w:t>For UL DCI, the existing CSI request field can be used to indicate aperiodic TRS.</w:t>
      </w:r>
    </w:p>
    <w:p w14:paraId="161E420A" w14:textId="4819F199" w:rsidR="00C52117" w:rsidRDefault="00C52117" w:rsidP="00C52117">
      <w:pPr>
        <w:pStyle w:val="ListParagraph"/>
        <w:spacing w:after="120"/>
      </w:pPr>
      <w:r>
        <w:lastRenderedPageBreak/>
        <w:t>For DL DCI, existing fields can be repurposed to indicate triggering of aperiodic TRS with issuing zero RA grant (0 RB assignment with RA type 0) or invalid grant in the frequency domain RA field (all ones with RA type 1)</w:t>
      </w:r>
    </w:p>
    <w:p w14:paraId="5AB896BA" w14:textId="5295CCA0" w:rsidR="006C2400" w:rsidRDefault="006C2400" w:rsidP="006C2400">
      <w:pPr>
        <w:spacing w:after="120"/>
      </w:pPr>
      <w:r w:rsidRPr="00A614A3">
        <w:rPr>
          <w:b/>
          <w:u w:val="single"/>
          <w:lang w:val="en-GB"/>
        </w:rPr>
        <w:t>Proposal</w:t>
      </w:r>
      <w:r>
        <w:rPr>
          <w:b/>
          <w:u w:val="single"/>
          <w:lang w:val="en-GB"/>
        </w:rPr>
        <w:t xml:space="preserve"> 3</w:t>
      </w:r>
      <w:r w:rsidRPr="00A614A3">
        <w:rPr>
          <w:b/>
          <w:u w:val="single"/>
          <w:lang w:val="en-GB"/>
        </w:rPr>
        <w:t>:</w:t>
      </w:r>
      <w:r>
        <w:rPr>
          <w:lang w:val="en-GB"/>
        </w:rPr>
        <w:t xml:space="preserve"> </w:t>
      </w:r>
      <w:r>
        <w:t>Support null-assignment in fallback DCI for the case BWP switch needs to be indicated, and BWP ID for the new BWP is introduced to occupy one or more of the unused field(s) due to null-assignment.</w:t>
      </w:r>
    </w:p>
    <w:p w14:paraId="320F9027" w14:textId="77777777" w:rsidR="006C2400" w:rsidRPr="00885F7D" w:rsidRDefault="006C2400" w:rsidP="00157901">
      <w:pPr>
        <w:spacing w:after="120"/>
      </w:pPr>
    </w:p>
    <w:p w14:paraId="19B355D4" w14:textId="68CB5AA4" w:rsidR="00FD2F3B" w:rsidRDefault="00D41458" w:rsidP="00FD2F3B">
      <w:r w:rsidRPr="00A740F2">
        <w:rPr>
          <w:b/>
          <w:u w:val="single"/>
        </w:rPr>
        <w:t xml:space="preserve">Proposal </w:t>
      </w:r>
      <w:r w:rsidR="006C2400">
        <w:rPr>
          <w:b/>
          <w:u w:val="single"/>
        </w:rPr>
        <w:t>4</w:t>
      </w:r>
      <w:r>
        <w:t>: gNB configures a set of DCI size hypotheses for blind decoding at least for UE-specific search space, based on the DCI formats that the UE needs to support in current mode of operation</w:t>
      </w:r>
      <w:r w:rsidR="00602147">
        <w:t>.</w:t>
      </w:r>
    </w:p>
    <w:p w14:paraId="0FF0572C" w14:textId="5C613A51" w:rsidR="00FD2F3B" w:rsidRDefault="00FD2F3B" w:rsidP="00FD2F3B">
      <w:r w:rsidRPr="00A740F2">
        <w:rPr>
          <w:b/>
          <w:u w:val="single"/>
        </w:rPr>
        <w:t xml:space="preserve">Proposal </w:t>
      </w:r>
      <w:r w:rsidR="006C2400">
        <w:rPr>
          <w:b/>
          <w:u w:val="single"/>
        </w:rPr>
        <w:t>5</w:t>
      </w:r>
      <w:r>
        <w:t xml:space="preserve">: </w:t>
      </w:r>
      <w:r w:rsidR="00F90376">
        <w:t xml:space="preserve">All </w:t>
      </w:r>
      <w:r>
        <w:t>DCI formats are discerned by an identifier which is explicitly carried in the DCI payload</w:t>
      </w:r>
      <w:r w:rsidR="00602147">
        <w:t>.</w:t>
      </w:r>
    </w:p>
    <w:p w14:paraId="5DA7166D" w14:textId="19070F1E" w:rsidR="00FD2F3B" w:rsidRDefault="00FD2F3B" w:rsidP="00FD2F3B">
      <w:r w:rsidRPr="00A740F2">
        <w:rPr>
          <w:b/>
          <w:u w:val="single"/>
        </w:rPr>
        <w:t xml:space="preserve">Proposal </w:t>
      </w:r>
      <w:r w:rsidR="006C2400">
        <w:rPr>
          <w:b/>
          <w:u w:val="single"/>
        </w:rPr>
        <w:t>6</w:t>
      </w:r>
      <w:r>
        <w:t>: The number of bits and the enumeration of the DCI format identifier can be UE-specific based on the DCI formats in operation</w:t>
      </w:r>
      <w:r w:rsidR="00602147">
        <w:t>.</w:t>
      </w:r>
    </w:p>
    <w:p w14:paraId="58E92B77" w14:textId="3EDBB5A2" w:rsidR="00FD2F3B" w:rsidRDefault="00FD2F3B" w:rsidP="00FD2F3B">
      <w:r w:rsidRPr="00A740F2">
        <w:rPr>
          <w:b/>
          <w:u w:val="single"/>
        </w:rPr>
        <w:t xml:space="preserve">Proposal </w:t>
      </w:r>
      <w:r w:rsidR="006C2400">
        <w:rPr>
          <w:b/>
          <w:u w:val="single"/>
        </w:rPr>
        <w:t>7</w:t>
      </w:r>
      <w:r>
        <w:t xml:space="preserve">: </w:t>
      </w:r>
      <w:r w:rsidR="00436617">
        <w:t>RAN1</w:t>
      </w:r>
      <w:r>
        <w:t xml:space="preserve"> </w:t>
      </w:r>
      <w:r w:rsidR="00F90376">
        <w:t>considers</w:t>
      </w:r>
      <w:r>
        <w:t xml:space="preserve"> DCI quantization </w:t>
      </w:r>
      <w:r w:rsidR="00D41458">
        <w:t>for NR</w:t>
      </w:r>
      <w:r w:rsidR="00602147">
        <w:t>.</w:t>
      </w:r>
    </w:p>
    <w:p w14:paraId="43B7F896" w14:textId="5D50D665" w:rsidR="00E523F3" w:rsidRPr="000A64D8" w:rsidRDefault="00E523F3" w:rsidP="00E523F3">
      <w:pPr>
        <w:pStyle w:val="Heading1"/>
        <w:rPr>
          <w:lang w:val="en-US"/>
        </w:rPr>
      </w:pPr>
      <w:r w:rsidRPr="000A64D8">
        <w:rPr>
          <w:lang w:val="en-US"/>
        </w:rPr>
        <w:t>References</w:t>
      </w:r>
    </w:p>
    <w:p w14:paraId="622E39D9" w14:textId="3EBEE6A2" w:rsidR="000E251B" w:rsidRDefault="007C286F" w:rsidP="00994E9F">
      <w:pPr>
        <w:pStyle w:val="Reference"/>
        <w:keepLines w:val="0"/>
        <w:numPr>
          <w:ilvl w:val="0"/>
          <w:numId w:val="2"/>
        </w:numPr>
        <w:suppressAutoHyphens w:val="0"/>
        <w:autoSpaceDN w:val="0"/>
        <w:adjustRightInd w:val="0"/>
        <w:spacing w:before="120" w:after="120"/>
        <w:jc w:val="both"/>
      </w:pPr>
      <w:r>
        <w:t>R1-1721701, “WF on aperiodic TRS”, Qualcomm Inc., Ericsson</w:t>
      </w:r>
    </w:p>
    <w:p w14:paraId="3CA2ADB8" w14:textId="09F2750A" w:rsidR="006C2400" w:rsidRPr="00396925" w:rsidRDefault="006C2400" w:rsidP="00994E9F">
      <w:pPr>
        <w:pStyle w:val="Reference"/>
        <w:keepLines w:val="0"/>
        <w:numPr>
          <w:ilvl w:val="0"/>
          <w:numId w:val="2"/>
        </w:numPr>
        <w:suppressAutoHyphens w:val="0"/>
        <w:autoSpaceDN w:val="0"/>
        <w:adjustRightInd w:val="0"/>
        <w:spacing w:before="120" w:after="120"/>
        <w:jc w:val="both"/>
      </w:pPr>
      <w:bookmarkStart w:id="3" w:name="_Ref506566712"/>
      <w:r>
        <w:t>R1-1802844, “Remaining issues on BWP”, RAN1 #92, Qualcomm</w:t>
      </w:r>
      <w:bookmarkEnd w:id="3"/>
    </w:p>
    <w:sectPr w:rsidR="006C2400" w:rsidRPr="00396925"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E71A32" w14:textId="77777777" w:rsidR="00DB364A" w:rsidRDefault="00DB364A">
      <w:r>
        <w:separator/>
      </w:r>
    </w:p>
  </w:endnote>
  <w:endnote w:type="continuationSeparator" w:id="0">
    <w:p w14:paraId="48060D6B" w14:textId="77777777" w:rsidR="00DB364A" w:rsidRDefault="00DB364A">
      <w:r>
        <w:continuationSeparator/>
      </w:r>
    </w:p>
  </w:endnote>
  <w:endnote w:type="continuationNotice" w:id="1">
    <w:p w14:paraId="75210B92" w14:textId="77777777" w:rsidR="00DB364A" w:rsidRDefault="00DB36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e Regular">
    <w:altName w:val="Cambria"/>
    <w:panose1 w:val="00000000000000000000"/>
    <w:charset w:val="00"/>
    <w:family w:val="roman"/>
    <w:notTrueType/>
    <w:pitch w:val="default"/>
  </w:font>
  <w:font w:name="Qualcomm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656044" w:rsidRDefault="0065604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656044" w:rsidRDefault="0065604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4CD0D4AE" w:rsidR="00656044" w:rsidRDefault="0065604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57901">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57901">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7575CD" w14:textId="77777777" w:rsidR="00DB364A" w:rsidRDefault="00DB364A">
      <w:r>
        <w:separator/>
      </w:r>
    </w:p>
  </w:footnote>
  <w:footnote w:type="continuationSeparator" w:id="0">
    <w:p w14:paraId="2605915B" w14:textId="77777777" w:rsidR="00DB364A" w:rsidRDefault="00DB364A">
      <w:r>
        <w:continuationSeparator/>
      </w:r>
    </w:p>
  </w:footnote>
  <w:footnote w:type="continuationNotice" w:id="1">
    <w:p w14:paraId="04D0AEB1" w14:textId="77777777" w:rsidR="00DB364A" w:rsidRDefault="00DB36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656044" w:rsidRDefault="0065604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4pt;height:14pt" o:bullet="t">
        <v:imagedata r:id="rId1" o:title="artA0B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740E2"/>
    <w:multiLevelType w:val="hybridMultilevel"/>
    <w:tmpl w:val="AEB27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B660D1"/>
    <w:multiLevelType w:val="hybridMultilevel"/>
    <w:tmpl w:val="FD24D718"/>
    <w:lvl w:ilvl="0" w:tplc="5DBEA968">
      <w:start w:val="1"/>
      <w:numFmt w:val="bullet"/>
      <w:lvlText w:val="•"/>
      <w:lvlJc w:val="left"/>
      <w:pPr>
        <w:tabs>
          <w:tab w:val="num" w:pos="360"/>
        </w:tabs>
        <w:ind w:left="360" w:hanging="360"/>
      </w:pPr>
      <w:rPr>
        <w:rFonts w:ascii="Arial" w:hAnsi="Arial" w:cs="Times New Roman" w:hint="default"/>
      </w:rPr>
    </w:lvl>
    <w:lvl w:ilvl="1" w:tplc="6582A392">
      <w:numFmt w:val="bullet"/>
      <w:lvlText w:val="–"/>
      <w:lvlJc w:val="left"/>
      <w:pPr>
        <w:tabs>
          <w:tab w:val="num" w:pos="1080"/>
        </w:tabs>
        <w:ind w:left="1080" w:hanging="360"/>
      </w:pPr>
      <w:rPr>
        <w:rFonts w:ascii="Arial" w:hAnsi="Arial" w:cs="Times New Roman" w:hint="default"/>
      </w:rPr>
    </w:lvl>
    <w:lvl w:ilvl="2" w:tplc="BE94BA26">
      <w:numFmt w:val="bullet"/>
      <w:lvlText w:val="•"/>
      <w:lvlJc w:val="left"/>
      <w:pPr>
        <w:tabs>
          <w:tab w:val="num" w:pos="1800"/>
        </w:tabs>
        <w:ind w:left="1800" w:hanging="360"/>
      </w:pPr>
      <w:rPr>
        <w:rFonts w:ascii="Arial" w:hAnsi="Arial" w:cs="Times New Roman" w:hint="default"/>
      </w:rPr>
    </w:lvl>
    <w:lvl w:ilvl="3" w:tplc="F90871B2">
      <w:start w:val="1"/>
      <w:numFmt w:val="bullet"/>
      <w:lvlText w:val="•"/>
      <w:lvlJc w:val="left"/>
      <w:pPr>
        <w:tabs>
          <w:tab w:val="num" w:pos="2520"/>
        </w:tabs>
        <w:ind w:left="2520" w:hanging="360"/>
      </w:pPr>
      <w:rPr>
        <w:rFonts w:ascii="Arial" w:hAnsi="Arial" w:cs="Times New Roman" w:hint="default"/>
      </w:rPr>
    </w:lvl>
    <w:lvl w:ilvl="4" w:tplc="3DFEB37C">
      <w:start w:val="1"/>
      <w:numFmt w:val="bullet"/>
      <w:lvlText w:val="•"/>
      <w:lvlJc w:val="left"/>
      <w:pPr>
        <w:tabs>
          <w:tab w:val="num" w:pos="3240"/>
        </w:tabs>
        <w:ind w:left="3240" w:hanging="360"/>
      </w:pPr>
      <w:rPr>
        <w:rFonts w:ascii="Arial" w:hAnsi="Arial" w:cs="Times New Roman" w:hint="default"/>
      </w:rPr>
    </w:lvl>
    <w:lvl w:ilvl="5" w:tplc="409605CA">
      <w:start w:val="1"/>
      <w:numFmt w:val="bullet"/>
      <w:lvlText w:val="•"/>
      <w:lvlJc w:val="left"/>
      <w:pPr>
        <w:tabs>
          <w:tab w:val="num" w:pos="3960"/>
        </w:tabs>
        <w:ind w:left="3960" w:hanging="360"/>
      </w:pPr>
      <w:rPr>
        <w:rFonts w:ascii="Arial" w:hAnsi="Arial" w:cs="Times New Roman" w:hint="default"/>
      </w:rPr>
    </w:lvl>
    <w:lvl w:ilvl="6" w:tplc="969A36EA">
      <w:start w:val="1"/>
      <w:numFmt w:val="bullet"/>
      <w:lvlText w:val="•"/>
      <w:lvlJc w:val="left"/>
      <w:pPr>
        <w:tabs>
          <w:tab w:val="num" w:pos="4680"/>
        </w:tabs>
        <w:ind w:left="4680" w:hanging="360"/>
      </w:pPr>
      <w:rPr>
        <w:rFonts w:ascii="Arial" w:hAnsi="Arial" w:cs="Times New Roman" w:hint="default"/>
      </w:rPr>
    </w:lvl>
    <w:lvl w:ilvl="7" w:tplc="266A0DAA">
      <w:start w:val="1"/>
      <w:numFmt w:val="bullet"/>
      <w:lvlText w:val="•"/>
      <w:lvlJc w:val="left"/>
      <w:pPr>
        <w:tabs>
          <w:tab w:val="num" w:pos="5400"/>
        </w:tabs>
        <w:ind w:left="5400" w:hanging="360"/>
      </w:pPr>
      <w:rPr>
        <w:rFonts w:ascii="Arial" w:hAnsi="Arial" w:cs="Times New Roman" w:hint="default"/>
      </w:rPr>
    </w:lvl>
    <w:lvl w:ilvl="8" w:tplc="A380D870">
      <w:start w:val="1"/>
      <w:numFmt w:val="bullet"/>
      <w:lvlText w:val="•"/>
      <w:lvlJc w:val="left"/>
      <w:pPr>
        <w:tabs>
          <w:tab w:val="num" w:pos="6120"/>
        </w:tabs>
        <w:ind w:left="6120" w:hanging="360"/>
      </w:pPr>
      <w:rPr>
        <w:rFonts w:ascii="Arial" w:hAnsi="Arial" w:cs="Times New Roman" w:hint="default"/>
      </w:rPr>
    </w:lvl>
  </w:abstractNum>
  <w:abstractNum w:abstractNumId="7" w15:restartNumberingAfterBreak="0">
    <w:nsid w:val="0B667CC1"/>
    <w:multiLevelType w:val="hybridMultilevel"/>
    <w:tmpl w:val="BBFE7768"/>
    <w:lvl w:ilvl="0" w:tplc="6F441234">
      <w:start w:val="1"/>
      <w:numFmt w:val="bullet"/>
      <w:lvlText w:val=""/>
      <w:lvlJc w:val="left"/>
      <w:pPr>
        <w:tabs>
          <w:tab w:val="num" w:pos="720"/>
        </w:tabs>
        <w:ind w:left="720" w:hanging="360"/>
      </w:pPr>
      <w:rPr>
        <w:rFonts w:ascii="Symbol" w:hAnsi="Symbol" w:hint="default"/>
      </w:rPr>
    </w:lvl>
    <w:lvl w:ilvl="1" w:tplc="9C5045AA">
      <w:numFmt w:val="bullet"/>
      <w:lvlText w:val="−"/>
      <w:lvlJc w:val="left"/>
      <w:pPr>
        <w:tabs>
          <w:tab w:val="num" w:pos="1440"/>
        </w:tabs>
        <w:ind w:left="1440" w:hanging="360"/>
      </w:pPr>
      <w:rPr>
        <w:rFonts w:ascii="Calibre Regular" w:hAnsi="Calibre Regular" w:hint="default"/>
      </w:rPr>
    </w:lvl>
    <w:lvl w:ilvl="2" w:tplc="191CCF48">
      <w:numFmt w:val="bullet"/>
      <w:lvlText w:val="−"/>
      <w:lvlJc w:val="left"/>
      <w:pPr>
        <w:tabs>
          <w:tab w:val="num" w:pos="2160"/>
        </w:tabs>
        <w:ind w:left="2160" w:hanging="360"/>
      </w:pPr>
      <w:rPr>
        <w:rFonts w:ascii="Calibre Regular" w:hAnsi="Calibre Regular" w:hint="default"/>
      </w:rPr>
    </w:lvl>
    <w:lvl w:ilvl="3" w:tplc="83CCC144">
      <w:numFmt w:val="bullet"/>
      <w:lvlText w:val="−"/>
      <w:lvlJc w:val="left"/>
      <w:pPr>
        <w:tabs>
          <w:tab w:val="num" w:pos="2880"/>
        </w:tabs>
        <w:ind w:left="2880" w:hanging="360"/>
      </w:pPr>
      <w:rPr>
        <w:rFonts w:ascii="Calibre Regular" w:hAnsi="Calibre Regular" w:hint="default"/>
      </w:rPr>
    </w:lvl>
    <w:lvl w:ilvl="4" w:tplc="D03C0AF6">
      <w:numFmt w:val="bullet"/>
      <w:lvlText w:val="−"/>
      <w:lvlJc w:val="left"/>
      <w:pPr>
        <w:tabs>
          <w:tab w:val="num" w:pos="3600"/>
        </w:tabs>
        <w:ind w:left="3600" w:hanging="360"/>
      </w:pPr>
      <w:rPr>
        <w:rFonts w:ascii="Qualcomm Regular" w:hAnsi="Qualcomm Regular" w:hint="default"/>
      </w:rPr>
    </w:lvl>
    <w:lvl w:ilvl="5" w:tplc="C6E2674A" w:tentative="1">
      <w:start w:val="1"/>
      <w:numFmt w:val="bullet"/>
      <w:lvlText w:val=""/>
      <w:lvlJc w:val="left"/>
      <w:pPr>
        <w:tabs>
          <w:tab w:val="num" w:pos="4320"/>
        </w:tabs>
        <w:ind w:left="4320" w:hanging="360"/>
      </w:pPr>
      <w:rPr>
        <w:rFonts w:ascii="Symbol" w:hAnsi="Symbol" w:hint="default"/>
      </w:rPr>
    </w:lvl>
    <w:lvl w:ilvl="6" w:tplc="DC0EB99C" w:tentative="1">
      <w:start w:val="1"/>
      <w:numFmt w:val="bullet"/>
      <w:lvlText w:val=""/>
      <w:lvlJc w:val="left"/>
      <w:pPr>
        <w:tabs>
          <w:tab w:val="num" w:pos="5040"/>
        </w:tabs>
        <w:ind w:left="5040" w:hanging="360"/>
      </w:pPr>
      <w:rPr>
        <w:rFonts w:ascii="Symbol" w:hAnsi="Symbol" w:hint="default"/>
      </w:rPr>
    </w:lvl>
    <w:lvl w:ilvl="7" w:tplc="1676ECB0" w:tentative="1">
      <w:start w:val="1"/>
      <w:numFmt w:val="bullet"/>
      <w:lvlText w:val=""/>
      <w:lvlJc w:val="left"/>
      <w:pPr>
        <w:tabs>
          <w:tab w:val="num" w:pos="5760"/>
        </w:tabs>
        <w:ind w:left="5760" w:hanging="360"/>
      </w:pPr>
      <w:rPr>
        <w:rFonts w:ascii="Symbol" w:hAnsi="Symbol" w:hint="default"/>
      </w:rPr>
    </w:lvl>
    <w:lvl w:ilvl="8" w:tplc="CF00B8C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0D547AE0"/>
    <w:multiLevelType w:val="hybridMultilevel"/>
    <w:tmpl w:val="168A235E"/>
    <w:lvl w:ilvl="0" w:tplc="C3AC401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9B2B0B"/>
    <w:multiLevelType w:val="hybridMultilevel"/>
    <w:tmpl w:val="E04A1B7C"/>
    <w:lvl w:ilvl="0" w:tplc="B13013D8">
      <w:start w:val="1"/>
      <w:numFmt w:val="bullet"/>
      <w:lvlText w:val=""/>
      <w:lvlPicBulletId w:val="0"/>
      <w:lvlJc w:val="left"/>
      <w:pPr>
        <w:tabs>
          <w:tab w:val="num" w:pos="720"/>
        </w:tabs>
        <w:ind w:left="720" w:hanging="360"/>
      </w:pPr>
      <w:rPr>
        <w:rFonts w:ascii="Symbol" w:hAnsi="Symbol" w:hint="default"/>
      </w:rPr>
    </w:lvl>
    <w:lvl w:ilvl="1" w:tplc="C8F29B40" w:tentative="1">
      <w:start w:val="1"/>
      <w:numFmt w:val="bullet"/>
      <w:lvlText w:val=""/>
      <w:lvlPicBulletId w:val="0"/>
      <w:lvlJc w:val="left"/>
      <w:pPr>
        <w:tabs>
          <w:tab w:val="num" w:pos="1440"/>
        </w:tabs>
        <w:ind w:left="1440" w:hanging="360"/>
      </w:pPr>
      <w:rPr>
        <w:rFonts w:ascii="Symbol" w:hAnsi="Symbol" w:hint="default"/>
      </w:rPr>
    </w:lvl>
    <w:lvl w:ilvl="2" w:tplc="5FB4FD78" w:tentative="1">
      <w:start w:val="1"/>
      <w:numFmt w:val="bullet"/>
      <w:lvlText w:val=""/>
      <w:lvlPicBulletId w:val="0"/>
      <w:lvlJc w:val="left"/>
      <w:pPr>
        <w:tabs>
          <w:tab w:val="num" w:pos="2160"/>
        </w:tabs>
        <w:ind w:left="2160" w:hanging="360"/>
      </w:pPr>
      <w:rPr>
        <w:rFonts w:ascii="Symbol" w:hAnsi="Symbol" w:hint="default"/>
      </w:rPr>
    </w:lvl>
    <w:lvl w:ilvl="3" w:tplc="70A85A40" w:tentative="1">
      <w:start w:val="1"/>
      <w:numFmt w:val="bullet"/>
      <w:lvlText w:val=""/>
      <w:lvlPicBulletId w:val="0"/>
      <w:lvlJc w:val="left"/>
      <w:pPr>
        <w:tabs>
          <w:tab w:val="num" w:pos="2880"/>
        </w:tabs>
        <w:ind w:left="2880" w:hanging="360"/>
      </w:pPr>
      <w:rPr>
        <w:rFonts w:ascii="Symbol" w:hAnsi="Symbol" w:hint="default"/>
      </w:rPr>
    </w:lvl>
    <w:lvl w:ilvl="4" w:tplc="B0343FE4" w:tentative="1">
      <w:start w:val="1"/>
      <w:numFmt w:val="bullet"/>
      <w:lvlText w:val=""/>
      <w:lvlPicBulletId w:val="0"/>
      <w:lvlJc w:val="left"/>
      <w:pPr>
        <w:tabs>
          <w:tab w:val="num" w:pos="3600"/>
        </w:tabs>
        <w:ind w:left="3600" w:hanging="360"/>
      </w:pPr>
      <w:rPr>
        <w:rFonts w:ascii="Symbol" w:hAnsi="Symbol" w:hint="default"/>
      </w:rPr>
    </w:lvl>
    <w:lvl w:ilvl="5" w:tplc="959280FC" w:tentative="1">
      <w:start w:val="1"/>
      <w:numFmt w:val="bullet"/>
      <w:lvlText w:val=""/>
      <w:lvlPicBulletId w:val="0"/>
      <w:lvlJc w:val="left"/>
      <w:pPr>
        <w:tabs>
          <w:tab w:val="num" w:pos="4320"/>
        </w:tabs>
        <w:ind w:left="4320" w:hanging="360"/>
      </w:pPr>
      <w:rPr>
        <w:rFonts w:ascii="Symbol" w:hAnsi="Symbol" w:hint="default"/>
      </w:rPr>
    </w:lvl>
    <w:lvl w:ilvl="6" w:tplc="C260899C" w:tentative="1">
      <w:start w:val="1"/>
      <w:numFmt w:val="bullet"/>
      <w:lvlText w:val=""/>
      <w:lvlPicBulletId w:val="0"/>
      <w:lvlJc w:val="left"/>
      <w:pPr>
        <w:tabs>
          <w:tab w:val="num" w:pos="5040"/>
        </w:tabs>
        <w:ind w:left="5040" w:hanging="360"/>
      </w:pPr>
      <w:rPr>
        <w:rFonts w:ascii="Symbol" w:hAnsi="Symbol" w:hint="default"/>
      </w:rPr>
    </w:lvl>
    <w:lvl w:ilvl="7" w:tplc="AAB0AC52" w:tentative="1">
      <w:start w:val="1"/>
      <w:numFmt w:val="bullet"/>
      <w:lvlText w:val=""/>
      <w:lvlPicBulletId w:val="0"/>
      <w:lvlJc w:val="left"/>
      <w:pPr>
        <w:tabs>
          <w:tab w:val="num" w:pos="5760"/>
        </w:tabs>
        <w:ind w:left="5760" w:hanging="360"/>
      </w:pPr>
      <w:rPr>
        <w:rFonts w:ascii="Symbol" w:hAnsi="Symbol" w:hint="default"/>
      </w:rPr>
    </w:lvl>
    <w:lvl w:ilvl="8" w:tplc="73CE3276"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14E95A27"/>
    <w:multiLevelType w:val="hybridMultilevel"/>
    <w:tmpl w:val="9F981CAE"/>
    <w:lvl w:ilvl="0" w:tplc="96C6AE28">
      <w:start w:val="1"/>
      <w:numFmt w:val="bullet"/>
      <w:lvlText w:val="•"/>
      <w:lvlJc w:val="left"/>
      <w:pPr>
        <w:tabs>
          <w:tab w:val="num" w:pos="720"/>
        </w:tabs>
        <w:ind w:left="720" w:hanging="360"/>
      </w:pPr>
      <w:rPr>
        <w:rFonts w:ascii="Arial" w:hAnsi="Arial" w:cs="Times New Roman" w:hint="default"/>
      </w:rPr>
    </w:lvl>
    <w:lvl w:ilvl="1" w:tplc="D75CA794">
      <w:start w:val="4017"/>
      <w:numFmt w:val="bullet"/>
      <w:lvlText w:val="–"/>
      <w:lvlJc w:val="left"/>
      <w:pPr>
        <w:tabs>
          <w:tab w:val="num" w:pos="1440"/>
        </w:tabs>
        <w:ind w:left="1440" w:hanging="360"/>
      </w:pPr>
      <w:rPr>
        <w:rFonts w:ascii="Arial" w:hAnsi="Arial" w:cs="Times New Roman" w:hint="default"/>
      </w:rPr>
    </w:lvl>
    <w:lvl w:ilvl="2" w:tplc="82EE4356">
      <w:start w:val="1"/>
      <w:numFmt w:val="bullet"/>
      <w:lvlText w:val="•"/>
      <w:lvlJc w:val="left"/>
      <w:pPr>
        <w:tabs>
          <w:tab w:val="num" w:pos="2160"/>
        </w:tabs>
        <w:ind w:left="2160" w:hanging="360"/>
      </w:pPr>
      <w:rPr>
        <w:rFonts w:ascii="Arial" w:hAnsi="Arial" w:cs="Times New Roman" w:hint="default"/>
      </w:rPr>
    </w:lvl>
    <w:lvl w:ilvl="3" w:tplc="AE6AB7DA">
      <w:start w:val="1"/>
      <w:numFmt w:val="bullet"/>
      <w:lvlText w:val="•"/>
      <w:lvlJc w:val="left"/>
      <w:pPr>
        <w:tabs>
          <w:tab w:val="num" w:pos="2880"/>
        </w:tabs>
        <w:ind w:left="2880" w:hanging="360"/>
      </w:pPr>
      <w:rPr>
        <w:rFonts w:ascii="Arial" w:hAnsi="Arial" w:cs="Times New Roman" w:hint="default"/>
      </w:rPr>
    </w:lvl>
    <w:lvl w:ilvl="4" w:tplc="CC7E86CE">
      <w:start w:val="1"/>
      <w:numFmt w:val="bullet"/>
      <w:lvlText w:val="•"/>
      <w:lvlJc w:val="left"/>
      <w:pPr>
        <w:tabs>
          <w:tab w:val="num" w:pos="3600"/>
        </w:tabs>
        <w:ind w:left="3600" w:hanging="360"/>
      </w:pPr>
      <w:rPr>
        <w:rFonts w:ascii="Arial" w:hAnsi="Arial" w:cs="Times New Roman" w:hint="default"/>
      </w:rPr>
    </w:lvl>
    <w:lvl w:ilvl="5" w:tplc="FAD2F68E">
      <w:start w:val="1"/>
      <w:numFmt w:val="bullet"/>
      <w:lvlText w:val="•"/>
      <w:lvlJc w:val="left"/>
      <w:pPr>
        <w:tabs>
          <w:tab w:val="num" w:pos="4320"/>
        </w:tabs>
        <w:ind w:left="4320" w:hanging="360"/>
      </w:pPr>
      <w:rPr>
        <w:rFonts w:ascii="Arial" w:hAnsi="Arial" w:cs="Times New Roman" w:hint="default"/>
      </w:rPr>
    </w:lvl>
    <w:lvl w:ilvl="6" w:tplc="5B0C337E">
      <w:start w:val="1"/>
      <w:numFmt w:val="bullet"/>
      <w:lvlText w:val="•"/>
      <w:lvlJc w:val="left"/>
      <w:pPr>
        <w:tabs>
          <w:tab w:val="num" w:pos="5040"/>
        </w:tabs>
        <w:ind w:left="5040" w:hanging="360"/>
      </w:pPr>
      <w:rPr>
        <w:rFonts w:ascii="Arial" w:hAnsi="Arial" w:cs="Times New Roman" w:hint="default"/>
      </w:rPr>
    </w:lvl>
    <w:lvl w:ilvl="7" w:tplc="F8C652A0">
      <w:start w:val="1"/>
      <w:numFmt w:val="bullet"/>
      <w:lvlText w:val="•"/>
      <w:lvlJc w:val="left"/>
      <w:pPr>
        <w:tabs>
          <w:tab w:val="num" w:pos="5760"/>
        </w:tabs>
        <w:ind w:left="5760" w:hanging="360"/>
      </w:pPr>
      <w:rPr>
        <w:rFonts w:ascii="Arial" w:hAnsi="Arial" w:cs="Times New Roman" w:hint="default"/>
      </w:rPr>
    </w:lvl>
    <w:lvl w:ilvl="8" w:tplc="5792D6B0">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AFA1F73"/>
    <w:multiLevelType w:val="hybridMultilevel"/>
    <w:tmpl w:val="82742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6EB3FDA"/>
    <w:multiLevelType w:val="hybridMultilevel"/>
    <w:tmpl w:val="813413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E4517B"/>
    <w:multiLevelType w:val="hybridMultilevel"/>
    <w:tmpl w:val="578C2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38C924E4"/>
    <w:multiLevelType w:val="hybridMultilevel"/>
    <w:tmpl w:val="EA52F806"/>
    <w:lvl w:ilvl="0" w:tplc="929044F4">
      <w:start w:val="1"/>
      <w:numFmt w:val="bullet"/>
      <w:lvlText w:val=""/>
      <w:lvlPicBulletId w:val="0"/>
      <w:lvlJc w:val="left"/>
      <w:pPr>
        <w:tabs>
          <w:tab w:val="num" w:pos="720"/>
        </w:tabs>
        <w:ind w:left="720" w:hanging="360"/>
      </w:pPr>
      <w:rPr>
        <w:rFonts w:ascii="Symbol" w:hAnsi="Symbol" w:hint="default"/>
      </w:rPr>
    </w:lvl>
    <w:lvl w:ilvl="1" w:tplc="C8FC1F7A" w:tentative="1">
      <w:start w:val="1"/>
      <w:numFmt w:val="bullet"/>
      <w:lvlText w:val=""/>
      <w:lvlPicBulletId w:val="0"/>
      <w:lvlJc w:val="left"/>
      <w:pPr>
        <w:tabs>
          <w:tab w:val="num" w:pos="1440"/>
        </w:tabs>
        <w:ind w:left="1440" w:hanging="360"/>
      </w:pPr>
      <w:rPr>
        <w:rFonts w:ascii="Symbol" w:hAnsi="Symbol" w:hint="default"/>
      </w:rPr>
    </w:lvl>
    <w:lvl w:ilvl="2" w:tplc="D98454B8" w:tentative="1">
      <w:start w:val="1"/>
      <w:numFmt w:val="bullet"/>
      <w:lvlText w:val=""/>
      <w:lvlPicBulletId w:val="0"/>
      <w:lvlJc w:val="left"/>
      <w:pPr>
        <w:tabs>
          <w:tab w:val="num" w:pos="2160"/>
        </w:tabs>
        <w:ind w:left="2160" w:hanging="360"/>
      </w:pPr>
      <w:rPr>
        <w:rFonts w:ascii="Symbol" w:hAnsi="Symbol" w:hint="default"/>
      </w:rPr>
    </w:lvl>
    <w:lvl w:ilvl="3" w:tplc="8E42009A" w:tentative="1">
      <w:start w:val="1"/>
      <w:numFmt w:val="bullet"/>
      <w:lvlText w:val=""/>
      <w:lvlPicBulletId w:val="0"/>
      <w:lvlJc w:val="left"/>
      <w:pPr>
        <w:tabs>
          <w:tab w:val="num" w:pos="2880"/>
        </w:tabs>
        <w:ind w:left="2880" w:hanging="360"/>
      </w:pPr>
      <w:rPr>
        <w:rFonts w:ascii="Symbol" w:hAnsi="Symbol" w:hint="default"/>
      </w:rPr>
    </w:lvl>
    <w:lvl w:ilvl="4" w:tplc="5BBCAB68" w:tentative="1">
      <w:start w:val="1"/>
      <w:numFmt w:val="bullet"/>
      <w:lvlText w:val=""/>
      <w:lvlPicBulletId w:val="0"/>
      <w:lvlJc w:val="left"/>
      <w:pPr>
        <w:tabs>
          <w:tab w:val="num" w:pos="3600"/>
        </w:tabs>
        <w:ind w:left="3600" w:hanging="360"/>
      </w:pPr>
      <w:rPr>
        <w:rFonts w:ascii="Symbol" w:hAnsi="Symbol" w:hint="default"/>
      </w:rPr>
    </w:lvl>
    <w:lvl w:ilvl="5" w:tplc="43740536" w:tentative="1">
      <w:start w:val="1"/>
      <w:numFmt w:val="bullet"/>
      <w:lvlText w:val=""/>
      <w:lvlPicBulletId w:val="0"/>
      <w:lvlJc w:val="left"/>
      <w:pPr>
        <w:tabs>
          <w:tab w:val="num" w:pos="4320"/>
        </w:tabs>
        <w:ind w:left="4320" w:hanging="360"/>
      </w:pPr>
      <w:rPr>
        <w:rFonts w:ascii="Symbol" w:hAnsi="Symbol" w:hint="default"/>
      </w:rPr>
    </w:lvl>
    <w:lvl w:ilvl="6" w:tplc="5900BF1A" w:tentative="1">
      <w:start w:val="1"/>
      <w:numFmt w:val="bullet"/>
      <w:lvlText w:val=""/>
      <w:lvlPicBulletId w:val="0"/>
      <w:lvlJc w:val="left"/>
      <w:pPr>
        <w:tabs>
          <w:tab w:val="num" w:pos="5040"/>
        </w:tabs>
        <w:ind w:left="5040" w:hanging="360"/>
      </w:pPr>
      <w:rPr>
        <w:rFonts w:ascii="Symbol" w:hAnsi="Symbol" w:hint="default"/>
      </w:rPr>
    </w:lvl>
    <w:lvl w:ilvl="7" w:tplc="F2FEA22A" w:tentative="1">
      <w:start w:val="1"/>
      <w:numFmt w:val="bullet"/>
      <w:lvlText w:val=""/>
      <w:lvlPicBulletId w:val="0"/>
      <w:lvlJc w:val="left"/>
      <w:pPr>
        <w:tabs>
          <w:tab w:val="num" w:pos="5760"/>
        </w:tabs>
        <w:ind w:left="5760" w:hanging="360"/>
      </w:pPr>
      <w:rPr>
        <w:rFonts w:ascii="Symbol" w:hAnsi="Symbol" w:hint="default"/>
      </w:rPr>
    </w:lvl>
    <w:lvl w:ilvl="8" w:tplc="CBF64258"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F6F592C"/>
    <w:multiLevelType w:val="hybridMultilevel"/>
    <w:tmpl w:val="8084E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042DF6"/>
    <w:multiLevelType w:val="hybridMultilevel"/>
    <w:tmpl w:val="E4BA674E"/>
    <w:lvl w:ilvl="0" w:tplc="BFBE59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1320E0"/>
    <w:multiLevelType w:val="hybridMultilevel"/>
    <w:tmpl w:val="4976A0A4"/>
    <w:lvl w:ilvl="0" w:tplc="3AD2FBA2">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AB6903"/>
    <w:multiLevelType w:val="hybridMultilevel"/>
    <w:tmpl w:val="CC905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794A81"/>
    <w:multiLevelType w:val="hybridMultilevel"/>
    <w:tmpl w:val="D3EA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1211F7"/>
    <w:multiLevelType w:val="hybridMultilevel"/>
    <w:tmpl w:val="CE787A00"/>
    <w:lvl w:ilvl="0" w:tplc="F14EBCFC">
      <w:start w:val="1"/>
      <w:numFmt w:val="bullet"/>
      <w:lvlText w:val=""/>
      <w:lvlPicBulletId w:val="0"/>
      <w:lvlJc w:val="left"/>
      <w:pPr>
        <w:tabs>
          <w:tab w:val="num" w:pos="720"/>
        </w:tabs>
        <w:ind w:left="720" w:hanging="360"/>
      </w:pPr>
      <w:rPr>
        <w:rFonts w:ascii="Symbol" w:hAnsi="Symbol" w:hint="default"/>
      </w:rPr>
    </w:lvl>
    <w:lvl w:ilvl="1" w:tplc="9888076A" w:tentative="1">
      <w:start w:val="1"/>
      <w:numFmt w:val="bullet"/>
      <w:lvlText w:val=""/>
      <w:lvlPicBulletId w:val="0"/>
      <w:lvlJc w:val="left"/>
      <w:pPr>
        <w:tabs>
          <w:tab w:val="num" w:pos="1440"/>
        </w:tabs>
        <w:ind w:left="1440" w:hanging="360"/>
      </w:pPr>
      <w:rPr>
        <w:rFonts w:ascii="Symbol" w:hAnsi="Symbol" w:hint="default"/>
      </w:rPr>
    </w:lvl>
    <w:lvl w:ilvl="2" w:tplc="B8623476" w:tentative="1">
      <w:start w:val="1"/>
      <w:numFmt w:val="bullet"/>
      <w:lvlText w:val=""/>
      <w:lvlPicBulletId w:val="0"/>
      <w:lvlJc w:val="left"/>
      <w:pPr>
        <w:tabs>
          <w:tab w:val="num" w:pos="2160"/>
        </w:tabs>
        <w:ind w:left="2160" w:hanging="360"/>
      </w:pPr>
      <w:rPr>
        <w:rFonts w:ascii="Symbol" w:hAnsi="Symbol" w:hint="default"/>
      </w:rPr>
    </w:lvl>
    <w:lvl w:ilvl="3" w:tplc="DDA82C10" w:tentative="1">
      <w:start w:val="1"/>
      <w:numFmt w:val="bullet"/>
      <w:lvlText w:val=""/>
      <w:lvlPicBulletId w:val="0"/>
      <w:lvlJc w:val="left"/>
      <w:pPr>
        <w:tabs>
          <w:tab w:val="num" w:pos="2880"/>
        </w:tabs>
        <w:ind w:left="2880" w:hanging="360"/>
      </w:pPr>
      <w:rPr>
        <w:rFonts w:ascii="Symbol" w:hAnsi="Symbol" w:hint="default"/>
      </w:rPr>
    </w:lvl>
    <w:lvl w:ilvl="4" w:tplc="D53CEFDA" w:tentative="1">
      <w:start w:val="1"/>
      <w:numFmt w:val="bullet"/>
      <w:lvlText w:val=""/>
      <w:lvlPicBulletId w:val="0"/>
      <w:lvlJc w:val="left"/>
      <w:pPr>
        <w:tabs>
          <w:tab w:val="num" w:pos="3600"/>
        </w:tabs>
        <w:ind w:left="3600" w:hanging="360"/>
      </w:pPr>
      <w:rPr>
        <w:rFonts w:ascii="Symbol" w:hAnsi="Symbol" w:hint="default"/>
      </w:rPr>
    </w:lvl>
    <w:lvl w:ilvl="5" w:tplc="12A0C03C" w:tentative="1">
      <w:start w:val="1"/>
      <w:numFmt w:val="bullet"/>
      <w:lvlText w:val=""/>
      <w:lvlPicBulletId w:val="0"/>
      <w:lvlJc w:val="left"/>
      <w:pPr>
        <w:tabs>
          <w:tab w:val="num" w:pos="4320"/>
        </w:tabs>
        <w:ind w:left="4320" w:hanging="360"/>
      </w:pPr>
      <w:rPr>
        <w:rFonts w:ascii="Symbol" w:hAnsi="Symbol" w:hint="default"/>
      </w:rPr>
    </w:lvl>
    <w:lvl w:ilvl="6" w:tplc="6B9CB93C" w:tentative="1">
      <w:start w:val="1"/>
      <w:numFmt w:val="bullet"/>
      <w:lvlText w:val=""/>
      <w:lvlPicBulletId w:val="0"/>
      <w:lvlJc w:val="left"/>
      <w:pPr>
        <w:tabs>
          <w:tab w:val="num" w:pos="5040"/>
        </w:tabs>
        <w:ind w:left="5040" w:hanging="360"/>
      </w:pPr>
      <w:rPr>
        <w:rFonts w:ascii="Symbol" w:hAnsi="Symbol" w:hint="default"/>
      </w:rPr>
    </w:lvl>
    <w:lvl w:ilvl="7" w:tplc="DF58B428" w:tentative="1">
      <w:start w:val="1"/>
      <w:numFmt w:val="bullet"/>
      <w:lvlText w:val=""/>
      <w:lvlPicBulletId w:val="0"/>
      <w:lvlJc w:val="left"/>
      <w:pPr>
        <w:tabs>
          <w:tab w:val="num" w:pos="5760"/>
        </w:tabs>
        <w:ind w:left="5760" w:hanging="360"/>
      </w:pPr>
      <w:rPr>
        <w:rFonts w:ascii="Symbol" w:hAnsi="Symbol" w:hint="default"/>
      </w:rPr>
    </w:lvl>
    <w:lvl w:ilvl="8" w:tplc="D0EA4E7A"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52E323E4"/>
    <w:multiLevelType w:val="hybridMultilevel"/>
    <w:tmpl w:val="46DA6A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E01F16"/>
    <w:multiLevelType w:val="hybridMultilevel"/>
    <w:tmpl w:val="9C4A6B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8C7EDC"/>
    <w:multiLevelType w:val="hybridMultilevel"/>
    <w:tmpl w:val="221CD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F726A5"/>
    <w:multiLevelType w:val="hybridMultilevel"/>
    <w:tmpl w:val="7B922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D47050"/>
    <w:multiLevelType w:val="hybridMultilevel"/>
    <w:tmpl w:val="FC9ED8D4"/>
    <w:lvl w:ilvl="0" w:tplc="04090001">
      <w:start w:val="1"/>
      <w:numFmt w:val="bullet"/>
      <w:lvlText w:val=""/>
      <w:lvlJc w:val="left"/>
      <w:pPr>
        <w:ind w:left="1872" w:hanging="360"/>
      </w:pPr>
      <w:rPr>
        <w:rFonts w:ascii="Symbol" w:hAnsi="Symbol" w:hint="default"/>
      </w:rPr>
    </w:lvl>
    <w:lvl w:ilvl="1" w:tplc="04090003">
      <w:start w:val="1"/>
      <w:numFmt w:val="bullet"/>
      <w:lvlText w:val="o"/>
      <w:lvlJc w:val="left"/>
      <w:pPr>
        <w:ind w:left="2592" w:hanging="360"/>
      </w:pPr>
      <w:rPr>
        <w:rFonts w:ascii="Courier New" w:hAnsi="Courier New" w:cs="Courier New" w:hint="default"/>
      </w:rPr>
    </w:lvl>
    <w:lvl w:ilvl="2" w:tplc="04090005">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37"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E926F13"/>
    <w:multiLevelType w:val="hybridMultilevel"/>
    <w:tmpl w:val="EE4EC480"/>
    <w:lvl w:ilvl="0" w:tplc="BFBE59AE">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6647B9"/>
    <w:multiLevelType w:val="hybridMultilevel"/>
    <w:tmpl w:val="95AE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7B58FB"/>
    <w:multiLevelType w:val="hybridMultilevel"/>
    <w:tmpl w:val="B350AF36"/>
    <w:lvl w:ilvl="0" w:tplc="55BEC928">
      <w:start w:val="1"/>
      <w:numFmt w:val="bullet"/>
      <w:lvlText w:val="−"/>
      <w:lvlJc w:val="left"/>
      <w:pPr>
        <w:tabs>
          <w:tab w:val="num" w:pos="720"/>
        </w:tabs>
        <w:ind w:left="720" w:hanging="360"/>
      </w:pPr>
      <w:rPr>
        <w:rFonts w:ascii="Calibre Regular" w:hAnsi="Calibre Regular" w:hint="default"/>
      </w:rPr>
    </w:lvl>
    <w:lvl w:ilvl="1" w:tplc="A4BAE806" w:tentative="1">
      <w:start w:val="1"/>
      <w:numFmt w:val="bullet"/>
      <w:lvlText w:val="−"/>
      <w:lvlJc w:val="left"/>
      <w:pPr>
        <w:tabs>
          <w:tab w:val="num" w:pos="1440"/>
        </w:tabs>
        <w:ind w:left="1440" w:hanging="360"/>
      </w:pPr>
      <w:rPr>
        <w:rFonts w:ascii="Calibre Regular" w:hAnsi="Calibre Regular" w:hint="default"/>
      </w:rPr>
    </w:lvl>
    <w:lvl w:ilvl="2" w:tplc="EBC80272">
      <w:start w:val="1"/>
      <w:numFmt w:val="bullet"/>
      <w:lvlText w:val="−"/>
      <w:lvlJc w:val="left"/>
      <w:pPr>
        <w:tabs>
          <w:tab w:val="num" w:pos="2160"/>
        </w:tabs>
        <w:ind w:left="2160" w:hanging="360"/>
      </w:pPr>
      <w:rPr>
        <w:rFonts w:ascii="Calibre Regular" w:hAnsi="Calibre Regular" w:hint="default"/>
      </w:rPr>
    </w:lvl>
    <w:lvl w:ilvl="3" w:tplc="31A8757C" w:tentative="1">
      <w:start w:val="1"/>
      <w:numFmt w:val="bullet"/>
      <w:lvlText w:val="−"/>
      <w:lvlJc w:val="left"/>
      <w:pPr>
        <w:tabs>
          <w:tab w:val="num" w:pos="2880"/>
        </w:tabs>
        <w:ind w:left="2880" w:hanging="360"/>
      </w:pPr>
      <w:rPr>
        <w:rFonts w:ascii="Calibre Regular" w:hAnsi="Calibre Regular" w:hint="default"/>
      </w:rPr>
    </w:lvl>
    <w:lvl w:ilvl="4" w:tplc="B9C8CF9E" w:tentative="1">
      <w:start w:val="1"/>
      <w:numFmt w:val="bullet"/>
      <w:lvlText w:val="−"/>
      <w:lvlJc w:val="left"/>
      <w:pPr>
        <w:tabs>
          <w:tab w:val="num" w:pos="3600"/>
        </w:tabs>
        <w:ind w:left="3600" w:hanging="360"/>
      </w:pPr>
      <w:rPr>
        <w:rFonts w:ascii="Calibre Regular" w:hAnsi="Calibre Regular" w:hint="default"/>
      </w:rPr>
    </w:lvl>
    <w:lvl w:ilvl="5" w:tplc="91C48552" w:tentative="1">
      <w:start w:val="1"/>
      <w:numFmt w:val="bullet"/>
      <w:lvlText w:val="−"/>
      <w:lvlJc w:val="left"/>
      <w:pPr>
        <w:tabs>
          <w:tab w:val="num" w:pos="4320"/>
        </w:tabs>
        <w:ind w:left="4320" w:hanging="360"/>
      </w:pPr>
      <w:rPr>
        <w:rFonts w:ascii="Calibre Regular" w:hAnsi="Calibre Regular" w:hint="default"/>
      </w:rPr>
    </w:lvl>
    <w:lvl w:ilvl="6" w:tplc="FF006800" w:tentative="1">
      <w:start w:val="1"/>
      <w:numFmt w:val="bullet"/>
      <w:lvlText w:val="−"/>
      <w:lvlJc w:val="left"/>
      <w:pPr>
        <w:tabs>
          <w:tab w:val="num" w:pos="5040"/>
        </w:tabs>
        <w:ind w:left="5040" w:hanging="360"/>
      </w:pPr>
      <w:rPr>
        <w:rFonts w:ascii="Calibre Regular" w:hAnsi="Calibre Regular" w:hint="default"/>
      </w:rPr>
    </w:lvl>
    <w:lvl w:ilvl="7" w:tplc="2A2095A2" w:tentative="1">
      <w:start w:val="1"/>
      <w:numFmt w:val="bullet"/>
      <w:lvlText w:val="−"/>
      <w:lvlJc w:val="left"/>
      <w:pPr>
        <w:tabs>
          <w:tab w:val="num" w:pos="5760"/>
        </w:tabs>
        <w:ind w:left="5760" w:hanging="360"/>
      </w:pPr>
      <w:rPr>
        <w:rFonts w:ascii="Calibre Regular" w:hAnsi="Calibre Regular" w:hint="default"/>
      </w:rPr>
    </w:lvl>
    <w:lvl w:ilvl="8" w:tplc="00AABDD8" w:tentative="1">
      <w:start w:val="1"/>
      <w:numFmt w:val="bullet"/>
      <w:lvlText w:val="−"/>
      <w:lvlJc w:val="left"/>
      <w:pPr>
        <w:tabs>
          <w:tab w:val="num" w:pos="6480"/>
        </w:tabs>
        <w:ind w:left="6480" w:hanging="360"/>
      </w:pPr>
      <w:rPr>
        <w:rFonts w:ascii="Calibre Regular" w:hAnsi="Calibre Regular" w:hint="default"/>
      </w:rPr>
    </w:lvl>
  </w:abstractNum>
  <w:num w:numId="1">
    <w:abstractNumId w:val="19"/>
  </w:num>
  <w:num w:numId="2">
    <w:abstractNumId w:val="0"/>
  </w:num>
  <w:num w:numId="3">
    <w:abstractNumId w:val="4"/>
  </w:num>
  <w:num w:numId="4">
    <w:abstractNumId w:val="21"/>
  </w:num>
  <w:num w:numId="5">
    <w:abstractNumId w:val="5"/>
  </w:num>
  <w:num w:numId="6">
    <w:abstractNumId w:val="12"/>
  </w:num>
  <w:num w:numId="7">
    <w:abstractNumId w:val="14"/>
  </w:num>
  <w:num w:numId="8">
    <w:abstractNumId w:val="1"/>
  </w:num>
  <w:num w:numId="9">
    <w:abstractNumId w:val="37"/>
    <w:lvlOverride w:ilvl="0">
      <w:startOverride w:val="1"/>
    </w:lvlOverride>
  </w:num>
  <w:num w:numId="10">
    <w:abstractNumId w:val="23"/>
  </w:num>
  <w:num w:numId="11">
    <w:abstractNumId w:val="30"/>
  </w:num>
  <w:num w:numId="12">
    <w:abstractNumId w:val="31"/>
  </w:num>
  <w:num w:numId="13">
    <w:abstractNumId w:val="18"/>
  </w:num>
  <w:num w:numId="14">
    <w:abstractNumId w:val="28"/>
  </w:num>
  <w:num w:numId="15">
    <w:abstractNumId w:val="9"/>
  </w:num>
  <w:num w:numId="16">
    <w:abstractNumId w:val="20"/>
  </w:num>
  <w:num w:numId="17">
    <w:abstractNumId w:val="16"/>
  </w:num>
  <w:num w:numId="18">
    <w:abstractNumId w:val="34"/>
  </w:num>
  <w:num w:numId="19">
    <w:abstractNumId w:val="40"/>
  </w:num>
  <w:num w:numId="20">
    <w:abstractNumId w:val="15"/>
  </w:num>
  <w:num w:numId="21">
    <w:abstractNumId w:val="33"/>
  </w:num>
  <w:num w:numId="22">
    <w:abstractNumId w:val="3"/>
  </w:num>
  <w:num w:numId="23">
    <w:abstractNumId w:val="17"/>
  </w:num>
  <w:num w:numId="24">
    <w:abstractNumId w:val="13"/>
  </w:num>
  <w:num w:numId="25">
    <w:abstractNumId w:val="8"/>
  </w:num>
  <w:num w:numId="26">
    <w:abstractNumId w:val="27"/>
  </w:num>
  <w:num w:numId="27">
    <w:abstractNumId w:val="32"/>
  </w:num>
  <w:num w:numId="28">
    <w:abstractNumId w:val="22"/>
  </w:num>
  <w:num w:numId="29">
    <w:abstractNumId w:val="35"/>
  </w:num>
  <w:num w:numId="30">
    <w:abstractNumId w:val="39"/>
  </w:num>
  <w:num w:numId="31">
    <w:abstractNumId w:val="2"/>
  </w:num>
  <w:num w:numId="32">
    <w:abstractNumId w:val="24"/>
  </w:num>
  <w:num w:numId="33">
    <w:abstractNumId w:val="6"/>
  </w:num>
  <w:num w:numId="34">
    <w:abstractNumId w:val="10"/>
  </w:num>
  <w:num w:numId="35">
    <w:abstractNumId w:val="21"/>
    <w:lvlOverride w:ilvl="0">
      <w:startOverride w:val="1"/>
    </w:lvlOverride>
  </w:num>
  <w:num w:numId="36">
    <w:abstractNumId w:val="38"/>
  </w:num>
  <w:num w:numId="37">
    <w:abstractNumId w:val="11"/>
  </w:num>
  <w:num w:numId="38">
    <w:abstractNumId w:val="36"/>
  </w:num>
  <w:num w:numId="39">
    <w:abstractNumId w:val="26"/>
  </w:num>
  <w:num w:numId="40">
    <w:abstractNumId w:val="29"/>
  </w:num>
  <w:num w:numId="41">
    <w:abstractNumId w:val="7"/>
  </w:num>
  <w:num w:numId="42">
    <w:abstractNumId w:val="41"/>
  </w:num>
  <w:num w:numId="43">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3C6"/>
    <w:rsid w:val="0001645D"/>
    <w:rsid w:val="000164BB"/>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5B1"/>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12"/>
    <w:rsid w:val="000B32D4"/>
    <w:rsid w:val="000B38DA"/>
    <w:rsid w:val="000B3F37"/>
    <w:rsid w:val="000B4788"/>
    <w:rsid w:val="000B49D7"/>
    <w:rsid w:val="000B546F"/>
    <w:rsid w:val="000B6030"/>
    <w:rsid w:val="000B63BC"/>
    <w:rsid w:val="000B65BE"/>
    <w:rsid w:val="000B6BDF"/>
    <w:rsid w:val="000B71B6"/>
    <w:rsid w:val="000B7B2B"/>
    <w:rsid w:val="000B7D5E"/>
    <w:rsid w:val="000C133A"/>
    <w:rsid w:val="000C1545"/>
    <w:rsid w:val="000C1DBD"/>
    <w:rsid w:val="000C2052"/>
    <w:rsid w:val="000C22A8"/>
    <w:rsid w:val="000C240A"/>
    <w:rsid w:val="000C2706"/>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51B"/>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851"/>
    <w:rsid w:val="001115C0"/>
    <w:rsid w:val="001115F4"/>
    <w:rsid w:val="001116D2"/>
    <w:rsid w:val="0011190B"/>
    <w:rsid w:val="00111AD9"/>
    <w:rsid w:val="00111F6B"/>
    <w:rsid w:val="0011211D"/>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57901"/>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1EB4"/>
    <w:rsid w:val="001820B2"/>
    <w:rsid w:val="001821E9"/>
    <w:rsid w:val="0018246F"/>
    <w:rsid w:val="00182718"/>
    <w:rsid w:val="00182741"/>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4E7"/>
    <w:rsid w:val="00192589"/>
    <w:rsid w:val="001925E5"/>
    <w:rsid w:val="001929F7"/>
    <w:rsid w:val="00193924"/>
    <w:rsid w:val="00193987"/>
    <w:rsid w:val="00193EEE"/>
    <w:rsid w:val="00194955"/>
    <w:rsid w:val="00195657"/>
    <w:rsid w:val="0019573B"/>
    <w:rsid w:val="0019592C"/>
    <w:rsid w:val="00195BFA"/>
    <w:rsid w:val="00196085"/>
    <w:rsid w:val="00196B90"/>
    <w:rsid w:val="00196DE8"/>
    <w:rsid w:val="00196FF4"/>
    <w:rsid w:val="0019734F"/>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6A"/>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3E73"/>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7B7"/>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7E1"/>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657F"/>
    <w:rsid w:val="002269A7"/>
    <w:rsid w:val="00226A52"/>
    <w:rsid w:val="00226AE0"/>
    <w:rsid w:val="00226BD3"/>
    <w:rsid w:val="00226FE2"/>
    <w:rsid w:val="0022735A"/>
    <w:rsid w:val="00227652"/>
    <w:rsid w:val="002277AA"/>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CB"/>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FF"/>
    <w:rsid w:val="00253400"/>
    <w:rsid w:val="002537F5"/>
    <w:rsid w:val="00253905"/>
    <w:rsid w:val="0025429A"/>
    <w:rsid w:val="00256B22"/>
    <w:rsid w:val="00256D51"/>
    <w:rsid w:val="00256F02"/>
    <w:rsid w:val="002571C8"/>
    <w:rsid w:val="002572F1"/>
    <w:rsid w:val="002573C4"/>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900"/>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6CF"/>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E3"/>
    <w:rsid w:val="002B3D90"/>
    <w:rsid w:val="002B453B"/>
    <w:rsid w:val="002B4AC3"/>
    <w:rsid w:val="002B4C39"/>
    <w:rsid w:val="002B601A"/>
    <w:rsid w:val="002B61F1"/>
    <w:rsid w:val="002B64FE"/>
    <w:rsid w:val="002B694E"/>
    <w:rsid w:val="002B6D31"/>
    <w:rsid w:val="002B70A2"/>
    <w:rsid w:val="002B7D56"/>
    <w:rsid w:val="002C04C2"/>
    <w:rsid w:val="002C0818"/>
    <w:rsid w:val="002C0D11"/>
    <w:rsid w:val="002C1B17"/>
    <w:rsid w:val="002C1D21"/>
    <w:rsid w:val="002C1E3D"/>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3F7"/>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3F3"/>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BCA"/>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732"/>
    <w:rsid w:val="00391A92"/>
    <w:rsid w:val="00391C99"/>
    <w:rsid w:val="003926BE"/>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925"/>
    <w:rsid w:val="00396BBB"/>
    <w:rsid w:val="00396E66"/>
    <w:rsid w:val="00397292"/>
    <w:rsid w:val="003976DD"/>
    <w:rsid w:val="003978B8"/>
    <w:rsid w:val="00397AD4"/>
    <w:rsid w:val="00397C89"/>
    <w:rsid w:val="00397E61"/>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63C"/>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B1A"/>
    <w:rsid w:val="003C6CCB"/>
    <w:rsid w:val="003C6D90"/>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4FCC"/>
    <w:rsid w:val="00405898"/>
    <w:rsid w:val="00405A9F"/>
    <w:rsid w:val="00405D95"/>
    <w:rsid w:val="00405F90"/>
    <w:rsid w:val="00406108"/>
    <w:rsid w:val="00406412"/>
    <w:rsid w:val="00406D4A"/>
    <w:rsid w:val="00406D9D"/>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17"/>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E31"/>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DA5"/>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C0"/>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EAC"/>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31D"/>
    <w:rsid w:val="00527489"/>
    <w:rsid w:val="00527860"/>
    <w:rsid w:val="00527A58"/>
    <w:rsid w:val="0053012B"/>
    <w:rsid w:val="0053037A"/>
    <w:rsid w:val="0053066C"/>
    <w:rsid w:val="005306C5"/>
    <w:rsid w:val="00530AFD"/>
    <w:rsid w:val="00531562"/>
    <w:rsid w:val="0053173A"/>
    <w:rsid w:val="00531824"/>
    <w:rsid w:val="00531AF4"/>
    <w:rsid w:val="00531C5A"/>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6BE7"/>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5E09"/>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424"/>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76D"/>
    <w:rsid w:val="005C3D94"/>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3F5F"/>
    <w:rsid w:val="005E48F7"/>
    <w:rsid w:val="005E4CCB"/>
    <w:rsid w:val="005E5563"/>
    <w:rsid w:val="005E59C5"/>
    <w:rsid w:val="005E5DD8"/>
    <w:rsid w:val="005E5E74"/>
    <w:rsid w:val="005E66F1"/>
    <w:rsid w:val="005E6AFB"/>
    <w:rsid w:val="005E73F5"/>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2FF"/>
    <w:rsid w:val="005F7CC1"/>
    <w:rsid w:val="006004DE"/>
    <w:rsid w:val="00600AAB"/>
    <w:rsid w:val="00600B6C"/>
    <w:rsid w:val="00601072"/>
    <w:rsid w:val="00601097"/>
    <w:rsid w:val="0060144E"/>
    <w:rsid w:val="00601FCD"/>
    <w:rsid w:val="00602147"/>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4FF1"/>
    <w:rsid w:val="00625B24"/>
    <w:rsid w:val="0062657C"/>
    <w:rsid w:val="00626C25"/>
    <w:rsid w:val="00626E64"/>
    <w:rsid w:val="0062725A"/>
    <w:rsid w:val="0062776C"/>
    <w:rsid w:val="00627BA3"/>
    <w:rsid w:val="00627C39"/>
    <w:rsid w:val="00627E44"/>
    <w:rsid w:val="0063006E"/>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3A"/>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4F9"/>
    <w:rsid w:val="00655780"/>
    <w:rsid w:val="0065594D"/>
    <w:rsid w:val="00656044"/>
    <w:rsid w:val="006561FF"/>
    <w:rsid w:val="00656D6F"/>
    <w:rsid w:val="00657005"/>
    <w:rsid w:val="006572FB"/>
    <w:rsid w:val="006578D9"/>
    <w:rsid w:val="00657AEA"/>
    <w:rsid w:val="00657F67"/>
    <w:rsid w:val="006605DC"/>
    <w:rsid w:val="00660A48"/>
    <w:rsid w:val="0066146F"/>
    <w:rsid w:val="00661636"/>
    <w:rsid w:val="00661C4E"/>
    <w:rsid w:val="00661CC2"/>
    <w:rsid w:val="00662166"/>
    <w:rsid w:val="00662717"/>
    <w:rsid w:val="00662FA2"/>
    <w:rsid w:val="0066310A"/>
    <w:rsid w:val="006635DC"/>
    <w:rsid w:val="0066369A"/>
    <w:rsid w:val="0066386C"/>
    <w:rsid w:val="00663908"/>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CE0"/>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0F23"/>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400"/>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3ED"/>
    <w:rsid w:val="006E1469"/>
    <w:rsid w:val="006E176F"/>
    <w:rsid w:val="006E1C34"/>
    <w:rsid w:val="006E1E45"/>
    <w:rsid w:val="006E22CC"/>
    <w:rsid w:val="006E3D3A"/>
    <w:rsid w:val="006E3E26"/>
    <w:rsid w:val="006E4646"/>
    <w:rsid w:val="006E512D"/>
    <w:rsid w:val="006E5477"/>
    <w:rsid w:val="006E554E"/>
    <w:rsid w:val="006E5AFE"/>
    <w:rsid w:val="006E696A"/>
    <w:rsid w:val="006E6C33"/>
    <w:rsid w:val="006E6F03"/>
    <w:rsid w:val="006E71A8"/>
    <w:rsid w:val="006E7496"/>
    <w:rsid w:val="006E76AF"/>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CD8"/>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50E"/>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6F80"/>
    <w:rsid w:val="007B77FB"/>
    <w:rsid w:val="007B7D58"/>
    <w:rsid w:val="007B7E00"/>
    <w:rsid w:val="007B7E59"/>
    <w:rsid w:val="007C0880"/>
    <w:rsid w:val="007C0AE5"/>
    <w:rsid w:val="007C0BD2"/>
    <w:rsid w:val="007C0F3A"/>
    <w:rsid w:val="007C0FA1"/>
    <w:rsid w:val="007C1065"/>
    <w:rsid w:val="007C14BD"/>
    <w:rsid w:val="007C1537"/>
    <w:rsid w:val="007C198E"/>
    <w:rsid w:val="007C1B94"/>
    <w:rsid w:val="007C22E6"/>
    <w:rsid w:val="007C26FF"/>
    <w:rsid w:val="007C286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42D"/>
    <w:rsid w:val="007C7578"/>
    <w:rsid w:val="007C779D"/>
    <w:rsid w:val="007C7EF3"/>
    <w:rsid w:val="007D020B"/>
    <w:rsid w:val="007D02A6"/>
    <w:rsid w:val="007D0645"/>
    <w:rsid w:val="007D098C"/>
    <w:rsid w:val="007D11B6"/>
    <w:rsid w:val="007D149C"/>
    <w:rsid w:val="007D158F"/>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B56"/>
    <w:rsid w:val="008050E9"/>
    <w:rsid w:val="008053AD"/>
    <w:rsid w:val="00805D11"/>
    <w:rsid w:val="008060FA"/>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2E64"/>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9EF"/>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B1B"/>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D75"/>
    <w:rsid w:val="00883ED6"/>
    <w:rsid w:val="00884255"/>
    <w:rsid w:val="0088425B"/>
    <w:rsid w:val="00884AD8"/>
    <w:rsid w:val="00884CDF"/>
    <w:rsid w:val="0088579F"/>
    <w:rsid w:val="00885D5D"/>
    <w:rsid w:val="00885EC9"/>
    <w:rsid w:val="00885F46"/>
    <w:rsid w:val="00885F7A"/>
    <w:rsid w:val="00885F7D"/>
    <w:rsid w:val="00886223"/>
    <w:rsid w:val="0088651F"/>
    <w:rsid w:val="008876DF"/>
    <w:rsid w:val="00887771"/>
    <w:rsid w:val="00887DA8"/>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5AA1"/>
    <w:rsid w:val="008961A5"/>
    <w:rsid w:val="008965CC"/>
    <w:rsid w:val="0089699C"/>
    <w:rsid w:val="00896D10"/>
    <w:rsid w:val="00896DF5"/>
    <w:rsid w:val="00896FD8"/>
    <w:rsid w:val="00897082"/>
    <w:rsid w:val="008970F6"/>
    <w:rsid w:val="008972CB"/>
    <w:rsid w:val="008975C4"/>
    <w:rsid w:val="00897AC1"/>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0F91"/>
    <w:rsid w:val="008D13DC"/>
    <w:rsid w:val="008D149D"/>
    <w:rsid w:val="008D1988"/>
    <w:rsid w:val="008D1E23"/>
    <w:rsid w:val="008D2209"/>
    <w:rsid w:val="008D2461"/>
    <w:rsid w:val="008D2CFC"/>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2AE7"/>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9E9"/>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2F"/>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1F1"/>
    <w:rsid w:val="00992624"/>
    <w:rsid w:val="009927C4"/>
    <w:rsid w:val="00992A4E"/>
    <w:rsid w:val="00993075"/>
    <w:rsid w:val="009930C0"/>
    <w:rsid w:val="0099324C"/>
    <w:rsid w:val="00993627"/>
    <w:rsid w:val="0099367D"/>
    <w:rsid w:val="009936F0"/>
    <w:rsid w:val="00994D59"/>
    <w:rsid w:val="00994E9F"/>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BF9"/>
    <w:rsid w:val="009C1D4B"/>
    <w:rsid w:val="009C1E0C"/>
    <w:rsid w:val="009C206F"/>
    <w:rsid w:val="009C281C"/>
    <w:rsid w:val="009C2AB0"/>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117"/>
    <w:rsid w:val="009D394E"/>
    <w:rsid w:val="009D39A0"/>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4F2"/>
    <w:rsid w:val="00A00B60"/>
    <w:rsid w:val="00A01006"/>
    <w:rsid w:val="00A02B26"/>
    <w:rsid w:val="00A02BEC"/>
    <w:rsid w:val="00A02C96"/>
    <w:rsid w:val="00A02D52"/>
    <w:rsid w:val="00A02FBC"/>
    <w:rsid w:val="00A0398B"/>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66"/>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603"/>
    <w:rsid w:val="00A23919"/>
    <w:rsid w:val="00A23921"/>
    <w:rsid w:val="00A23E0D"/>
    <w:rsid w:val="00A24002"/>
    <w:rsid w:val="00A2470A"/>
    <w:rsid w:val="00A2481C"/>
    <w:rsid w:val="00A24CCF"/>
    <w:rsid w:val="00A25296"/>
    <w:rsid w:val="00A253C6"/>
    <w:rsid w:val="00A2585A"/>
    <w:rsid w:val="00A25BF3"/>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6"/>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3C4"/>
    <w:rsid w:val="00A6743F"/>
    <w:rsid w:val="00A677C1"/>
    <w:rsid w:val="00A67A8E"/>
    <w:rsid w:val="00A67AC6"/>
    <w:rsid w:val="00A67DAC"/>
    <w:rsid w:val="00A70A35"/>
    <w:rsid w:val="00A7141F"/>
    <w:rsid w:val="00A71D6B"/>
    <w:rsid w:val="00A71F00"/>
    <w:rsid w:val="00A7215E"/>
    <w:rsid w:val="00A726A3"/>
    <w:rsid w:val="00A726DE"/>
    <w:rsid w:val="00A73242"/>
    <w:rsid w:val="00A73873"/>
    <w:rsid w:val="00A739AB"/>
    <w:rsid w:val="00A73D4C"/>
    <w:rsid w:val="00A740F2"/>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1F53"/>
    <w:rsid w:val="00A8221B"/>
    <w:rsid w:val="00A82508"/>
    <w:rsid w:val="00A82C1E"/>
    <w:rsid w:val="00A831F0"/>
    <w:rsid w:val="00A83309"/>
    <w:rsid w:val="00A83937"/>
    <w:rsid w:val="00A83BF1"/>
    <w:rsid w:val="00A83CA0"/>
    <w:rsid w:val="00A84298"/>
    <w:rsid w:val="00A844CE"/>
    <w:rsid w:val="00A84A75"/>
    <w:rsid w:val="00A84EBF"/>
    <w:rsid w:val="00A85237"/>
    <w:rsid w:val="00A8523D"/>
    <w:rsid w:val="00A85661"/>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095A"/>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C80"/>
    <w:rsid w:val="00AF3C8C"/>
    <w:rsid w:val="00AF3E20"/>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1B"/>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3AC"/>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8AF"/>
    <w:rsid w:val="00B64A44"/>
    <w:rsid w:val="00B652B0"/>
    <w:rsid w:val="00B65771"/>
    <w:rsid w:val="00B664EC"/>
    <w:rsid w:val="00B66801"/>
    <w:rsid w:val="00B668B4"/>
    <w:rsid w:val="00B66FFC"/>
    <w:rsid w:val="00B6796C"/>
    <w:rsid w:val="00B67B2B"/>
    <w:rsid w:val="00B7021B"/>
    <w:rsid w:val="00B70333"/>
    <w:rsid w:val="00B70A49"/>
    <w:rsid w:val="00B70EDB"/>
    <w:rsid w:val="00B7148C"/>
    <w:rsid w:val="00B71A5D"/>
    <w:rsid w:val="00B7273B"/>
    <w:rsid w:val="00B727B8"/>
    <w:rsid w:val="00B73453"/>
    <w:rsid w:val="00B737C7"/>
    <w:rsid w:val="00B73E00"/>
    <w:rsid w:val="00B73E31"/>
    <w:rsid w:val="00B7460C"/>
    <w:rsid w:val="00B74A0D"/>
    <w:rsid w:val="00B74EC0"/>
    <w:rsid w:val="00B75493"/>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AF9"/>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4D50"/>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820"/>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A25"/>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82E"/>
    <w:rsid w:val="00C47AE8"/>
    <w:rsid w:val="00C47B93"/>
    <w:rsid w:val="00C47BDE"/>
    <w:rsid w:val="00C47EC4"/>
    <w:rsid w:val="00C508B7"/>
    <w:rsid w:val="00C509D3"/>
    <w:rsid w:val="00C51696"/>
    <w:rsid w:val="00C5193F"/>
    <w:rsid w:val="00C51D11"/>
    <w:rsid w:val="00C51D30"/>
    <w:rsid w:val="00C51F21"/>
    <w:rsid w:val="00C52117"/>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1CC0"/>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492"/>
    <w:rsid w:val="00C80547"/>
    <w:rsid w:val="00C80CD8"/>
    <w:rsid w:val="00C80DB5"/>
    <w:rsid w:val="00C8198E"/>
    <w:rsid w:val="00C81B30"/>
    <w:rsid w:val="00C8220B"/>
    <w:rsid w:val="00C82387"/>
    <w:rsid w:val="00C823D0"/>
    <w:rsid w:val="00C829B6"/>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3C2"/>
    <w:rsid w:val="00C91CFB"/>
    <w:rsid w:val="00C91FAC"/>
    <w:rsid w:val="00C9220C"/>
    <w:rsid w:val="00C922C5"/>
    <w:rsid w:val="00C92352"/>
    <w:rsid w:val="00C923B7"/>
    <w:rsid w:val="00C927AB"/>
    <w:rsid w:val="00C92C2A"/>
    <w:rsid w:val="00C9318C"/>
    <w:rsid w:val="00C93297"/>
    <w:rsid w:val="00C93543"/>
    <w:rsid w:val="00C936D0"/>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2C94"/>
    <w:rsid w:val="00CA49C0"/>
    <w:rsid w:val="00CA4A24"/>
    <w:rsid w:val="00CA4A3F"/>
    <w:rsid w:val="00CA4C14"/>
    <w:rsid w:val="00CA4F58"/>
    <w:rsid w:val="00CA51A0"/>
    <w:rsid w:val="00CA5DA3"/>
    <w:rsid w:val="00CA5F07"/>
    <w:rsid w:val="00CA6164"/>
    <w:rsid w:val="00CA6BDF"/>
    <w:rsid w:val="00CB0072"/>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66A"/>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252"/>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674"/>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A26"/>
    <w:rsid w:val="00D36C8E"/>
    <w:rsid w:val="00D36D5A"/>
    <w:rsid w:val="00D37A26"/>
    <w:rsid w:val="00D37C2D"/>
    <w:rsid w:val="00D404CE"/>
    <w:rsid w:val="00D40D79"/>
    <w:rsid w:val="00D40E25"/>
    <w:rsid w:val="00D40E78"/>
    <w:rsid w:val="00D40F5C"/>
    <w:rsid w:val="00D41009"/>
    <w:rsid w:val="00D41458"/>
    <w:rsid w:val="00D414A1"/>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5BF"/>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6EEC"/>
    <w:rsid w:val="00D771C9"/>
    <w:rsid w:val="00D800A1"/>
    <w:rsid w:val="00D8036A"/>
    <w:rsid w:val="00D8044F"/>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57E"/>
    <w:rsid w:val="00DB0D5D"/>
    <w:rsid w:val="00DB1539"/>
    <w:rsid w:val="00DB1F98"/>
    <w:rsid w:val="00DB2557"/>
    <w:rsid w:val="00DB27E1"/>
    <w:rsid w:val="00DB2CDC"/>
    <w:rsid w:val="00DB2CF9"/>
    <w:rsid w:val="00DB2F94"/>
    <w:rsid w:val="00DB2FDC"/>
    <w:rsid w:val="00DB35C7"/>
    <w:rsid w:val="00DB364A"/>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D03"/>
    <w:rsid w:val="00DE7F45"/>
    <w:rsid w:val="00DF02EC"/>
    <w:rsid w:val="00DF0820"/>
    <w:rsid w:val="00DF0D33"/>
    <w:rsid w:val="00DF0E63"/>
    <w:rsid w:val="00DF12DC"/>
    <w:rsid w:val="00DF1300"/>
    <w:rsid w:val="00DF1630"/>
    <w:rsid w:val="00DF1EB6"/>
    <w:rsid w:val="00DF1FD6"/>
    <w:rsid w:val="00DF21AF"/>
    <w:rsid w:val="00DF2412"/>
    <w:rsid w:val="00DF32AF"/>
    <w:rsid w:val="00DF3307"/>
    <w:rsid w:val="00DF360E"/>
    <w:rsid w:val="00DF3623"/>
    <w:rsid w:val="00DF3A2C"/>
    <w:rsid w:val="00DF4158"/>
    <w:rsid w:val="00DF4430"/>
    <w:rsid w:val="00DF4920"/>
    <w:rsid w:val="00DF4A2C"/>
    <w:rsid w:val="00DF4DEA"/>
    <w:rsid w:val="00DF4F19"/>
    <w:rsid w:val="00DF5002"/>
    <w:rsid w:val="00DF5270"/>
    <w:rsid w:val="00DF5588"/>
    <w:rsid w:val="00DF5B4C"/>
    <w:rsid w:val="00DF5C89"/>
    <w:rsid w:val="00DF6014"/>
    <w:rsid w:val="00DF6531"/>
    <w:rsid w:val="00DF6824"/>
    <w:rsid w:val="00DF69A9"/>
    <w:rsid w:val="00DF6A83"/>
    <w:rsid w:val="00DF7226"/>
    <w:rsid w:val="00DF787E"/>
    <w:rsid w:val="00DF7BB2"/>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504"/>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4F56"/>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200D"/>
    <w:rsid w:val="00E32E0E"/>
    <w:rsid w:val="00E3305B"/>
    <w:rsid w:val="00E33506"/>
    <w:rsid w:val="00E33802"/>
    <w:rsid w:val="00E33814"/>
    <w:rsid w:val="00E339C6"/>
    <w:rsid w:val="00E33B8C"/>
    <w:rsid w:val="00E33D92"/>
    <w:rsid w:val="00E33E09"/>
    <w:rsid w:val="00E33E4D"/>
    <w:rsid w:val="00E34D6F"/>
    <w:rsid w:val="00E34F08"/>
    <w:rsid w:val="00E35698"/>
    <w:rsid w:val="00E35AC2"/>
    <w:rsid w:val="00E35EB9"/>
    <w:rsid w:val="00E35F47"/>
    <w:rsid w:val="00E3610B"/>
    <w:rsid w:val="00E363B9"/>
    <w:rsid w:val="00E36400"/>
    <w:rsid w:val="00E36AED"/>
    <w:rsid w:val="00E3702B"/>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999"/>
    <w:rsid w:val="00E47D5F"/>
    <w:rsid w:val="00E47D96"/>
    <w:rsid w:val="00E50344"/>
    <w:rsid w:val="00E508D6"/>
    <w:rsid w:val="00E515A3"/>
    <w:rsid w:val="00E51E23"/>
    <w:rsid w:val="00E523F3"/>
    <w:rsid w:val="00E52F76"/>
    <w:rsid w:val="00E530B8"/>
    <w:rsid w:val="00E5315C"/>
    <w:rsid w:val="00E534EA"/>
    <w:rsid w:val="00E538E0"/>
    <w:rsid w:val="00E547DF"/>
    <w:rsid w:val="00E54D33"/>
    <w:rsid w:val="00E564C1"/>
    <w:rsid w:val="00E56898"/>
    <w:rsid w:val="00E56D97"/>
    <w:rsid w:val="00E56E3C"/>
    <w:rsid w:val="00E56F3C"/>
    <w:rsid w:val="00E5711F"/>
    <w:rsid w:val="00E57456"/>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7D5"/>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31"/>
    <w:rsid w:val="00EC3E81"/>
    <w:rsid w:val="00EC3EC8"/>
    <w:rsid w:val="00EC44E7"/>
    <w:rsid w:val="00EC4C4A"/>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18D"/>
    <w:rsid w:val="00F14FB4"/>
    <w:rsid w:val="00F15CF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2FE3"/>
    <w:rsid w:val="00F3333E"/>
    <w:rsid w:val="00F3383E"/>
    <w:rsid w:val="00F34286"/>
    <w:rsid w:val="00F342E5"/>
    <w:rsid w:val="00F346BC"/>
    <w:rsid w:val="00F3521B"/>
    <w:rsid w:val="00F35561"/>
    <w:rsid w:val="00F35865"/>
    <w:rsid w:val="00F35E92"/>
    <w:rsid w:val="00F360BA"/>
    <w:rsid w:val="00F366CE"/>
    <w:rsid w:val="00F369FF"/>
    <w:rsid w:val="00F37583"/>
    <w:rsid w:val="00F377A2"/>
    <w:rsid w:val="00F37922"/>
    <w:rsid w:val="00F37AEF"/>
    <w:rsid w:val="00F37DC6"/>
    <w:rsid w:val="00F37E70"/>
    <w:rsid w:val="00F41D1F"/>
    <w:rsid w:val="00F41F41"/>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98E"/>
    <w:rsid w:val="00F71F79"/>
    <w:rsid w:val="00F7219A"/>
    <w:rsid w:val="00F721A1"/>
    <w:rsid w:val="00F724E3"/>
    <w:rsid w:val="00F727AA"/>
    <w:rsid w:val="00F72C94"/>
    <w:rsid w:val="00F73F43"/>
    <w:rsid w:val="00F74664"/>
    <w:rsid w:val="00F74791"/>
    <w:rsid w:val="00F747FD"/>
    <w:rsid w:val="00F74A7A"/>
    <w:rsid w:val="00F75671"/>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76"/>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5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585"/>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009"/>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137A"/>
    <w:rsid w:val="00FD235B"/>
    <w:rsid w:val="00FD2804"/>
    <w:rsid w:val="00FD282A"/>
    <w:rsid w:val="00FD2A71"/>
    <w:rsid w:val="00FD2F3B"/>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1EC0"/>
    <w:rsid w:val="00FE22FE"/>
    <w:rsid w:val="00FE2B7B"/>
    <w:rsid w:val="00FE3100"/>
    <w:rsid w:val="00FE3768"/>
    <w:rsid w:val="00FE3D47"/>
    <w:rsid w:val="00FE41B2"/>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w:basedOn w:val="Normal"/>
    <w:link w:val="ListParagraphChar"/>
    <w:uiPriority w:val="34"/>
    <w:qFormat/>
    <w:rsid w:val="00885F7D"/>
    <w:pPr>
      <w:numPr>
        <w:numId w:val="43"/>
      </w:numPr>
      <w:overflowPunct/>
      <w:autoSpaceDE/>
      <w:autoSpaceDN/>
      <w:adjustRightInd/>
      <w:spacing w:after="0"/>
      <w:textAlignment w:val="auto"/>
    </w:pPr>
    <w:rPr>
      <w:rFonts w:eastAsia="Calibri"/>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
    <w:link w:val="ListParagraph"/>
    <w:uiPriority w:val="34"/>
    <w:qFormat/>
    <w:locked/>
    <w:rsid w:val="00885F7D"/>
    <w:rPr>
      <w:rFonts w:ascii="Times New Roman" w:eastAsia="Calibri" w:hAnsi="Times New Roman"/>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ReferenceChar">
    <w:name w:val="Reference Char"/>
    <w:link w:val="Reference"/>
    <w:rsid w:val="002277AA"/>
    <w:rPr>
      <w:rFonts w:ascii="Times New Roman" w:hAnsi="Times New Roman"/>
      <w:lang w:eastAsia="ar-SA"/>
    </w:rPr>
  </w:style>
  <w:style w:type="paragraph" w:customStyle="1" w:styleId="Observation">
    <w:name w:val="Observation"/>
    <w:basedOn w:val="Normal"/>
    <w:link w:val="ObservationChar"/>
    <w:qFormat/>
    <w:rsid w:val="00A23603"/>
    <w:pPr>
      <w:spacing w:before="180"/>
      <w:jc w:val="both"/>
    </w:pPr>
    <w:rPr>
      <w:rFonts w:eastAsia="MS Mincho"/>
      <w:b/>
      <w:i/>
      <w:lang w:eastAsia="ja-JP"/>
    </w:rPr>
  </w:style>
  <w:style w:type="character" w:customStyle="1" w:styleId="ObservationChar">
    <w:name w:val="Observation Char"/>
    <w:basedOn w:val="DefaultParagraphFont"/>
    <w:link w:val="Observation"/>
    <w:rsid w:val="00A23603"/>
    <w:rPr>
      <w:rFonts w:ascii="Times New Roman" w:eastAsia="MS Mincho" w:hAnsi="Times New Roman"/>
      <w:b/>
      <w: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16379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649749645">
          <w:marLeft w:val="547"/>
          <w:marRight w:val="0"/>
          <w:marTop w:val="106"/>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590503">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6995629">
      <w:bodyDiv w:val="1"/>
      <w:marLeft w:val="0"/>
      <w:marRight w:val="0"/>
      <w:marTop w:val="0"/>
      <w:marBottom w:val="0"/>
      <w:divBdr>
        <w:top w:val="none" w:sz="0" w:space="0" w:color="auto"/>
        <w:left w:val="none" w:sz="0" w:space="0" w:color="auto"/>
        <w:bottom w:val="none" w:sz="0" w:space="0" w:color="auto"/>
        <w:right w:val="none" w:sz="0" w:space="0" w:color="auto"/>
      </w:divBdr>
      <w:divsChild>
        <w:div w:id="1274896871">
          <w:marLeft w:val="547"/>
          <w:marRight w:val="0"/>
          <w:marTop w:val="115"/>
          <w:marBottom w:val="0"/>
          <w:divBdr>
            <w:top w:val="none" w:sz="0" w:space="0" w:color="auto"/>
            <w:left w:val="none" w:sz="0" w:space="0" w:color="auto"/>
            <w:bottom w:val="none" w:sz="0" w:space="0" w:color="auto"/>
            <w:right w:val="none" w:sz="0" w:space="0" w:color="auto"/>
          </w:divBdr>
        </w:div>
        <w:div w:id="1629891570">
          <w:marLeft w:val="1166"/>
          <w:marRight w:val="0"/>
          <w:marTop w:val="96"/>
          <w:marBottom w:val="0"/>
          <w:divBdr>
            <w:top w:val="none" w:sz="0" w:space="0" w:color="auto"/>
            <w:left w:val="none" w:sz="0" w:space="0" w:color="auto"/>
            <w:bottom w:val="none" w:sz="0" w:space="0" w:color="auto"/>
            <w:right w:val="none" w:sz="0" w:space="0" w:color="auto"/>
          </w:divBdr>
        </w:div>
        <w:div w:id="71393410">
          <w:marLeft w:val="1627"/>
          <w:marRight w:val="0"/>
          <w:marTop w:val="86"/>
          <w:marBottom w:val="0"/>
          <w:divBdr>
            <w:top w:val="none" w:sz="0" w:space="0" w:color="auto"/>
            <w:left w:val="none" w:sz="0" w:space="0" w:color="auto"/>
            <w:bottom w:val="none" w:sz="0" w:space="0" w:color="auto"/>
            <w:right w:val="none" w:sz="0" w:space="0" w:color="auto"/>
          </w:divBdr>
        </w:div>
        <w:div w:id="773287248">
          <w:marLeft w:val="2074"/>
          <w:marRight w:val="0"/>
          <w:marTop w:val="77"/>
          <w:marBottom w:val="0"/>
          <w:divBdr>
            <w:top w:val="none" w:sz="0" w:space="0" w:color="auto"/>
            <w:left w:val="none" w:sz="0" w:space="0" w:color="auto"/>
            <w:bottom w:val="none" w:sz="0" w:space="0" w:color="auto"/>
            <w:right w:val="none" w:sz="0" w:space="0" w:color="auto"/>
          </w:divBdr>
        </w:div>
        <w:div w:id="25060450">
          <w:marLeft w:val="1627"/>
          <w:marRight w:val="0"/>
          <w:marTop w:val="86"/>
          <w:marBottom w:val="0"/>
          <w:divBdr>
            <w:top w:val="none" w:sz="0" w:space="0" w:color="auto"/>
            <w:left w:val="none" w:sz="0" w:space="0" w:color="auto"/>
            <w:bottom w:val="none" w:sz="0" w:space="0" w:color="auto"/>
            <w:right w:val="none" w:sz="0" w:space="0" w:color="auto"/>
          </w:divBdr>
        </w:div>
        <w:div w:id="2011326055">
          <w:marLeft w:val="2074"/>
          <w:marRight w:val="0"/>
          <w:marTop w:val="77"/>
          <w:marBottom w:val="0"/>
          <w:divBdr>
            <w:top w:val="none" w:sz="0" w:space="0" w:color="auto"/>
            <w:left w:val="none" w:sz="0" w:space="0" w:color="auto"/>
            <w:bottom w:val="none" w:sz="0" w:space="0" w:color="auto"/>
            <w:right w:val="none" w:sz="0" w:space="0" w:color="auto"/>
          </w:divBdr>
        </w:div>
        <w:div w:id="265040457">
          <w:marLeft w:val="2520"/>
          <w:marRight w:val="0"/>
          <w:marTop w:val="67"/>
          <w:marBottom w:val="0"/>
          <w:divBdr>
            <w:top w:val="none" w:sz="0" w:space="0" w:color="auto"/>
            <w:left w:val="none" w:sz="0" w:space="0" w:color="auto"/>
            <w:bottom w:val="none" w:sz="0" w:space="0" w:color="auto"/>
            <w:right w:val="none" w:sz="0" w:space="0" w:color="auto"/>
          </w:divBdr>
        </w:div>
        <w:div w:id="516774173">
          <w:marLeft w:val="1166"/>
          <w:marRight w:val="0"/>
          <w:marTop w:val="96"/>
          <w:marBottom w:val="0"/>
          <w:divBdr>
            <w:top w:val="none" w:sz="0" w:space="0" w:color="auto"/>
            <w:left w:val="none" w:sz="0" w:space="0" w:color="auto"/>
            <w:bottom w:val="none" w:sz="0" w:space="0" w:color="auto"/>
            <w:right w:val="none" w:sz="0" w:space="0" w:color="auto"/>
          </w:divBdr>
        </w:div>
        <w:div w:id="1137796065">
          <w:marLeft w:val="1627"/>
          <w:marRight w:val="0"/>
          <w:marTop w:val="86"/>
          <w:marBottom w:val="0"/>
          <w:divBdr>
            <w:top w:val="none" w:sz="0" w:space="0" w:color="auto"/>
            <w:left w:val="none" w:sz="0" w:space="0" w:color="auto"/>
            <w:bottom w:val="none" w:sz="0" w:space="0" w:color="auto"/>
            <w:right w:val="none" w:sz="0" w:space="0" w:color="auto"/>
          </w:divBdr>
        </w:div>
        <w:div w:id="494224133">
          <w:marLeft w:val="2074"/>
          <w:marRight w:val="0"/>
          <w:marTop w:val="77"/>
          <w:marBottom w:val="0"/>
          <w:divBdr>
            <w:top w:val="none" w:sz="0" w:space="0" w:color="auto"/>
            <w:left w:val="none" w:sz="0" w:space="0" w:color="auto"/>
            <w:bottom w:val="none" w:sz="0" w:space="0" w:color="auto"/>
            <w:right w:val="none" w:sz="0" w:space="0" w:color="auto"/>
          </w:divBdr>
        </w:div>
        <w:div w:id="344678155">
          <w:marLeft w:val="1627"/>
          <w:marRight w:val="0"/>
          <w:marTop w:val="86"/>
          <w:marBottom w:val="0"/>
          <w:divBdr>
            <w:top w:val="none" w:sz="0" w:space="0" w:color="auto"/>
            <w:left w:val="none" w:sz="0" w:space="0" w:color="auto"/>
            <w:bottom w:val="none" w:sz="0" w:space="0" w:color="auto"/>
            <w:right w:val="none" w:sz="0" w:space="0" w:color="auto"/>
          </w:divBdr>
        </w:div>
        <w:div w:id="841238157">
          <w:marLeft w:val="2074"/>
          <w:marRight w:val="0"/>
          <w:marTop w:val="77"/>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4872644">
      <w:bodyDiv w:val="1"/>
      <w:marLeft w:val="0"/>
      <w:marRight w:val="0"/>
      <w:marTop w:val="0"/>
      <w:marBottom w:val="0"/>
      <w:divBdr>
        <w:top w:val="none" w:sz="0" w:space="0" w:color="auto"/>
        <w:left w:val="none" w:sz="0" w:space="0" w:color="auto"/>
        <w:bottom w:val="none" w:sz="0" w:space="0" w:color="auto"/>
        <w:right w:val="none" w:sz="0" w:space="0" w:color="auto"/>
      </w:divBdr>
      <w:divsChild>
        <w:div w:id="494339551">
          <w:marLeft w:val="1627"/>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3615475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HR33RHYHUWRF-4-6479</_dlc_DocId>
    <_dlc_DocIdUrl xmlns="c06861ca-3f08-4d07-bff7-bb15bac121f4">
      <Url>https://projects.qualcomm.com/sites/pentari/_layouts/15/DocIdRedir.aspx?ID=HR33RHYHUWRF-4-6479</Url>
      <Description>HR33RHYHUWRF-4-6479</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DE437376-A7B6-47B7-A9FE-9D6C62534131}">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863E8985-B016-452B-A0FB-AE63C3E37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4</Pages>
  <Words>1840</Words>
  <Characters>9052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DCI</vt:lpstr>
    </vt:vector>
  </TitlesOfParts>
  <Company>Qualcomm Inc.</Company>
  <LinksUpToDate>false</LinksUpToDate>
  <CharactersWithSpaces>10871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DCI</dc:title>
  <dc:subject/>
  <dc:creator>Qualcomm Inc.</dc:creator>
  <cp:keywords/>
  <cp:lastModifiedBy>Qualcomm</cp:lastModifiedBy>
  <cp:revision>7</cp:revision>
  <cp:lastPrinted>2014-11-07T05:38:00Z</cp:lastPrinted>
  <dcterms:created xsi:type="dcterms:W3CDTF">2018-01-13T06:03:00Z</dcterms:created>
  <dcterms:modified xsi:type="dcterms:W3CDTF">2018-02-17T04:19:00Z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06d80799-16e9-499f-aabb-6d6aff100c73</vt:lpwstr>
  </property>
  <property fmtid="{D5CDD505-2E9C-101B-9397-08002B2CF9AE}" pid="4" name="_AdHocReviewCycleID">
    <vt:i4>939187194</vt:i4>
  </property>
  <property fmtid="{D5CDD505-2E9C-101B-9397-08002B2CF9AE}" pid="5" name="_NewReviewCycle">
    <vt:lpwstr/>
  </property>
  <property fmtid="{D5CDD505-2E9C-101B-9397-08002B2CF9AE}" pid="6" name="_EmailSubject">
    <vt:lpwstr>Control channel contributions for RAN1#87</vt:lpwstr>
  </property>
  <property fmtid="{D5CDD505-2E9C-101B-9397-08002B2CF9AE}" pid="7" name="_AuthorEmail">
    <vt:lpwstr>jingsun@qti.qualcomm.com</vt:lpwstr>
  </property>
  <property fmtid="{D5CDD505-2E9C-101B-9397-08002B2CF9AE}" pid="8" name="_AuthorEmailDisplayName">
    <vt:lpwstr>Sun, Jing</vt:lpwstr>
  </property>
  <property fmtid="{D5CDD505-2E9C-101B-9397-08002B2CF9AE}" pid="9" name="_ReviewingToolsShownOnce">
    <vt:lpwstr/>
  </property>
</Properties>
</file>