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258F2" w14:textId="00BBBA4C" w:rsidR="009A0B47" w:rsidRPr="00BC38D5" w:rsidRDefault="009A0B47" w:rsidP="00D5747C">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E500A6">
        <w:rPr>
          <w:rFonts w:ascii="Arial" w:hAnsi="Arial" w:cs="Arial"/>
          <w:sz w:val="24"/>
          <w:szCs w:val="24"/>
        </w:rPr>
        <w:t>#92</w:t>
      </w:r>
      <w:r w:rsidRPr="00BC38D5">
        <w:rPr>
          <w:rFonts w:ascii="Arial" w:hAnsi="Arial" w:cs="Arial"/>
          <w:sz w:val="24"/>
          <w:szCs w:val="24"/>
        </w:rPr>
        <w:tab/>
      </w:r>
      <w:r>
        <w:rPr>
          <w:rFonts w:ascii="Arial" w:hAnsi="Arial" w:cs="Arial"/>
          <w:sz w:val="24"/>
          <w:szCs w:val="24"/>
        </w:rPr>
        <w:t>R1-1</w:t>
      </w:r>
      <w:r w:rsidR="005E3026">
        <w:rPr>
          <w:rFonts w:ascii="Arial" w:hAnsi="Arial" w:cs="Arial"/>
          <w:sz w:val="24"/>
          <w:szCs w:val="24"/>
        </w:rPr>
        <w:t>80</w:t>
      </w:r>
      <w:r w:rsidR="00D5747C">
        <w:rPr>
          <w:rFonts w:ascii="Arial" w:hAnsi="Arial" w:cs="Arial"/>
          <w:sz w:val="24"/>
          <w:szCs w:val="24"/>
        </w:rPr>
        <w:t>2678</w:t>
      </w:r>
    </w:p>
    <w:p w14:paraId="4D0B2945" w14:textId="2F37D260" w:rsidR="009A0B47" w:rsidRPr="00F8324B" w:rsidRDefault="006C5135" w:rsidP="006C5135">
      <w:pPr>
        <w:spacing w:after="0"/>
        <w:rPr>
          <w:rFonts w:ascii="Arial" w:hAnsi="Arial" w:cs="Arial"/>
          <w:sz w:val="24"/>
          <w:szCs w:val="24"/>
        </w:rPr>
      </w:pPr>
      <w:r>
        <w:rPr>
          <w:rFonts w:ascii="Arial" w:hAnsi="Arial" w:cs="Arial"/>
          <w:sz w:val="24"/>
          <w:szCs w:val="24"/>
        </w:rPr>
        <w:t>Athens, Greece</w:t>
      </w:r>
      <w:r w:rsidR="009A0B47">
        <w:rPr>
          <w:rFonts w:ascii="Arial" w:hAnsi="Arial" w:cs="Arial"/>
          <w:sz w:val="24"/>
          <w:szCs w:val="24"/>
        </w:rPr>
        <w:t xml:space="preserve">, </w:t>
      </w:r>
      <w:r w:rsidR="00F35722">
        <w:rPr>
          <w:rFonts w:ascii="Arial" w:hAnsi="Arial" w:cs="Arial"/>
          <w:sz w:val="24"/>
          <w:szCs w:val="24"/>
        </w:rPr>
        <w:t>2</w:t>
      </w:r>
      <w:r>
        <w:rPr>
          <w:rFonts w:ascii="Arial" w:hAnsi="Arial" w:cs="Arial"/>
          <w:sz w:val="24"/>
          <w:szCs w:val="24"/>
        </w:rPr>
        <w:t>6</w:t>
      </w:r>
      <w:r>
        <w:rPr>
          <w:rFonts w:ascii="Arial" w:hAnsi="Arial" w:cs="Arial"/>
          <w:sz w:val="24"/>
          <w:szCs w:val="24"/>
          <w:vertAlign w:val="superscript"/>
        </w:rPr>
        <w:t>th</w:t>
      </w:r>
      <w:r w:rsidR="00F35722">
        <w:rPr>
          <w:rFonts w:ascii="Arial" w:hAnsi="Arial" w:cs="Arial"/>
          <w:sz w:val="24"/>
          <w:szCs w:val="24"/>
          <w:vertAlign w:val="superscript"/>
        </w:rPr>
        <w:t xml:space="preserve"> </w:t>
      </w:r>
      <w:r>
        <w:rPr>
          <w:rFonts w:ascii="Arial" w:hAnsi="Arial" w:cs="Arial"/>
          <w:sz w:val="24"/>
          <w:szCs w:val="24"/>
        </w:rPr>
        <w:t>February – 2</w:t>
      </w:r>
      <w:r>
        <w:rPr>
          <w:rFonts w:ascii="Arial" w:hAnsi="Arial" w:cs="Arial"/>
          <w:sz w:val="24"/>
          <w:szCs w:val="24"/>
          <w:vertAlign w:val="superscript"/>
        </w:rPr>
        <w:t>nd</w:t>
      </w:r>
      <w:r w:rsidR="009A0B47">
        <w:rPr>
          <w:rFonts w:ascii="Arial" w:hAnsi="Arial" w:cs="Arial"/>
          <w:sz w:val="24"/>
          <w:szCs w:val="24"/>
        </w:rPr>
        <w:t xml:space="preserve"> </w:t>
      </w:r>
      <w:r>
        <w:rPr>
          <w:rFonts w:ascii="Arial" w:hAnsi="Arial" w:cs="Arial"/>
          <w:sz w:val="24"/>
          <w:szCs w:val="24"/>
        </w:rPr>
        <w:t>March</w:t>
      </w:r>
      <w:r w:rsidR="005E3026">
        <w:rPr>
          <w:rFonts w:ascii="Arial" w:hAnsi="Arial" w:cs="Arial"/>
          <w:sz w:val="24"/>
          <w:szCs w:val="24"/>
        </w:rPr>
        <w:t xml:space="preserve"> 2018</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2E404FD8"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C5135">
        <w:rPr>
          <w:rFonts w:ascii="Arial" w:hAnsi="Arial"/>
          <w:sz w:val="24"/>
          <w:lang w:val="en-US"/>
        </w:rPr>
        <w:t>1.</w:t>
      </w:r>
      <w:r>
        <w:rPr>
          <w:rFonts w:ascii="Arial" w:hAnsi="Arial"/>
          <w:sz w:val="24"/>
          <w:lang w:val="en-US"/>
        </w:rPr>
        <w:t>6.1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20000BFC" w:rsidR="009A0B47" w:rsidRPr="00F35722" w:rsidRDefault="009A0B47" w:rsidP="00D5747C">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FA5BF4">
        <w:rPr>
          <w:rFonts w:ascii="Arial" w:hAnsi="Arial"/>
          <w:sz w:val="24"/>
        </w:rPr>
        <w:t>O</w:t>
      </w:r>
      <w:r w:rsidR="005E3026" w:rsidRPr="005E3026">
        <w:rPr>
          <w:rFonts w:ascii="Arial" w:hAnsi="Arial"/>
          <w:sz w:val="24"/>
        </w:rPr>
        <w:t>n non-CA NR UL power control</w:t>
      </w:r>
      <w:r>
        <w:rPr>
          <w:rFonts w:ascii="Arial" w:hAnsi="Arial"/>
          <w:sz w:val="24"/>
        </w:rPr>
        <w:t xml:space="preserve"> </w:t>
      </w:r>
    </w:p>
    <w:p w14:paraId="262AEC5E" w14:textId="77777777"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decision  </w:t>
      </w:r>
    </w:p>
    <w:p w14:paraId="57BA9835" w14:textId="77777777" w:rsidR="009A0B47" w:rsidRDefault="009A0B47" w:rsidP="009A0B47">
      <w:pPr>
        <w:pStyle w:val="Heading1"/>
        <w:ind w:left="0" w:firstLine="0"/>
      </w:pPr>
      <w:r>
        <w:t>Introduction</w:t>
      </w:r>
    </w:p>
    <w:p w14:paraId="2C6DFCBA" w14:textId="728F49EE" w:rsidR="009A0B47" w:rsidRPr="00B347CC" w:rsidRDefault="00361500" w:rsidP="003E4385">
      <w:pPr>
        <w:spacing w:after="120"/>
        <w:jc w:val="both"/>
        <w:rPr>
          <w:rFonts w:eastAsia="MS Mincho"/>
          <w:lang w:val="en-US" w:eastAsia="ja-JP"/>
        </w:rPr>
      </w:pPr>
      <w:r>
        <w:rPr>
          <w:rFonts w:eastAsia="MS Mincho"/>
          <w:lang w:val="en-US" w:eastAsia="ja-JP"/>
        </w:rPr>
        <w:t>Uplink p</w:t>
      </w:r>
      <w:r w:rsidR="009A0B47" w:rsidRPr="00B347CC">
        <w:rPr>
          <w:rFonts w:eastAsia="MS Mincho"/>
          <w:lang w:val="en-US" w:eastAsia="ja-JP"/>
        </w:rPr>
        <w:t xml:space="preserve">ower control (PC) framework for NR, particularly beam-specific PC, </w:t>
      </w:r>
      <w:r w:rsidR="001746E0">
        <w:rPr>
          <w:rFonts w:eastAsia="MS Mincho"/>
          <w:lang w:val="en-US" w:eastAsia="ja-JP"/>
        </w:rPr>
        <w:t xml:space="preserve">is a critical </w:t>
      </w:r>
      <w:r w:rsidR="00921859">
        <w:rPr>
          <w:rFonts w:eastAsia="MS Mincho"/>
          <w:lang w:val="en-US" w:eastAsia="ja-JP"/>
        </w:rPr>
        <w:t>component</w:t>
      </w:r>
      <w:r w:rsidR="001746E0">
        <w:rPr>
          <w:rFonts w:eastAsia="MS Mincho"/>
          <w:lang w:val="en-US" w:eastAsia="ja-JP"/>
        </w:rPr>
        <w:t xml:space="preserve"> of the NR specification TS 38.213</w:t>
      </w:r>
      <w:r w:rsidR="003E4385">
        <w:rPr>
          <w:rFonts w:eastAsia="MS Mincho"/>
          <w:lang w:val="en-US" w:eastAsia="ja-JP"/>
        </w:rPr>
        <w:t xml:space="preserve"> [2]</w:t>
      </w:r>
      <w:r w:rsidR="009A0B47" w:rsidRPr="00B347CC">
        <w:rPr>
          <w:rFonts w:eastAsia="MS Mincho"/>
          <w:lang w:val="en-US" w:eastAsia="ja-JP"/>
        </w:rPr>
        <w:t xml:space="preserve">, </w:t>
      </w:r>
      <w:r w:rsidR="001746E0">
        <w:rPr>
          <w:rFonts w:eastAsia="MS Mincho"/>
          <w:lang w:val="en-US" w:eastAsia="ja-JP"/>
        </w:rPr>
        <w:t>based on</w:t>
      </w:r>
      <w:r w:rsidR="001746E0" w:rsidRPr="00B347CC">
        <w:rPr>
          <w:rFonts w:eastAsia="MS Mincho"/>
          <w:lang w:val="en-US" w:eastAsia="ja-JP"/>
        </w:rPr>
        <w:t xml:space="preserve"> </w:t>
      </w:r>
      <w:r w:rsidR="009A0B47" w:rsidRPr="00B347CC">
        <w:rPr>
          <w:rFonts w:eastAsia="MS Mincho"/>
          <w:lang w:val="en-US" w:eastAsia="ja-JP"/>
        </w:rPr>
        <w:t>several agreements reached</w:t>
      </w:r>
      <w:r w:rsidR="00E9127C">
        <w:rPr>
          <w:rFonts w:eastAsia="MS Mincho"/>
          <w:lang w:val="en-US" w:eastAsia="ja-JP"/>
        </w:rPr>
        <w:t xml:space="preserve"> in </w:t>
      </w:r>
      <w:r w:rsidR="00E9127C" w:rsidRPr="00B347CC">
        <w:rPr>
          <w:rFonts w:eastAsia="MS Mincho"/>
          <w:lang w:val="en-US" w:eastAsia="ja-JP"/>
        </w:rPr>
        <w:t>the past few RAN1 meetings</w:t>
      </w:r>
      <w:r w:rsidR="009A0B47" w:rsidRPr="00B347CC">
        <w:rPr>
          <w:rFonts w:eastAsia="MS Mincho"/>
          <w:lang w:val="en-US" w:eastAsia="ja-JP"/>
        </w:rPr>
        <w:t>.</w:t>
      </w:r>
    </w:p>
    <w:p w14:paraId="11292304" w14:textId="63ADFA0D" w:rsidR="004A372D" w:rsidRDefault="009A0B47" w:rsidP="008A5298">
      <w:pPr>
        <w:tabs>
          <w:tab w:val="left" w:pos="1440"/>
        </w:tabs>
        <w:jc w:val="both"/>
        <w:rPr>
          <w:i/>
        </w:rPr>
      </w:pPr>
      <w:r>
        <w:rPr>
          <w:rFonts w:eastAsia="MS Mincho"/>
          <w:lang w:val="en-US" w:eastAsia="ja-JP"/>
        </w:rPr>
        <w:t xml:space="preserve">In this contribution, we provide our views on </w:t>
      </w:r>
      <w:r w:rsidR="00361500">
        <w:rPr>
          <w:rFonts w:eastAsia="MS Mincho"/>
          <w:lang w:val="en-US" w:eastAsia="ja-JP"/>
        </w:rPr>
        <w:t xml:space="preserve">some necessary clarifications and essential refinements for NR UL </w:t>
      </w:r>
      <w:r>
        <w:rPr>
          <w:rFonts w:eastAsia="MS Mincho"/>
          <w:lang w:val="en-US" w:eastAsia="ja-JP"/>
        </w:rPr>
        <w:t>power control, in particular</w:t>
      </w:r>
      <w:r w:rsidR="00361500">
        <w:rPr>
          <w:rFonts w:eastAsia="MS Mincho"/>
          <w:lang w:val="en-US" w:eastAsia="ja-JP"/>
        </w:rPr>
        <w:t>:</w:t>
      </w:r>
      <w:r>
        <w:rPr>
          <w:rFonts w:eastAsia="MS Mincho"/>
          <w:lang w:val="en-US" w:eastAsia="ja-JP"/>
        </w:rPr>
        <w:t xml:space="preserve"> </w:t>
      </w:r>
      <w:r w:rsidR="007C4024" w:rsidRPr="007F636B">
        <w:t xml:space="preserve">configuration </w:t>
      </w:r>
      <w:r w:rsidR="00361500">
        <w:t xml:space="preserve">and indication of PC parameters for PUSCH (Msg3, grant-free, and grant-based) and PUCCH; reset procedures for </w:t>
      </w:r>
      <w:r w:rsidR="007C4024">
        <w:rPr>
          <w:rFonts w:eastAsia="MS Mincho"/>
          <w:lang w:val="en-US" w:eastAsia="ja-JP"/>
        </w:rPr>
        <w:t xml:space="preserve">closed-loop PC </w:t>
      </w:r>
      <w:r w:rsidR="00762170">
        <w:rPr>
          <w:rFonts w:eastAsia="MS Mincho"/>
          <w:lang w:val="en-US" w:eastAsia="ja-JP"/>
        </w:rPr>
        <w:t>for PUSCH</w:t>
      </w:r>
      <w:r w:rsidR="00361500">
        <w:rPr>
          <w:rFonts w:eastAsia="MS Mincho"/>
          <w:lang w:val="en-US" w:eastAsia="ja-JP"/>
        </w:rPr>
        <w:t>/PUCCH/SRS; as well as several details concerning power headroom report (PHR)</w:t>
      </w:r>
      <w:r w:rsidR="00CB5F9C">
        <w:rPr>
          <w:rFonts w:eastAsia="MS Mincho"/>
          <w:lang w:val="en-US" w:eastAsia="ja-JP"/>
        </w:rPr>
        <w:t xml:space="preserve"> for </w:t>
      </w:r>
      <w:r w:rsidR="00361500">
        <w:rPr>
          <w:rFonts w:eastAsia="MS Mincho"/>
          <w:lang w:val="en-US" w:eastAsia="ja-JP"/>
        </w:rPr>
        <w:t>PUSCH and PUCCH</w:t>
      </w:r>
      <w:r w:rsidR="0073101D">
        <w:t>.</w:t>
      </w:r>
      <w:r w:rsidR="00762170">
        <w:t xml:space="preserve"> </w:t>
      </w:r>
    </w:p>
    <w:p w14:paraId="444D1DDC" w14:textId="77B116BD" w:rsidR="006C5135" w:rsidRDefault="00AF0077" w:rsidP="0074420C">
      <w:pPr>
        <w:pStyle w:val="Heading1"/>
        <w:ind w:left="0" w:firstLine="0"/>
        <w:rPr>
          <w:bCs/>
        </w:rPr>
      </w:pPr>
      <w:r>
        <w:rPr>
          <w:bCs/>
        </w:rPr>
        <w:t xml:space="preserve">PC Parameter Configuration/Indication for </w:t>
      </w:r>
      <w:r w:rsidR="0074420C">
        <w:rPr>
          <w:bCs/>
        </w:rPr>
        <w:t>PUSCH</w:t>
      </w:r>
    </w:p>
    <w:p w14:paraId="2423738C" w14:textId="44E9D460" w:rsidR="0074420C" w:rsidRDefault="00844AC2" w:rsidP="0051311A">
      <w:pPr>
        <w:jc w:val="both"/>
      </w:pPr>
      <w:r>
        <w:t>In the previous meeting RAN1 AH-1801</w:t>
      </w:r>
      <w:r w:rsidR="003E4385">
        <w:t xml:space="preserve"> [1]</w:t>
      </w:r>
      <w:r>
        <w:t xml:space="preserve">, configuration and indication of PC parameters for the PUSCH was agreed in the case that </w:t>
      </w:r>
      <w:r w:rsidR="00AC2E8F">
        <w:t>SRI is present in the UL grant</w:t>
      </w:r>
      <w:r>
        <w:t>. However, several cases were left open for further study as follows, which we discuss in the section.</w:t>
      </w:r>
    </w:p>
    <w:p w14:paraId="62D8319B" w14:textId="4C320D70" w:rsidR="00844AC2" w:rsidRDefault="00197432" w:rsidP="00844AC2">
      <w:pPr>
        <w:jc w:val="both"/>
      </w:pPr>
      <w:r>
        <w:rPr>
          <w:noProof/>
          <w:lang w:val="en-US"/>
        </w:rPr>
        <mc:AlternateContent>
          <mc:Choice Requires="wps">
            <w:drawing>
              <wp:inline distT="0" distB="0" distL="0" distR="0" wp14:anchorId="2063B4F1" wp14:editId="04B903E8">
                <wp:extent cx="5559425" cy="876300"/>
                <wp:effectExtent l="0" t="0" r="22225" b="19050"/>
                <wp:docPr id="14"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425" cy="876300"/>
                        </a:xfrm>
                        <a:prstGeom prst="rect">
                          <a:avLst/>
                        </a:prstGeom>
                        <a:solidFill>
                          <a:srgbClr val="FFFFFF"/>
                        </a:solidFill>
                        <a:ln w="9525">
                          <a:solidFill>
                            <a:srgbClr val="000000"/>
                          </a:solidFill>
                          <a:miter lim="800000"/>
                          <a:headEnd/>
                          <a:tailEnd/>
                        </a:ln>
                      </wps:spPr>
                      <wps:txbx>
                        <w:txbxContent>
                          <w:p w14:paraId="797E2F0F" w14:textId="29A89337" w:rsidR="00B6371A" w:rsidRPr="00844AC2" w:rsidRDefault="00B6371A" w:rsidP="007F73A3">
                            <w:pPr>
                              <w:spacing w:after="0"/>
                              <w:rPr>
                                <w:b/>
                                <w:bCs/>
                              </w:rPr>
                            </w:pPr>
                            <w:r w:rsidRPr="00844AC2">
                              <w:rPr>
                                <w:b/>
                                <w:bCs/>
                              </w:rPr>
                              <w:t>From RAN1-AH-1801 Chairman Notes</w:t>
                            </w:r>
                            <w:r>
                              <w:rPr>
                                <w:b/>
                                <w:bCs/>
                              </w:rPr>
                              <w:t xml:space="preserve"> [1]</w:t>
                            </w:r>
                            <w:r w:rsidRPr="00844AC2">
                              <w:rPr>
                                <w:b/>
                                <w:bCs/>
                              </w:rPr>
                              <w:t>:</w:t>
                            </w:r>
                          </w:p>
                          <w:p w14:paraId="5EC005F8" w14:textId="77777777" w:rsidR="00B6371A" w:rsidRPr="00094DB7" w:rsidRDefault="00B6371A" w:rsidP="007F73A3">
                            <w:pPr>
                              <w:spacing w:after="0"/>
                            </w:pPr>
                            <w:r w:rsidRPr="00094DB7">
                              <w:t>Further discuss offline, indication of PC parameters when SRI field is not present in the UL grant for grant-based PUSCH</w:t>
                            </w:r>
                          </w:p>
                          <w:p w14:paraId="07B1EE43" w14:textId="77777777" w:rsidR="00B6371A" w:rsidRPr="00094DB7" w:rsidRDefault="00B6371A" w:rsidP="007F73A3">
                            <w:pPr>
                              <w:spacing w:after="0"/>
                            </w:pPr>
                            <w:r w:rsidRPr="00094DB7">
                              <w:t>Cases to address include:</w:t>
                            </w:r>
                          </w:p>
                          <w:p w14:paraId="500E3AC9" w14:textId="77777777" w:rsidR="00B6371A" w:rsidRDefault="00B6371A" w:rsidP="007F73A3">
                            <w:pPr>
                              <w:spacing w:after="0"/>
                            </w:pPr>
                            <w:r w:rsidRPr="00094DB7">
                              <w:t>MSG3, grant based PUSCH without SRI, grant-free PUSCH</w:t>
                            </w:r>
                          </w:p>
                          <w:p w14:paraId="6D854D26" w14:textId="77777777" w:rsidR="00B6371A" w:rsidRDefault="00B6371A" w:rsidP="00844AC2"/>
                        </w:txbxContent>
                      </wps:txbx>
                      <wps:bodyPr rot="0" vert="horz" wrap="square" lIns="91440" tIns="45720" rIns="91440" bIns="45720" anchor="t" anchorCtr="0" upright="1">
                        <a:noAutofit/>
                      </wps:bodyPr>
                    </wps:wsp>
                  </a:graphicData>
                </a:graphic>
              </wp:inline>
            </w:drawing>
          </mc:Choice>
          <mc:Fallback>
            <w:pict>
              <v:shapetype w14:anchorId="2063B4F1" id="_x0000_t202" coordsize="21600,21600" o:spt="202" path="m,l,21600r21600,l21600,xe">
                <v:stroke joinstyle="miter"/>
                <v:path gradientshapeok="t" o:connecttype="rect"/>
              </v:shapetype>
              <v:shape id="Text Box 353" o:spid="_x0000_s1026" type="#_x0000_t202" style="width:437.7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">
                <v:textbox>
                  <w:txbxContent>
                    <w:p w14:paraId="797E2F0F" w14:textId="29A89337" w:rsidR="00B6371A" w:rsidRPr="00844AC2" w:rsidRDefault="00B6371A" w:rsidP="007F73A3">
                      <w:pPr>
                        <w:spacing w:after="0"/>
                        <w:rPr>
                          <w:b/>
                          <w:bCs/>
                        </w:rPr>
                      </w:pPr>
                      <w:r w:rsidRPr="00844AC2">
                        <w:rPr>
                          <w:b/>
                          <w:bCs/>
                        </w:rPr>
                        <w:t>From RAN1-AH-1801 Chairman Notes</w:t>
                      </w:r>
                      <w:r>
                        <w:rPr>
                          <w:b/>
                          <w:bCs/>
                        </w:rPr>
                        <w:t xml:space="preserve"> [1]</w:t>
                      </w:r>
                      <w:r w:rsidRPr="00844AC2">
                        <w:rPr>
                          <w:b/>
                          <w:bCs/>
                        </w:rPr>
                        <w:t>:</w:t>
                      </w:r>
                    </w:p>
                    <w:p w14:paraId="5EC005F8" w14:textId="77777777" w:rsidR="00B6371A" w:rsidRPr="00094DB7" w:rsidRDefault="00B6371A" w:rsidP="007F73A3">
                      <w:pPr>
                        <w:spacing w:after="0"/>
                      </w:pPr>
                      <w:r w:rsidRPr="00094DB7">
                        <w:t>Further discuss offline, indication of PC parameters when SRI field is not present in the UL grant for grant-based PUSCH</w:t>
                      </w:r>
                    </w:p>
                    <w:p w14:paraId="07B1EE43" w14:textId="77777777" w:rsidR="00B6371A" w:rsidRPr="00094DB7" w:rsidRDefault="00B6371A" w:rsidP="007F73A3">
                      <w:pPr>
                        <w:spacing w:after="0"/>
                      </w:pPr>
                      <w:r w:rsidRPr="00094DB7">
                        <w:t>Cases to address include:</w:t>
                      </w:r>
                    </w:p>
                    <w:p w14:paraId="500E3AC9" w14:textId="77777777" w:rsidR="00B6371A" w:rsidRDefault="00B6371A" w:rsidP="007F73A3">
                      <w:pPr>
                        <w:spacing w:after="0"/>
                      </w:pPr>
                      <w:r w:rsidRPr="00094DB7">
                        <w:t>MSG3, grant based PUSCH without SRI, grant-free PUSCH</w:t>
                      </w:r>
                    </w:p>
                    <w:p w14:paraId="6D854D26" w14:textId="77777777" w:rsidR="00B6371A" w:rsidRDefault="00B6371A" w:rsidP="00844AC2"/>
                  </w:txbxContent>
                </v:textbox>
                <w10:anchorlock/>
              </v:shape>
            </w:pict>
          </mc:Fallback>
        </mc:AlternateContent>
      </w:r>
    </w:p>
    <w:p w14:paraId="7F1496AD" w14:textId="5519060A" w:rsidR="0074420C" w:rsidRDefault="0074420C" w:rsidP="0074420C">
      <w:pPr>
        <w:pStyle w:val="Heading2"/>
      </w:pPr>
      <w:r>
        <w:t>PUSCH Msg3</w:t>
      </w:r>
    </w:p>
    <w:p w14:paraId="6D668A71" w14:textId="2365E027" w:rsidR="003265F9" w:rsidRPr="003265F9" w:rsidRDefault="00F14D45" w:rsidP="00AC2E8F">
      <w:pPr>
        <w:jc w:val="both"/>
      </w:pPr>
      <w:r>
        <w:t>For configuration and indication of PC parameters for PUSCH Msg3, the open-loop (OL) and</w:t>
      </w:r>
      <w:r w:rsidR="00FC3E2D">
        <w:t xml:space="preserve"> pathloss (</w:t>
      </w:r>
      <w:r>
        <w:t>PL</w:t>
      </w:r>
      <w:r w:rsidR="00FC3E2D">
        <w:t>)</w:t>
      </w:r>
      <w:r>
        <w:t xml:space="preserve"> estimation parameters are known to the UE, based on the SS/PBCH block identified by the UE </w:t>
      </w:r>
      <w:r w:rsidR="00A32EDC">
        <w:t>during</w:t>
      </w:r>
      <w:r>
        <w:t xml:space="preserve"> the random access procedure and the corresponding random access preamble. The only remaining item is specification of the closed-loop (CL) for Msg3</w:t>
      </w:r>
      <w:r w:rsidR="00AC2E8F">
        <w:t xml:space="preserve">, which </w:t>
      </w:r>
      <w:r w:rsidR="00102A09" w:rsidRPr="00F14D45">
        <w:t>has a</w:t>
      </w:r>
      <w:r w:rsidR="003F0C0F" w:rsidRPr="00F14D45">
        <w:t xml:space="preserve"> different situation before and after RRC connection setup.</w:t>
      </w:r>
      <w:r w:rsidR="003F0C0F" w:rsidRPr="003265F9">
        <w:t xml:space="preserve"> </w:t>
      </w:r>
    </w:p>
    <w:p w14:paraId="74EEC6B4" w14:textId="6C2CEB32" w:rsidR="003265F9" w:rsidRDefault="003F0C0F" w:rsidP="00AC2E8F">
      <w:pPr>
        <w:pStyle w:val="ListParagraph"/>
        <w:numPr>
          <w:ilvl w:val="0"/>
          <w:numId w:val="27"/>
        </w:numPr>
        <w:jc w:val="both"/>
        <w:rPr>
          <w:sz w:val="20"/>
          <w:szCs w:val="20"/>
        </w:rPr>
      </w:pPr>
      <w:r>
        <w:rPr>
          <w:sz w:val="20"/>
          <w:szCs w:val="20"/>
        </w:rPr>
        <w:t xml:space="preserve">If Msg3 is transmitted </w:t>
      </w:r>
      <w:r w:rsidR="00F36543">
        <w:rPr>
          <w:sz w:val="20"/>
          <w:szCs w:val="20"/>
        </w:rPr>
        <w:t>as part of the initial access procedure (prior to RRC_CONNECTED state)</w:t>
      </w:r>
      <w:r>
        <w:rPr>
          <w:sz w:val="20"/>
          <w:szCs w:val="20"/>
        </w:rPr>
        <w:t xml:space="preserve">, the UE </w:t>
      </w:r>
      <w:r w:rsidR="00566AFD">
        <w:rPr>
          <w:sz w:val="20"/>
          <w:szCs w:val="20"/>
        </w:rPr>
        <w:t xml:space="preserve">behaviour is already specified in TS 38.213, since </w:t>
      </w:r>
      <w:r w:rsidR="00F36543">
        <w:rPr>
          <w:sz w:val="20"/>
          <w:szCs w:val="20"/>
        </w:rPr>
        <w:t xml:space="preserve">two closed-loop processes are not configured </w:t>
      </w:r>
      <w:r w:rsidR="00566AFD">
        <w:rPr>
          <w:sz w:val="20"/>
          <w:szCs w:val="20"/>
        </w:rPr>
        <w:t xml:space="preserve">to the UE, </w:t>
      </w:r>
      <w:r w:rsidR="00F14D45">
        <w:rPr>
          <w:sz w:val="20"/>
          <w:szCs w:val="20"/>
        </w:rPr>
        <w:t xml:space="preserve">so </w:t>
      </w:r>
      <w:r w:rsidR="00566AFD">
        <w:rPr>
          <w:sz w:val="20"/>
          <w:szCs w:val="20"/>
        </w:rPr>
        <w:t xml:space="preserve">the </w:t>
      </w:r>
      <w:r w:rsidR="00F14D45">
        <w:rPr>
          <w:sz w:val="20"/>
          <w:szCs w:val="20"/>
        </w:rPr>
        <w:t xml:space="preserve">CL-PC </w:t>
      </w:r>
      <w:r>
        <w:rPr>
          <w:sz w:val="20"/>
          <w:szCs w:val="20"/>
        </w:rPr>
        <w:t xml:space="preserve">index is fixed to </w:t>
      </w:r>
      <m:oMath>
        <m:r>
          <w:rPr>
            <w:rFonts w:ascii="Cambria Math" w:hAnsi="Cambria Math"/>
            <w:sz w:val="20"/>
            <w:szCs w:val="20"/>
          </w:rPr>
          <m:t>l=0</m:t>
        </m:r>
      </m:oMath>
      <w:r>
        <w:rPr>
          <w:sz w:val="20"/>
          <w:szCs w:val="20"/>
        </w:rPr>
        <w:t xml:space="preserve">. </w:t>
      </w:r>
    </w:p>
    <w:p w14:paraId="37EAB3B1" w14:textId="64C1FF4C" w:rsidR="003265F9" w:rsidRDefault="003F0C0F" w:rsidP="00AC2E8F">
      <w:pPr>
        <w:pStyle w:val="ListParagraph"/>
        <w:numPr>
          <w:ilvl w:val="0"/>
          <w:numId w:val="27"/>
        </w:numPr>
        <w:jc w:val="both"/>
        <w:rPr>
          <w:sz w:val="20"/>
          <w:szCs w:val="20"/>
        </w:rPr>
      </w:pPr>
      <w:r>
        <w:rPr>
          <w:sz w:val="20"/>
          <w:szCs w:val="20"/>
        </w:rPr>
        <w:t xml:space="preserve">However, when PUSCH Msg3 is </w:t>
      </w:r>
      <w:r w:rsidR="00566AFD">
        <w:rPr>
          <w:sz w:val="20"/>
          <w:szCs w:val="20"/>
        </w:rPr>
        <w:t xml:space="preserve">transmitted </w:t>
      </w:r>
      <w:r w:rsidR="00B6371A">
        <w:rPr>
          <w:sz w:val="20"/>
          <w:szCs w:val="20"/>
        </w:rPr>
        <w:t>and the UE is in RRC_CONNECTED state</w:t>
      </w:r>
      <w:r w:rsidR="007B7CB3">
        <w:rPr>
          <w:sz w:val="20"/>
          <w:szCs w:val="20"/>
        </w:rPr>
        <w:t xml:space="preserve">, the UE might be already configured with 2 closed-loop processes for PUSCH. In this case, the </w:t>
      </w:r>
      <w:r w:rsidR="00B6371A">
        <w:rPr>
          <w:sz w:val="20"/>
          <w:szCs w:val="20"/>
        </w:rPr>
        <w:t xml:space="preserve">following options can be considered for </w:t>
      </w:r>
      <w:r w:rsidR="007B7CB3">
        <w:rPr>
          <w:sz w:val="20"/>
          <w:szCs w:val="20"/>
        </w:rPr>
        <w:t>closed-loop for PUSCH Msg3</w:t>
      </w:r>
      <w:r w:rsidR="00B6371A">
        <w:rPr>
          <w:sz w:val="20"/>
          <w:szCs w:val="20"/>
        </w:rPr>
        <w:t>:</w:t>
      </w:r>
    </w:p>
    <w:p w14:paraId="07506CD2" w14:textId="016BE1A7" w:rsidR="003265F9" w:rsidRDefault="00B6371A" w:rsidP="009A307A">
      <w:pPr>
        <w:pStyle w:val="ListParagraph"/>
        <w:numPr>
          <w:ilvl w:val="1"/>
          <w:numId w:val="27"/>
        </w:numPr>
        <w:jc w:val="both"/>
        <w:rPr>
          <w:sz w:val="20"/>
          <w:szCs w:val="20"/>
        </w:rPr>
      </w:pPr>
      <w:r>
        <w:rPr>
          <w:sz w:val="20"/>
          <w:szCs w:val="20"/>
        </w:rPr>
        <w:t xml:space="preserve">Fixed </w:t>
      </w:r>
      <w:r w:rsidR="007B7CB3">
        <w:rPr>
          <w:sz w:val="20"/>
          <w:szCs w:val="20"/>
        </w:rPr>
        <w:t xml:space="preserve">in the specification, e.g., to </w:t>
      </w:r>
      <m:oMath>
        <m:r>
          <w:rPr>
            <w:rFonts w:ascii="Cambria Math" w:hAnsi="Cambria Math"/>
            <w:sz w:val="20"/>
            <w:szCs w:val="20"/>
          </w:rPr>
          <m:t>l=0</m:t>
        </m:r>
      </m:oMath>
      <w:r w:rsidR="007B7CB3">
        <w:rPr>
          <w:sz w:val="20"/>
          <w:szCs w:val="20"/>
        </w:rPr>
        <w:t xml:space="preserve">, </w:t>
      </w:r>
    </w:p>
    <w:p w14:paraId="39170BC8" w14:textId="22BC6B62" w:rsidR="003265F9" w:rsidRDefault="007B7CB3" w:rsidP="009A307A">
      <w:pPr>
        <w:pStyle w:val="ListParagraph"/>
        <w:numPr>
          <w:ilvl w:val="1"/>
          <w:numId w:val="27"/>
        </w:numPr>
        <w:jc w:val="both"/>
        <w:rPr>
          <w:sz w:val="20"/>
          <w:szCs w:val="20"/>
        </w:rPr>
      </w:pPr>
      <w:r>
        <w:rPr>
          <w:sz w:val="20"/>
          <w:szCs w:val="20"/>
        </w:rPr>
        <w:t xml:space="preserve">RRC configured with a separate RRC parameter (e.g., </w:t>
      </w:r>
      <w:r w:rsidRPr="007B7CB3">
        <w:rPr>
          <w:i/>
          <w:iCs/>
          <w:sz w:val="20"/>
          <w:szCs w:val="20"/>
        </w:rPr>
        <w:t>Msg3-closed-loop-index</w:t>
      </w:r>
      <w:r>
        <w:rPr>
          <w:sz w:val="20"/>
          <w:szCs w:val="20"/>
        </w:rPr>
        <w:t xml:space="preserve">) </w:t>
      </w:r>
    </w:p>
    <w:p w14:paraId="3F008FC7" w14:textId="16242B8C" w:rsidR="0074420C" w:rsidRPr="00884CEC" w:rsidRDefault="00B6371A" w:rsidP="009A307A">
      <w:pPr>
        <w:pStyle w:val="ListParagraph"/>
        <w:numPr>
          <w:ilvl w:val="1"/>
          <w:numId w:val="27"/>
        </w:numPr>
        <w:jc w:val="both"/>
      </w:pPr>
      <w:r>
        <w:rPr>
          <w:sz w:val="20"/>
          <w:szCs w:val="20"/>
        </w:rPr>
        <w:t>I</w:t>
      </w:r>
      <w:r w:rsidR="00CB52D3">
        <w:rPr>
          <w:sz w:val="20"/>
          <w:szCs w:val="20"/>
        </w:rPr>
        <w:t xml:space="preserve">mplicitly </w:t>
      </w:r>
      <w:r w:rsidR="007B7CB3">
        <w:rPr>
          <w:sz w:val="20"/>
          <w:szCs w:val="20"/>
        </w:rPr>
        <w:t xml:space="preserve">determined by the UE based on the already-available linkage between SRI and </w:t>
      </w:r>
      <m:oMath>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m:t>
        </m:r>
      </m:oMath>
      <w:r w:rsidR="007B7CB3">
        <w:rPr>
          <w:sz w:val="20"/>
          <w:szCs w:val="20"/>
        </w:rPr>
        <w:t xml:space="preserve">, </w:t>
      </w:r>
      <w:r w:rsidR="00C971FF">
        <w:rPr>
          <w:sz w:val="20"/>
          <w:szCs w:val="20"/>
        </w:rPr>
        <w:t xml:space="preserve">e.g., using the closed-loop index </w:t>
      </w:r>
      <m:oMath>
        <m:r>
          <w:rPr>
            <w:rFonts w:ascii="Cambria Math" w:hAnsi="Cambria Math"/>
            <w:sz w:val="20"/>
            <w:szCs w:val="20"/>
          </w:rPr>
          <m:t>l</m:t>
        </m:r>
      </m:oMath>
      <w:r w:rsidR="00C971FF">
        <w:rPr>
          <w:sz w:val="20"/>
          <w:szCs w:val="20"/>
        </w:rPr>
        <w:t xml:space="preserve"> corresponding to the smallest SRI for which the SS/PBCH block used in </w:t>
      </w:r>
      <w:r w:rsidR="00C971FF">
        <w:rPr>
          <w:sz w:val="20"/>
          <w:szCs w:val="20"/>
        </w:rPr>
        <w:lastRenderedPageBreak/>
        <w:t>the RACH procedure is a DL RS resource configured to the UE for PL estimation. In the absence of SRI, the UE uses</w:t>
      </w:r>
      <m:oMath>
        <m:r>
          <w:rPr>
            <w:rFonts w:ascii="Cambria Math" w:hAnsi="Cambria Math"/>
            <w:sz w:val="20"/>
            <w:szCs w:val="20"/>
          </w:rPr>
          <m:t xml:space="preserve"> l=0</m:t>
        </m:r>
      </m:oMath>
      <w:r w:rsidR="00C971FF">
        <w:rPr>
          <w:sz w:val="20"/>
          <w:szCs w:val="20"/>
        </w:rPr>
        <w:t xml:space="preserve">. </w:t>
      </w:r>
    </w:p>
    <w:p w14:paraId="230105B5" w14:textId="77777777" w:rsidR="00C971FF" w:rsidRDefault="00FC0802" w:rsidP="00C20CC5">
      <w:pPr>
        <w:spacing w:after="0"/>
        <w:jc w:val="both"/>
        <w:rPr>
          <w:i/>
        </w:rPr>
      </w:pPr>
      <w:r w:rsidRPr="00E1774C">
        <w:rPr>
          <w:b/>
          <w:i/>
          <w:u w:val="single"/>
        </w:rPr>
        <w:t xml:space="preserve">Proposal </w:t>
      </w:r>
      <w:r w:rsidR="00A32EDC">
        <w:rPr>
          <w:b/>
          <w:i/>
          <w:u w:val="single"/>
        </w:rPr>
        <w:t>1</w:t>
      </w:r>
      <w:r w:rsidRPr="00E1774C">
        <w:rPr>
          <w:i/>
          <w:u w:val="single"/>
        </w:rPr>
        <w:t>:</w:t>
      </w:r>
      <w:r>
        <w:rPr>
          <w:i/>
        </w:rPr>
        <w:t xml:space="preserve"> </w:t>
      </w:r>
    </w:p>
    <w:p w14:paraId="76B726FD" w14:textId="2137AEF3" w:rsidR="00C971FF" w:rsidRPr="00C172EF" w:rsidRDefault="004A33BD" w:rsidP="00C172EF">
      <w:pPr>
        <w:pStyle w:val="ListParagraph"/>
        <w:numPr>
          <w:ilvl w:val="0"/>
          <w:numId w:val="52"/>
        </w:numPr>
        <w:jc w:val="both"/>
        <w:rPr>
          <w:i/>
          <w:sz w:val="20"/>
          <w:szCs w:val="20"/>
        </w:rPr>
      </w:pPr>
      <w:r w:rsidRPr="00C172EF">
        <w:rPr>
          <w:i/>
          <w:sz w:val="20"/>
          <w:szCs w:val="20"/>
        </w:rPr>
        <w:t xml:space="preserve">For PUSCH Msg3, </w:t>
      </w:r>
      <w:r w:rsidR="00C971FF" w:rsidRPr="00C172EF">
        <w:rPr>
          <w:i/>
          <w:sz w:val="20"/>
          <w:szCs w:val="20"/>
        </w:rPr>
        <w:t>prior to RRC_CONNECTED state</w:t>
      </w:r>
      <w:r w:rsidR="00560467" w:rsidRPr="00C172EF">
        <w:rPr>
          <w:i/>
          <w:sz w:val="20"/>
          <w:szCs w:val="20"/>
        </w:rPr>
        <w:t xml:space="preserve">, the CL-PC index </w:t>
      </w:r>
      <w:r w:rsidR="00CB52D3" w:rsidRPr="00C172EF">
        <w:rPr>
          <w:i/>
          <w:sz w:val="20"/>
          <w:szCs w:val="20"/>
        </w:rPr>
        <w:t xml:space="preserve">is </w:t>
      </w:r>
      <m:oMath>
        <m:r>
          <w:rPr>
            <w:rFonts w:ascii="Cambria Math" w:hAnsi="Cambria Math"/>
            <w:sz w:val="20"/>
            <w:szCs w:val="20"/>
          </w:rPr>
          <m:t>l=0</m:t>
        </m:r>
      </m:oMath>
      <w:r w:rsidR="00CB52D3" w:rsidRPr="00C172EF">
        <w:rPr>
          <w:i/>
          <w:sz w:val="20"/>
          <w:szCs w:val="20"/>
        </w:rPr>
        <w:t xml:space="preserve"> as already specified in TS 38.213</w:t>
      </w:r>
      <w:r w:rsidR="00884CEC" w:rsidRPr="00C172EF">
        <w:rPr>
          <w:i/>
          <w:sz w:val="20"/>
          <w:szCs w:val="20"/>
        </w:rPr>
        <w:t xml:space="preserve">. </w:t>
      </w:r>
    </w:p>
    <w:p w14:paraId="21D7D8CF" w14:textId="4345575F" w:rsidR="00FC0802" w:rsidRPr="00C172EF" w:rsidRDefault="00C971FF" w:rsidP="00C172EF">
      <w:pPr>
        <w:pStyle w:val="ListParagraph"/>
        <w:numPr>
          <w:ilvl w:val="0"/>
          <w:numId w:val="52"/>
        </w:numPr>
        <w:jc w:val="both"/>
        <w:rPr>
          <w:i/>
          <w:sz w:val="20"/>
          <w:szCs w:val="20"/>
        </w:rPr>
      </w:pPr>
      <w:r w:rsidRPr="009506E2">
        <w:rPr>
          <w:i/>
          <w:sz w:val="20"/>
          <w:szCs w:val="20"/>
        </w:rPr>
        <w:t>For  UE in RRC_CONNECTED state,</w:t>
      </w:r>
      <w:r>
        <w:rPr>
          <w:i/>
          <w:sz w:val="20"/>
          <w:szCs w:val="20"/>
        </w:rPr>
        <w:t xml:space="preserve"> </w:t>
      </w:r>
      <w:r w:rsidRPr="00C172EF">
        <w:rPr>
          <w:i/>
          <w:sz w:val="20"/>
          <w:szCs w:val="20"/>
        </w:rPr>
        <w:t>following options can be considered</w:t>
      </w:r>
      <w:r w:rsidR="00884CEC" w:rsidRPr="00C172EF">
        <w:rPr>
          <w:i/>
          <w:sz w:val="20"/>
          <w:szCs w:val="20"/>
        </w:rPr>
        <w:t xml:space="preserve"> </w:t>
      </w:r>
      <w:r>
        <w:rPr>
          <w:i/>
          <w:sz w:val="20"/>
          <w:szCs w:val="20"/>
        </w:rPr>
        <w:t xml:space="preserve">for </w:t>
      </w:r>
      <w:r w:rsidR="004A33BD" w:rsidRPr="00C172EF">
        <w:rPr>
          <w:i/>
          <w:sz w:val="20"/>
          <w:szCs w:val="20"/>
        </w:rPr>
        <w:t>the CL-PC for Msg3:</w:t>
      </w:r>
      <w:r w:rsidR="00714EC7" w:rsidRPr="00C172EF">
        <w:rPr>
          <w:i/>
          <w:sz w:val="20"/>
          <w:szCs w:val="20"/>
        </w:rPr>
        <w:t xml:space="preserve"> (i) fixed to </w:t>
      </w:r>
      <m:oMath>
        <m:r>
          <w:rPr>
            <w:rFonts w:ascii="Cambria Math" w:hAnsi="Cambria Math"/>
            <w:sz w:val="20"/>
            <w:szCs w:val="20"/>
          </w:rPr>
          <m:t>l=0</m:t>
        </m:r>
      </m:oMath>
      <w:r w:rsidR="00AC5EF7" w:rsidRPr="00C172EF">
        <w:rPr>
          <w:i/>
          <w:sz w:val="20"/>
          <w:szCs w:val="20"/>
        </w:rPr>
        <w:t>;</w:t>
      </w:r>
      <w:r w:rsidR="00714EC7" w:rsidRPr="00C172EF">
        <w:rPr>
          <w:i/>
          <w:sz w:val="20"/>
          <w:szCs w:val="20"/>
        </w:rPr>
        <w:t xml:space="preserve"> (i</w:t>
      </w:r>
      <w:r w:rsidR="00AC5EF7" w:rsidRPr="00C172EF">
        <w:rPr>
          <w:i/>
          <w:sz w:val="20"/>
          <w:szCs w:val="20"/>
        </w:rPr>
        <w:t>i) separately RRC configured;</w:t>
      </w:r>
      <w:r w:rsidR="00714EC7" w:rsidRPr="00C172EF">
        <w:rPr>
          <w:i/>
          <w:sz w:val="20"/>
          <w:szCs w:val="20"/>
        </w:rPr>
        <w:t xml:space="preserve"> (iii) implicitly determined based on the linkage between SRI and </w:t>
      </w:r>
      <m:oMath>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00714EC7" w:rsidRPr="00C172EF">
        <w:rPr>
          <w:i/>
          <w:sz w:val="20"/>
          <w:szCs w:val="20"/>
        </w:rPr>
        <w:t xml:space="preserve"> </w:t>
      </w:r>
      <w:r w:rsidR="00CB52D3" w:rsidRPr="00C172EF">
        <w:rPr>
          <w:i/>
          <w:sz w:val="20"/>
          <w:szCs w:val="20"/>
        </w:rPr>
        <w:t xml:space="preserve">via </w:t>
      </w:r>
      <w:r w:rsidR="00714EC7" w:rsidRPr="00C172EF">
        <w:rPr>
          <w:i/>
          <w:sz w:val="20"/>
          <w:szCs w:val="20"/>
        </w:rPr>
        <w:t>the SS/PBCH block used in the RACH procedure</w:t>
      </w:r>
      <w:r w:rsidR="00AC5EF7" w:rsidRPr="00C172EF">
        <w:rPr>
          <w:i/>
          <w:sz w:val="20"/>
          <w:szCs w:val="20"/>
        </w:rPr>
        <w:t>,</w:t>
      </w:r>
      <w:r w:rsidR="00566AFD" w:rsidRPr="00C172EF">
        <w:rPr>
          <w:i/>
          <w:sz w:val="20"/>
          <w:szCs w:val="20"/>
        </w:rPr>
        <w:t xml:space="preserve"> with fallback to </w:t>
      </w:r>
      <m:oMath>
        <m:r>
          <w:rPr>
            <w:rFonts w:ascii="Cambria Math" w:hAnsi="Cambria Math"/>
            <w:sz w:val="20"/>
            <w:szCs w:val="20"/>
          </w:rPr>
          <m:t>l=0</m:t>
        </m:r>
      </m:oMath>
      <w:r w:rsidR="00566AFD" w:rsidRPr="00C172EF">
        <w:rPr>
          <w:i/>
          <w:sz w:val="20"/>
          <w:szCs w:val="20"/>
        </w:rPr>
        <w:t xml:space="preserve"> in case of no SRI.  </w:t>
      </w:r>
      <w:r w:rsidR="00714EC7" w:rsidRPr="00C172EF">
        <w:rPr>
          <w:i/>
          <w:sz w:val="20"/>
          <w:szCs w:val="20"/>
        </w:rPr>
        <w:t xml:space="preserve"> </w:t>
      </w:r>
    </w:p>
    <w:p w14:paraId="1706F01A" w14:textId="77777777" w:rsidR="00AC5EF7" w:rsidRPr="0074420C" w:rsidRDefault="00AC5EF7" w:rsidP="00AC5EF7">
      <w:pPr>
        <w:pStyle w:val="Heading2"/>
      </w:pPr>
      <w:r w:rsidRPr="0074420C">
        <w:rPr>
          <w:bCs/>
        </w:rPr>
        <w:t>Grant-Based PUSCH without SRI</w:t>
      </w:r>
    </w:p>
    <w:p w14:paraId="3BCC172C" w14:textId="42C5AF31" w:rsidR="005666EE" w:rsidRDefault="00AC5EF7" w:rsidP="00D6271A">
      <w:pPr>
        <w:spacing w:after="0"/>
        <w:jc w:val="both"/>
      </w:pPr>
      <w:r w:rsidRPr="00CD216C">
        <w:rPr>
          <w:lang w:val="en-US" w:eastAsia="x-none"/>
        </w:rPr>
        <w:t xml:space="preserve">For grant-based PUSCH, </w:t>
      </w:r>
      <w:r w:rsidR="005666EE">
        <w:rPr>
          <w:lang w:val="en-US" w:eastAsia="x-none"/>
        </w:rPr>
        <w:t xml:space="preserve">PC parameter configuration and indication has been extensively discussed and clearly specified in the past few RAN1 meetings. In particular, it was agreed in RAN1 AH-1801 to RRC configure explicit </w:t>
      </w:r>
      <w:r w:rsidR="00D6271A">
        <w:rPr>
          <w:lang w:val="en-US" w:eastAsia="x-none"/>
        </w:rPr>
        <w:t xml:space="preserve">direct </w:t>
      </w:r>
      <w:r w:rsidR="005666EE">
        <w:rPr>
          <w:lang w:val="en-US" w:eastAsia="x-none"/>
        </w:rPr>
        <w:t xml:space="preserve">linkages between </w:t>
      </w:r>
      <w:r w:rsidR="00D6271A">
        <w:rPr>
          <w:lang w:val="en-US" w:eastAsia="x-none"/>
        </w:rPr>
        <w:t xml:space="preserve">the set of SRI values and the PUSCH PC parameter indices </w:t>
      </w:r>
      <m:oMath>
        <m:r>
          <w:rPr>
            <w:rFonts w:ascii="Cambria Math" w:hAnsi="Cambria Math"/>
          </w:rPr>
          <m:t>{j,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oMath>
      <w:r w:rsidR="00D6271A">
        <w:t xml:space="preserve">. Then, once the value of the SRI field in the UL grant is determined, the UE would identify the OL, PL, and CL indices for power control. </w:t>
      </w:r>
    </w:p>
    <w:p w14:paraId="34DECF95" w14:textId="62CE465E" w:rsidR="00D6271A" w:rsidRDefault="00D6271A" w:rsidP="00D6271A">
      <w:pPr>
        <w:spacing w:after="0"/>
        <w:jc w:val="both"/>
      </w:pPr>
    </w:p>
    <w:p w14:paraId="0D46ED27" w14:textId="77777777" w:rsidR="00C9012D" w:rsidRDefault="00D6271A" w:rsidP="00C9012D">
      <w:pPr>
        <w:spacing w:after="0"/>
        <w:jc w:val="both"/>
      </w:pPr>
      <w:r>
        <w:t>The case of grant-based PUSCH without SRI field in the UL grant, however, is still open. We believe this can happen at least in two cases:</w:t>
      </w:r>
    </w:p>
    <w:p w14:paraId="4E8BB3C2" w14:textId="522D3C23" w:rsidR="00D6271A" w:rsidRPr="00C9012D" w:rsidRDefault="00D6271A" w:rsidP="009A307A">
      <w:pPr>
        <w:pStyle w:val="ListParagraph"/>
        <w:numPr>
          <w:ilvl w:val="0"/>
          <w:numId w:val="6"/>
        </w:numPr>
        <w:spacing w:after="0"/>
        <w:jc w:val="both"/>
        <w:rPr>
          <w:sz w:val="20"/>
          <w:szCs w:val="20"/>
        </w:rPr>
      </w:pPr>
      <w:r w:rsidRPr="00C9012D">
        <w:rPr>
          <w:sz w:val="20"/>
          <w:szCs w:val="20"/>
        </w:rPr>
        <w:t xml:space="preserve">Only one SRS </w:t>
      </w:r>
      <w:r w:rsidR="00616650">
        <w:rPr>
          <w:sz w:val="20"/>
          <w:szCs w:val="20"/>
        </w:rPr>
        <w:t xml:space="preserve">resource </w:t>
      </w:r>
      <w:r w:rsidRPr="00C9012D">
        <w:rPr>
          <w:sz w:val="20"/>
          <w:szCs w:val="20"/>
        </w:rPr>
        <w:t xml:space="preserve">is configured, so SRI is not needed. </w:t>
      </w:r>
    </w:p>
    <w:p w14:paraId="3E508DD2" w14:textId="77777777" w:rsidR="00616650" w:rsidRDefault="00D6271A" w:rsidP="00616650">
      <w:pPr>
        <w:pStyle w:val="ListParagraph"/>
        <w:numPr>
          <w:ilvl w:val="0"/>
          <w:numId w:val="6"/>
        </w:numPr>
        <w:overflowPunct w:val="0"/>
        <w:autoSpaceDE w:val="0"/>
        <w:autoSpaceDN w:val="0"/>
        <w:jc w:val="both"/>
        <w:rPr>
          <w:sz w:val="20"/>
          <w:szCs w:val="20"/>
        </w:rPr>
      </w:pPr>
      <w:r w:rsidRPr="00CC116B">
        <w:rPr>
          <w:sz w:val="20"/>
          <w:szCs w:val="20"/>
        </w:rPr>
        <w:t xml:space="preserve">SRS is not configured at all. </w:t>
      </w:r>
    </w:p>
    <w:p w14:paraId="7A71CF2C" w14:textId="2C78028D" w:rsidR="00CC116B" w:rsidRPr="00616650" w:rsidRDefault="00D6271A" w:rsidP="00C172EF">
      <w:pPr>
        <w:overflowPunct w:val="0"/>
        <w:autoSpaceDE w:val="0"/>
        <w:autoSpaceDN w:val="0"/>
        <w:ind w:left="360"/>
        <w:jc w:val="both"/>
      </w:pPr>
      <w:r w:rsidRPr="00616650">
        <w:t xml:space="preserve">In </w:t>
      </w:r>
      <w:r w:rsidR="00616650" w:rsidRPr="00616650">
        <w:t>th</w:t>
      </w:r>
      <w:r w:rsidR="00616650">
        <w:t>ese</w:t>
      </w:r>
      <w:r w:rsidR="00616650" w:rsidRPr="00616650">
        <w:t xml:space="preserve"> </w:t>
      </w:r>
      <w:r w:rsidRPr="00616650">
        <w:t>case</w:t>
      </w:r>
      <w:r w:rsidR="00EC6DCD">
        <w:t>s</w:t>
      </w:r>
      <w:r w:rsidRPr="00616650">
        <w:t xml:space="preserve">, </w:t>
      </w:r>
      <w:r w:rsidR="00ED1342" w:rsidRPr="00616650">
        <w:t>the UE can still have multiple PUSCH beams, and PUSCH beam indication still makes sense, although it is not through SRS/SRI</w:t>
      </w:r>
      <w:r w:rsidR="00D55310" w:rsidRPr="00616650">
        <w:t>.</w:t>
      </w:r>
      <w:r w:rsidR="00616650">
        <w:t xml:space="preserve">  One possible solution is for the UE to assume a spatial relation between the PUSCH transmission and the CORESET </w:t>
      </w:r>
      <w:r w:rsidR="00616650" w:rsidRPr="006015D5">
        <w:t>DM-RS antenna port associated with PDCCH reception</w:t>
      </w:r>
      <w:r w:rsidR="00616650">
        <w:t xml:space="preserve"> of the UL grant for the PUSCH. The DM-RS antenna ports may be quasi-collocated to </w:t>
      </w:r>
      <w:r w:rsidR="00A73436" w:rsidRPr="006015D5">
        <w:t xml:space="preserve">DL RS configured by </w:t>
      </w:r>
      <w:r w:rsidR="00A73436">
        <w:t xml:space="preserve">the TCI state for </w:t>
      </w:r>
      <w:r w:rsidR="00A73436" w:rsidRPr="00C172EF">
        <w:rPr>
          <w:rFonts w:eastAsia="Times New Roman"/>
        </w:rPr>
        <w:t>antenna port quasi co-location</w:t>
      </w:r>
      <w:r w:rsidR="00A73436">
        <w:t xml:space="preserve"> or the </w:t>
      </w:r>
      <w:r w:rsidR="00616650" w:rsidRPr="006015D5">
        <w:t>SS/PBCH block the UE identified during the initial access procedure</w:t>
      </w:r>
      <w:r w:rsidR="00616650">
        <w:t xml:space="preserve"> depending on the presence</w:t>
      </w:r>
      <w:r w:rsidR="00A73436">
        <w:t xml:space="preserve"> or absence of the TCI state in DCI. </w:t>
      </w:r>
    </w:p>
    <w:p w14:paraId="4E79D4D5" w14:textId="77777777" w:rsidR="00411BDC" w:rsidRDefault="00AC5EF7" w:rsidP="00411BDC">
      <w:pPr>
        <w:spacing w:after="0"/>
        <w:jc w:val="both"/>
        <w:rPr>
          <w:i/>
        </w:rPr>
      </w:pPr>
      <w:r w:rsidRPr="00E1774C">
        <w:rPr>
          <w:b/>
          <w:i/>
          <w:u w:val="single"/>
        </w:rPr>
        <w:t xml:space="preserve">Proposal </w:t>
      </w:r>
      <w:r w:rsidR="000649AC">
        <w:rPr>
          <w:b/>
          <w:i/>
          <w:u w:val="single"/>
        </w:rPr>
        <w:t>2</w:t>
      </w:r>
      <w:r w:rsidRPr="00E1774C">
        <w:rPr>
          <w:i/>
          <w:u w:val="single"/>
        </w:rPr>
        <w:t>:</w:t>
      </w:r>
      <w:r>
        <w:rPr>
          <w:i/>
        </w:rPr>
        <w:t xml:space="preserve"> For grant-based PUSCH transmission, </w:t>
      </w:r>
      <w:r w:rsidR="00A73436">
        <w:rPr>
          <w:i/>
        </w:rPr>
        <w:t xml:space="preserve">when no or only one SRS resource is configured, </w:t>
      </w:r>
    </w:p>
    <w:p w14:paraId="511B0669" w14:textId="77777777" w:rsidR="00411BDC" w:rsidRPr="00411BDC" w:rsidRDefault="00A73436" w:rsidP="00411BDC">
      <w:pPr>
        <w:pStyle w:val="ListParagraph"/>
        <w:numPr>
          <w:ilvl w:val="0"/>
          <w:numId w:val="53"/>
        </w:numPr>
        <w:spacing w:after="0"/>
        <w:jc w:val="both"/>
        <w:rPr>
          <w:i/>
          <w:sz w:val="20"/>
          <w:szCs w:val="20"/>
        </w:rPr>
      </w:pPr>
      <w:r w:rsidRPr="00411BDC">
        <w:rPr>
          <w:i/>
          <w:sz w:val="20"/>
          <w:szCs w:val="20"/>
        </w:rPr>
        <w:t>UE assume</w:t>
      </w:r>
      <w:r w:rsidR="00C86F0A" w:rsidRPr="00411BDC">
        <w:rPr>
          <w:i/>
          <w:sz w:val="20"/>
          <w:szCs w:val="20"/>
        </w:rPr>
        <w:t>s</w:t>
      </w:r>
      <w:r w:rsidRPr="00411BDC">
        <w:rPr>
          <w:i/>
          <w:sz w:val="20"/>
          <w:szCs w:val="20"/>
        </w:rPr>
        <w:t xml:space="preserve"> a spatial relation between the PUSCH transmission and the CORESET DM-RS antenna port associated with PDCCH reception of the UL grant for the PUSCH for determining the PUSCH beam and</w:t>
      </w:r>
      <w:r w:rsidR="00C86F0A" w:rsidRPr="00411BDC">
        <w:rPr>
          <w:i/>
          <w:sz w:val="20"/>
          <w:szCs w:val="20"/>
        </w:rPr>
        <w:t xml:space="preserve"> corresponding</w:t>
      </w:r>
      <w:r w:rsidRPr="00411BDC">
        <w:rPr>
          <w:i/>
          <w:sz w:val="20"/>
          <w:szCs w:val="20"/>
        </w:rPr>
        <w:t xml:space="preserve"> PUSCH PC parameters.</w:t>
      </w:r>
    </w:p>
    <w:p w14:paraId="27A07584" w14:textId="3C2ACD84" w:rsidR="00D55310" w:rsidRPr="00411BDC" w:rsidRDefault="00A73436" w:rsidP="00411BDC">
      <w:pPr>
        <w:pStyle w:val="ListParagraph"/>
        <w:numPr>
          <w:ilvl w:val="0"/>
          <w:numId w:val="53"/>
        </w:numPr>
        <w:spacing w:after="0"/>
        <w:jc w:val="both"/>
        <w:rPr>
          <w:i/>
          <w:sz w:val="20"/>
          <w:szCs w:val="20"/>
        </w:rPr>
      </w:pPr>
      <w:r w:rsidRPr="00411BDC">
        <w:rPr>
          <w:i/>
          <w:sz w:val="20"/>
          <w:szCs w:val="20"/>
        </w:rPr>
        <w:t xml:space="preserve"> Define mapping between</w:t>
      </w:r>
      <w:r w:rsidR="00C86F0A" w:rsidRPr="00411BDC">
        <w:rPr>
          <w:i/>
          <w:sz w:val="20"/>
          <w:szCs w:val="20"/>
        </w:rPr>
        <w:t xml:space="preserve"> the set of TCI states, SS/PBCH block and set of</w:t>
      </w:r>
      <w:r w:rsidR="00C86F0A" w:rsidRPr="00411BDC">
        <w:rPr>
          <w:sz w:val="20"/>
          <w:szCs w:val="20"/>
        </w:rPr>
        <w:t xml:space="preserve"> </w:t>
      </w:r>
      <w:r w:rsidR="00C86F0A" w:rsidRPr="00411BDC">
        <w:rPr>
          <w:i/>
          <w:sz w:val="20"/>
          <w:szCs w:val="20"/>
        </w:rPr>
        <w:t xml:space="preserve">PUSCH PC parameter indices </w:t>
      </w:r>
      <m:oMath>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00C86F0A" w:rsidRPr="00411BDC">
        <w:rPr>
          <w:i/>
          <w:sz w:val="20"/>
          <w:szCs w:val="20"/>
        </w:rPr>
        <w:t xml:space="preserve">. </w:t>
      </w:r>
    </w:p>
    <w:p w14:paraId="75B98534" w14:textId="63D327E0" w:rsidR="0074420C" w:rsidRPr="0074420C" w:rsidRDefault="0074420C" w:rsidP="0074420C">
      <w:pPr>
        <w:pStyle w:val="Heading2"/>
      </w:pPr>
      <w:r w:rsidRPr="0074420C">
        <w:rPr>
          <w:bCs/>
        </w:rPr>
        <w:t>Grant-Free PUSCH</w:t>
      </w:r>
    </w:p>
    <w:p w14:paraId="4609ABB0" w14:textId="2D02B1A0" w:rsidR="000B01BC" w:rsidRDefault="009773BF" w:rsidP="009773BF">
      <w:r>
        <w:t>The configuration and indication of PC parameters for grant-free PUSCH transmission has not been discussed in full detail in previous RAN1 meetings, perhaps except for a generic agreement in RAN1#90-Bis and the following two agreements in RAN1-AH-1801</w:t>
      </w:r>
      <w:r w:rsidR="003E4385">
        <w:t xml:space="preserve"> [1]</w:t>
      </w:r>
      <w:r>
        <w:t xml:space="preserve">. </w:t>
      </w:r>
    </w:p>
    <w:p w14:paraId="7C0C5E18" w14:textId="6CFB9E42" w:rsidR="000B01BC" w:rsidRPr="00E83784" w:rsidRDefault="00197432" w:rsidP="000B01BC">
      <w:r>
        <w:rPr>
          <w:noProof/>
          <w:lang w:val="en-US"/>
        </w:rPr>
        <mc:AlternateContent>
          <mc:Choice Requires="wps">
            <w:drawing>
              <wp:inline distT="0" distB="0" distL="0" distR="0" wp14:anchorId="08F24352" wp14:editId="41578934">
                <wp:extent cx="5559425" cy="1568450"/>
                <wp:effectExtent l="0" t="0" r="22225" b="12700"/>
                <wp:docPr id="13" name="Text Box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425" cy="1568450"/>
                        </a:xfrm>
                        <a:prstGeom prst="rect">
                          <a:avLst/>
                        </a:prstGeom>
                        <a:solidFill>
                          <a:srgbClr val="FFFFFF"/>
                        </a:solidFill>
                        <a:ln w="9525">
                          <a:solidFill>
                            <a:srgbClr val="000000"/>
                          </a:solidFill>
                          <a:miter lim="800000"/>
                          <a:headEnd/>
                          <a:tailEnd/>
                        </a:ln>
                      </wps:spPr>
                      <wps:txbx>
                        <w:txbxContent>
                          <w:p w14:paraId="1ED7DEAC" w14:textId="476941F8" w:rsidR="00B6371A" w:rsidRPr="00844AC2" w:rsidRDefault="00B6371A" w:rsidP="000B01BC">
                            <w:pPr>
                              <w:rPr>
                                <w:b/>
                                <w:bCs/>
                              </w:rPr>
                            </w:pPr>
                            <w:r w:rsidRPr="00844AC2">
                              <w:rPr>
                                <w:b/>
                                <w:bCs/>
                              </w:rPr>
                              <w:t>From RAN1</w:t>
                            </w:r>
                            <w:r>
                              <w:rPr>
                                <w:b/>
                                <w:bCs/>
                              </w:rPr>
                              <w:t xml:space="preserve"> AH-1801 </w:t>
                            </w:r>
                            <w:r w:rsidRPr="00844AC2">
                              <w:rPr>
                                <w:b/>
                                <w:bCs/>
                              </w:rPr>
                              <w:t>Chairman Notes</w:t>
                            </w:r>
                            <w:r>
                              <w:rPr>
                                <w:b/>
                                <w:bCs/>
                              </w:rPr>
                              <w:t xml:space="preserve"> [1]</w:t>
                            </w:r>
                            <w:r w:rsidRPr="00844AC2">
                              <w:rPr>
                                <w:b/>
                                <w:bCs/>
                              </w:rPr>
                              <w:t>:</w:t>
                            </w:r>
                          </w:p>
                          <w:p w14:paraId="2D909E94" w14:textId="77777777" w:rsidR="00B6371A" w:rsidRPr="000B01BC" w:rsidRDefault="00B6371A" w:rsidP="007F73A3">
                            <w:pPr>
                              <w:spacing w:after="0"/>
                              <w:rPr>
                                <w:b/>
                                <w:highlight w:val="green"/>
                                <w:lang w:val="en-US"/>
                              </w:rPr>
                            </w:pPr>
                            <w:r w:rsidRPr="000B01BC">
                              <w:rPr>
                                <w:b/>
                                <w:highlight w:val="green"/>
                                <w:lang w:val="en-US"/>
                              </w:rPr>
                              <w:t>Agreements:</w:t>
                            </w:r>
                          </w:p>
                          <w:p w14:paraId="202070C1" w14:textId="77777777" w:rsidR="00B6371A" w:rsidRPr="000B01BC" w:rsidRDefault="00B6371A" w:rsidP="007F73A3">
                            <w:pPr>
                              <w:numPr>
                                <w:ilvl w:val="0"/>
                                <w:numId w:val="45"/>
                              </w:numPr>
                              <w:spacing w:after="0"/>
                              <w:rPr>
                                <w:bCs/>
                                <w:lang w:val="en-US"/>
                              </w:rPr>
                            </w:pPr>
                            <w:r w:rsidRPr="000B01BC">
                              <w:rPr>
                                <w:bCs/>
                                <w:lang w:val="en-US"/>
                              </w:rPr>
                              <w:t>For both configured grant Type 1 and Type 2 UL transmissions, following RRC parameters are defined and configured for a UE by UE-specific RRC signaling, separately from the corresponding RRC parameters for grant-based PUSCH transmission:</w:t>
                            </w:r>
                          </w:p>
                          <w:p w14:paraId="17925F8D" w14:textId="77777777" w:rsidR="00B6371A" w:rsidRPr="000B01BC" w:rsidRDefault="00B6371A" w:rsidP="007F73A3">
                            <w:pPr>
                              <w:numPr>
                                <w:ilvl w:val="1"/>
                                <w:numId w:val="45"/>
                              </w:numPr>
                              <w:spacing w:after="0"/>
                              <w:rPr>
                                <w:bCs/>
                                <w:lang w:val="en-US"/>
                              </w:rPr>
                            </w:pPr>
                            <w:r w:rsidRPr="000B01BC">
                              <w:rPr>
                                <w:bCs/>
                                <w:lang w:val="en-US"/>
                              </w:rPr>
                              <w:t>At least some open-loop power-control parameters</w:t>
                            </w:r>
                          </w:p>
                          <w:p w14:paraId="656869FB" w14:textId="77777777" w:rsidR="00B6371A" w:rsidRPr="000B01BC" w:rsidRDefault="00B6371A" w:rsidP="007F73A3">
                            <w:pPr>
                              <w:numPr>
                                <w:ilvl w:val="2"/>
                                <w:numId w:val="45"/>
                              </w:numPr>
                              <w:spacing w:after="0"/>
                              <w:rPr>
                                <w:bCs/>
                                <w:lang w:val="en-US"/>
                              </w:rPr>
                            </w:pPr>
                            <w:r w:rsidRPr="000B01BC">
                              <w:rPr>
                                <w:bCs/>
                                <w:lang w:val="en-US"/>
                              </w:rPr>
                              <w:t>FFS discussion the detailed parameters (to be handled by Havish’s session)</w:t>
                            </w:r>
                          </w:p>
                          <w:p w14:paraId="5A8632B1" w14:textId="3DA063FB" w:rsidR="00B6371A" w:rsidRPr="009129D8" w:rsidRDefault="00B6371A" w:rsidP="007F73A3">
                            <w:pPr>
                              <w:spacing w:after="0"/>
                              <w:rPr>
                                <w:b/>
                              </w:rPr>
                            </w:pPr>
                            <w:r w:rsidRPr="009129D8">
                              <w:rPr>
                                <w:b/>
                                <w:highlight w:val="green"/>
                              </w:rPr>
                              <w:t>Agreement:</w:t>
                            </w:r>
                          </w:p>
                          <w:p w14:paraId="695391B5" w14:textId="77777777" w:rsidR="00B6371A" w:rsidRPr="000B01BC" w:rsidRDefault="00B6371A" w:rsidP="007F73A3">
                            <w:pPr>
                              <w:pStyle w:val="bullet1"/>
                              <w:rPr>
                                <w:rFonts w:asciiTheme="majorBidi" w:hAnsiTheme="majorBidi" w:cstheme="majorBidi"/>
                                <w:sz w:val="20"/>
                                <w:szCs w:val="20"/>
                              </w:rPr>
                            </w:pPr>
                            <w:r w:rsidRPr="003738BD">
                              <w:rPr>
                                <w:rFonts w:asciiTheme="majorBidi" w:hAnsiTheme="majorBidi" w:cstheme="majorBidi"/>
                                <w:sz w:val="20"/>
                                <w:szCs w:val="20"/>
                              </w:rPr>
                              <w:t xml:space="preserve">Add RRC parameter </w:t>
                            </w:r>
                            <w:r w:rsidRPr="000B01BC">
                              <w:rPr>
                                <w:rFonts w:asciiTheme="majorBidi" w:hAnsiTheme="majorBidi" w:cstheme="majorBidi"/>
                                <w:sz w:val="20"/>
                                <w:szCs w:val="20"/>
                              </w:rPr>
                              <w:t xml:space="preserve">PathlossReferenceIndex at least for </w:t>
                            </w:r>
                            <w:r w:rsidRPr="000B01BC">
                              <w:rPr>
                                <w:rFonts w:asciiTheme="majorBidi" w:hAnsiTheme="majorBidi" w:cstheme="majorBidi"/>
                                <w:i/>
                                <w:sz w:val="20"/>
                                <w:szCs w:val="20"/>
                              </w:rPr>
                              <w:t xml:space="preserve">UL-TWG-type1 </w:t>
                            </w:r>
                          </w:p>
                        </w:txbxContent>
                      </wps:txbx>
                      <wps:bodyPr rot="0" vert="horz" wrap="square" lIns="91440" tIns="45720" rIns="91440" bIns="45720" anchor="t" anchorCtr="0" upright="1">
                        <a:noAutofit/>
                      </wps:bodyPr>
                    </wps:wsp>
                  </a:graphicData>
                </a:graphic>
              </wp:inline>
            </w:drawing>
          </mc:Choice>
          <mc:Fallback>
            <w:pict>
              <v:shape w14:anchorId="08F24352" id="Text Box 351" o:spid="_x0000_s1027" type="#_x0000_t202" style="width:437.75pt;height: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">
                <v:textbox>
                  <w:txbxContent>
                    <w:p w14:paraId="1ED7DEAC" w14:textId="476941F8" w:rsidR="00B6371A" w:rsidRPr="00844AC2" w:rsidRDefault="00B6371A" w:rsidP="000B01BC">
                      <w:pPr>
                        <w:rPr>
                          <w:b/>
                          <w:bCs/>
                        </w:rPr>
                      </w:pPr>
                      <w:r w:rsidRPr="00844AC2">
                        <w:rPr>
                          <w:b/>
                          <w:bCs/>
                        </w:rPr>
                        <w:t>From RAN1</w:t>
                      </w:r>
                      <w:r>
                        <w:rPr>
                          <w:b/>
                          <w:bCs/>
                        </w:rPr>
                        <w:t xml:space="preserve"> AH-1801 </w:t>
                      </w:r>
                      <w:r w:rsidRPr="00844AC2">
                        <w:rPr>
                          <w:b/>
                          <w:bCs/>
                        </w:rPr>
                        <w:t>Chairman Notes</w:t>
                      </w:r>
                      <w:r>
                        <w:rPr>
                          <w:b/>
                          <w:bCs/>
                        </w:rPr>
                        <w:t xml:space="preserve"> [1]</w:t>
                      </w:r>
                      <w:r w:rsidRPr="00844AC2">
                        <w:rPr>
                          <w:b/>
                          <w:bCs/>
                        </w:rPr>
                        <w:t>:</w:t>
                      </w:r>
                    </w:p>
                    <w:p w14:paraId="2D909E94" w14:textId="77777777" w:rsidR="00B6371A" w:rsidRPr="000B01BC" w:rsidRDefault="00B6371A" w:rsidP="007F73A3">
                      <w:pPr>
                        <w:spacing w:after="0"/>
                        <w:rPr>
                          <w:b/>
                          <w:highlight w:val="green"/>
                          <w:lang w:val="en-US"/>
                        </w:rPr>
                      </w:pPr>
                      <w:r w:rsidRPr="000B01BC">
                        <w:rPr>
                          <w:b/>
                          <w:highlight w:val="green"/>
                          <w:lang w:val="en-US"/>
                        </w:rPr>
                        <w:t>Agreements:</w:t>
                      </w:r>
                    </w:p>
                    <w:p w14:paraId="202070C1" w14:textId="77777777" w:rsidR="00B6371A" w:rsidRPr="000B01BC" w:rsidRDefault="00B6371A" w:rsidP="007F73A3">
                      <w:pPr>
                        <w:numPr>
                          <w:ilvl w:val="0"/>
                          <w:numId w:val="45"/>
                        </w:numPr>
                        <w:spacing w:after="0"/>
                        <w:rPr>
                          <w:bCs/>
                          <w:lang w:val="en-US"/>
                        </w:rPr>
                      </w:pPr>
                      <w:r w:rsidRPr="000B01BC">
                        <w:rPr>
                          <w:bCs/>
                          <w:lang w:val="en-US"/>
                        </w:rPr>
                        <w:t>For both configured grant Type 1 and Type 2 UL transmissions, following RRC parameters are defined and configured for a UE by UE-specific RRC signaling, separately from the corresponding RRC parameters for grant-based PUSCH transmission:</w:t>
                      </w:r>
                    </w:p>
                    <w:p w14:paraId="17925F8D" w14:textId="77777777" w:rsidR="00B6371A" w:rsidRPr="000B01BC" w:rsidRDefault="00B6371A" w:rsidP="007F73A3">
                      <w:pPr>
                        <w:numPr>
                          <w:ilvl w:val="1"/>
                          <w:numId w:val="45"/>
                        </w:numPr>
                        <w:spacing w:after="0"/>
                        <w:rPr>
                          <w:bCs/>
                          <w:lang w:val="en-US"/>
                        </w:rPr>
                      </w:pPr>
                      <w:r w:rsidRPr="000B01BC">
                        <w:rPr>
                          <w:bCs/>
                          <w:lang w:val="en-US"/>
                        </w:rPr>
                        <w:t>At least some open-loop power-control parameters</w:t>
                      </w:r>
                    </w:p>
                    <w:p w14:paraId="656869FB" w14:textId="77777777" w:rsidR="00B6371A" w:rsidRPr="000B01BC" w:rsidRDefault="00B6371A" w:rsidP="007F73A3">
                      <w:pPr>
                        <w:numPr>
                          <w:ilvl w:val="2"/>
                          <w:numId w:val="45"/>
                        </w:numPr>
                        <w:spacing w:after="0"/>
                        <w:rPr>
                          <w:bCs/>
                          <w:lang w:val="en-US"/>
                        </w:rPr>
                      </w:pPr>
                      <w:r w:rsidRPr="000B01BC">
                        <w:rPr>
                          <w:bCs/>
                          <w:lang w:val="en-US"/>
                        </w:rPr>
                        <w:t>FFS discussion the detailed parameters (to be handled by Havish’s session)</w:t>
                      </w:r>
                    </w:p>
                    <w:p w14:paraId="5A8632B1" w14:textId="3DA063FB" w:rsidR="00B6371A" w:rsidRPr="009129D8" w:rsidRDefault="00B6371A" w:rsidP="007F73A3">
                      <w:pPr>
                        <w:spacing w:after="0"/>
                        <w:rPr>
                          <w:b/>
                        </w:rPr>
                      </w:pPr>
                      <w:r w:rsidRPr="009129D8">
                        <w:rPr>
                          <w:b/>
                          <w:highlight w:val="green"/>
                        </w:rPr>
                        <w:t>Agreement:</w:t>
                      </w:r>
                    </w:p>
                    <w:p w14:paraId="695391B5" w14:textId="77777777" w:rsidR="00B6371A" w:rsidRPr="000B01BC" w:rsidRDefault="00B6371A" w:rsidP="007F73A3">
                      <w:pPr>
                        <w:pStyle w:val="bullet1"/>
                        <w:rPr>
                          <w:rFonts w:asciiTheme="majorBidi" w:hAnsiTheme="majorBidi" w:cstheme="majorBidi"/>
                          <w:sz w:val="20"/>
                          <w:szCs w:val="20"/>
                        </w:rPr>
                      </w:pPr>
                      <w:r w:rsidRPr="003738BD">
                        <w:rPr>
                          <w:rFonts w:asciiTheme="majorBidi" w:hAnsiTheme="majorBidi" w:cstheme="majorBidi"/>
                          <w:sz w:val="20"/>
                          <w:szCs w:val="20"/>
                        </w:rPr>
                        <w:t xml:space="preserve">Add RRC parameter </w:t>
                      </w:r>
                      <w:r w:rsidRPr="000B01BC">
                        <w:rPr>
                          <w:rFonts w:asciiTheme="majorBidi" w:hAnsiTheme="majorBidi" w:cstheme="majorBidi"/>
                          <w:sz w:val="20"/>
                          <w:szCs w:val="20"/>
                        </w:rPr>
                        <w:t xml:space="preserve">PathlossReferenceIndex at least for </w:t>
                      </w:r>
                      <w:r w:rsidRPr="000B01BC">
                        <w:rPr>
                          <w:rFonts w:asciiTheme="majorBidi" w:hAnsiTheme="majorBidi" w:cstheme="majorBidi"/>
                          <w:i/>
                          <w:sz w:val="20"/>
                          <w:szCs w:val="20"/>
                        </w:rPr>
                        <w:t xml:space="preserve">UL-TWG-type1 </w:t>
                      </w:r>
                    </w:p>
                  </w:txbxContent>
                </v:textbox>
                <w10:anchorlock/>
              </v:shape>
            </w:pict>
          </mc:Fallback>
        </mc:AlternateContent>
      </w:r>
    </w:p>
    <w:p w14:paraId="344FC3F2" w14:textId="36415B45" w:rsidR="005A3F13" w:rsidRDefault="007F73A3" w:rsidP="005A3F13">
      <w:pPr>
        <w:jc w:val="both"/>
      </w:pPr>
      <w:r>
        <w:lastRenderedPageBreak/>
        <w:t>In our view,</w:t>
      </w:r>
      <w:r w:rsidR="009773BF">
        <w:t xml:space="preserve"> beam-specific power control should be considered for grant-free (a.k.a., configured grant) PUSCH transmission, </w:t>
      </w:r>
      <w:r w:rsidR="005A3F13">
        <w:t xml:space="preserve">particularly </w:t>
      </w:r>
      <w:r w:rsidR="009773BF">
        <w:t>for the case of Type-2</w:t>
      </w:r>
      <w:r w:rsidR="00BA6244">
        <w:t xml:space="preserve"> with UL grant activation</w:t>
      </w:r>
      <w:r w:rsidR="00FB7CF2">
        <w:t xml:space="preserve"> and follow the same principles of grant-based PUSCH transmission</w:t>
      </w:r>
      <w:r w:rsidR="009773BF">
        <w:t xml:space="preserve">. </w:t>
      </w:r>
    </w:p>
    <w:p w14:paraId="0492F745" w14:textId="05D2A2EA" w:rsidR="005A3F13" w:rsidRPr="005A3F13" w:rsidRDefault="009773BF" w:rsidP="00BB780B">
      <w:pPr>
        <w:pStyle w:val="ListParagraph"/>
        <w:numPr>
          <w:ilvl w:val="0"/>
          <w:numId w:val="50"/>
        </w:numPr>
        <w:jc w:val="both"/>
        <w:rPr>
          <w:iCs/>
          <w:sz w:val="20"/>
          <w:szCs w:val="20"/>
        </w:rPr>
      </w:pPr>
      <w:r w:rsidRPr="005A3F13">
        <w:rPr>
          <w:sz w:val="20"/>
          <w:szCs w:val="20"/>
        </w:rPr>
        <w:t>If SRS is configured to the UE, the resource allocation for configured grant involve</w:t>
      </w:r>
      <w:r w:rsidR="00AF16E4">
        <w:rPr>
          <w:sz w:val="20"/>
          <w:szCs w:val="20"/>
        </w:rPr>
        <w:t>s</w:t>
      </w:r>
      <w:r w:rsidRPr="005A3F13">
        <w:rPr>
          <w:sz w:val="20"/>
          <w:szCs w:val="20"/>
        </w:rPr>
        <w:t xml:space="preserve"> SRI for PUSCH beam indication</w:t>
      </w:r>
      <w:r w:rsidR="00FA53E8">
        <w:rPr>
          <w:sz w:val="20"/>
          <w:szCs w:val="20"/>
        </w:rPr>
        <w:t xml:space="preserve"> as explained in TS 38.214</w:t>
      </w:r>
      <w:r w:rsidRPr="005A3F13">
        <w:rPr>
          <w:sz w:val="20"/>
          <w:szCs w:val="20"/>
        </w:rPr>
        <w:t xml:space="preserve">. Therefore, the same explicit RRC linkages that were defined between SRI and </w:t>
      </w:r>
      <m:oMath>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Pr="005A3F13">
        <w:rPr>
          <w:i/>
          <w:sz w:val="20"/>
          <w:szCs w:val="20"/>
        </w:rPr>
        <w:t xml:space="preserve"> </w:t>
      </w:r>
      <w:r w:rsidRPr="005A3F13">
        <w:rPr>
          <w:iCs/>
          <w:sz w:val="20"/>
          <w:szCs w:val="20"/>
        </w:rPr>
        <w:t xml:space="preserve">indices for grant-based PUSCH can be reused for PC parameter configuration and indication for grant-free transmission. </w:t>
      </w:r>
    </w:p>
    <w:p w14:paraId="4F42DDA5" w14:textId="61CA3F54" w:rsidR="000B01BC" w:rsidRPr="005A3F13" w:rsidRDefault="00BA6244" w:rsidP="00FB7CF2">
      <w:pPr>
        <w:pStyle w:val="ListParagraph"/>
        <w:numPr>
          <w:ilvl w:val="0"/>
          <w:numId w:val="50"/>
        </w:numPr>
        <w:jc w:val="both"/>
        <w:rPr>
          <w:iCs/>
          <w:sz w:val="20"/>
          <w:szCs w:val="20"/>
        </w:rPr>
      </w:pPr>
      <w:r>
        <w:rPr>
          <w:iCs/>
          <w:sz w:val="20"/>
          <w:szCs w:val="20"/>
        </w:rPr>
        <w:t>I</w:t>
      </w:r>
      <w:r w:rsidRPr="005A3F13">
        <w:rPr>
          <w:iCs/>
          <w:sz w:val="20"/>
          <w:szCs w:val="20"/>
        </w:rPr>
        <w:t xml:space="preserve">f </w:t>
      </w:r>
      <w:r w:rsidR="009773BF" w:rsidRPr="005A3F13">
        <w:rPr>
          <w:iCs/>
          <w:sz w:val="20"/>
          <w:szCs w:val="20"/>
        </w:rPr>
        <w:t xml:space="preserve">SRS is not configured, </w:t>
      </w:r>
      <w:r w:rsidR="005A3F13">
        <w:rPr>
          <w:iCs/>
          <w:sz w:val="20"/>
          <w:szCs w:val="20"/>
        </w:rPr>
        <w:t xml:space="preserve">similar to discussion above </w:t>
      </w:r>
      <w:r w:rsidR="00AF16E4">
        <w:rPr>
          <w:iCs/>
          <w:sz w:val="20"/>
          <w:szCs w:val="20"/>
        </w:rPr>
        <w:t xml:space="preserve">for the case of grant-based PUSCH without SRI </w:t>
      </w:r>
      <w:r w:rsidR="005A3F13">
        <w:rPr>
          <w:iCs/>
          <w:sz w:val="20"/>
          <w:szCs w:val="20"/>
        </w:rPr>
        <w:t xml:space="preserve">in Section 2.2, </w:t>
      </w:r>
      <w:r w:rsidR="009773BF" w:rsidRPr="005A3F13">
        <w:rPr>
          <w:iCs/>
          <w:sz w:val="20"/>
          <w:szCs w:val="20"/>
        </w:rPr>
        <w:t xml:space="preserve">explicit RRC </w:t>
      </w:r>
      <w:r w:rsidR="005A3F13">
        <w:rPr>
          <w:iCs/>
          <w:sz w:val="20"/>
          <w:szCs w:val="20"/>
        </w:rPr>
        <w:t xml:space="preserve">linkages between </w:t>
      </w:r>
      <w:r w:rsidR="005A3F13">
        <w:rPr>
          <w:sz w:val="20"/>
          <w:szCs w:val="20"/>
        </w:rPr>
        <w:t>TCI state for PDCCH</w:t>
      </w:r>
      <w:r w:rsidR="00FB7CF2" w:rsidRPr="00FB7CF2">
        <w:rPr>
          <w:sz w:val="20"/>
          <w:szCs w:val="20"/>
        </w:rPr>
        <w:t xml:space="preserve">, SS/PBCH block </w:t>
      </w:r>
      <w:r w:rsidR="00AF16E4" w:rsidRPr="005A3F13">
        <w:rPr>
          <w:sz w:val="20"/>
          <w:szCs w:val="20"/>
        </w:rPr>
        <w:t xml:space="preserve">and </w:t>
      </w:r>
      <m:oMath>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00AF16E4" w:rsidRPr="005A3F13">
        <w:rPr>
          <w:i/>
          <w:sz w:val="20"/>
          <w:szCs w:val="20"/>
        </w:rPr>
        <w:t xml:space="preserve"> </w:t>
      </w:r>
      <w:r w:rsidR="00AF16E4" w:rsidRPr="005A3F13">
        <w:rPr>
          <w:iCs/>
          <w:sz w:val="20"/>
          <w:szCs w:val="20"/>
        </w:rPr>
        <w:t>indices</w:t>
      </w:r>
      <w:r w:rsidR="00AF16E4">
        <w:rPr>
          <w:iCs/>
          <w:sz w:val="20"/>
          <w:szCs w:val="20"/>
        </w:rPr>
        <w:t xml:space="preserve"> </w:t>
      </w:r>
      <w:r w:rsidR="00AF16E4" w:rsidRPr="005A3F13">
        <w:rPr>
          <w:iCs/>
          <w:sz w:val="20"/>
          <w:szCs w:val="20"/>
        </w:rPr>
        <w:t>can be reused for PC parameter configuration and indication for grant-free transmission.</w:t>
      </w:r>
    </w:p>
    <w:p w14:paraId="1AB1DD59" w14:textId="045723F6" w:rsidR="00AF16E4" w:rsidRPr="000649AC" w:rsidRDefault="00AF16E4" w:rsidP="00D45334">
      <w:pPr>
        <w:jc w:val="both"/>
        <w:rPr>
          <w:i/>
          <w:iCs/>
        </w:rPr>
      </w:pPr>
      <w:r w:rsidRPr="00E1774C">
        <w:rPr>
          <w:b/>
          <w:i/>
          <w:u w:val="single"/>
        </w:rPr>
        <w:t xml:space="preserve">Proposal </w:t>
      </w:r>
      <w:r>
        <w:rPr>
          <w:b/>
          <w:i/>
          <w:u w:val="single"/>
        </w:rPr>
        <w:t>3</w:t>
      </w:r>
      <w:r w:rsidRPr="00E1774C">
        <w:rPr>
          <w:i/>
          <w:u w:val="single"/>
        </w:rPr>
        <w:t>:</w:t>
      </w:r>
      <w:r>
        <w:rPr>
          <w:i/>
        </w:rPr>
        <w:t xml:space="preserve"> For </w:t>
      </w:r>
      <w:r w:rsidR="00FA53E8">
        <w:rPr>
          <w:i/>
          <w:iCs/>
        </w:rPr>
        <w:t>PC parameter configuration and indication</w:t>
      </w:r>
      <w:r w:rsidR="00FA53E8">
        <w:rPr>
          <w:i/>
        </w:rPr>
        <w:t xml:space="preserve"> for </w:t>
      </w:r>
      <w:r>
        <w:rPr>
          <w:i/>
        </w:rPr>
        <w:t>PUSCH transmission</w:t>
      </w:r>
      <w:r w:rsidR="00FA53E8">
        <w:rPr>
          <w:i/>
        </w:rPr>
        <w:t>s</w:t>
      </w:r>
      <w:r>
        <w:rPr>
          <w:i/>
        </w:rPr>
        <w:t xml:space="preserve"> with configured grant, at least for Type-2, </w:t>
      </w:r>
      <w:r w:rsidR="00FB7CF2" w:rsidRPr="00FB7CF2">
        <w:rPr>
          <w:i/>
        </w:rPr>
        <w:t>follow the same principles of grant-based PUSCH transmission</w:t>
      </w:r>
      <w:r w:rsidR="00FB7CF2">
        <w:rPr>
          <w:i/>
        </w:rPr>
        <w:t xml:space="preserve"> -</w:t>
      </w:r>
      <w:r w:rsidR="00FB7CF2" w:rsidRPr="00FB7CF2">
        <w:rPr>
          <w:i/>
        </w:rPr>
        <w:t xml:space="preserve"> </w:t>
      </w:r>
      <w:r w:rsidRPr="00AF16E4">
        <w:rPr>
          <w:i/>
          <w:iCs/>
        </w:rPr>
        <w:t>explicit RRC linkages defined between SRI</w:t>
      </w:r>
      <w:r>
        <w:rPr>
          <w:i/>
          <w:iCs/>
        </w:rPr>
        <w:t>/TCI</w:t>
      </w:r>
      <w:r w:rsidR="00FB7CF2">
        <w:rPr>
          <w:i/>
          <w:iCs/>
        </w:rPr>
        <w:t>/SS-PBCH</w:t>
      </w:r>
      <w:r w:rsidRPr="00AF16E4">
        <w:rPr>
          <w:i/>
          <w:iCs/>
        </w:rPr>
        <w:t xml:space="preserve"> and </w:t>
      </w:r>
      <m:oMath>
        <m:r>
          <w:rPr>
            <w:rFonts w:ascii="Cambria Math" w:hAnsi="Cambria Math"/>
          </w:rPr>
          <m:t>{j,</m:t>
        </m:r>
        <m:sSub>
          <m:sSubPr>
            <m:ctrlPr>
              <w:rPr>
                <w:rFonts w:ascii="Cambria Math" w:hAnsi="Cambria Math"/>
                <w:i/>
                <w:iCs/>
                <w:lang w:bidi="en-US"/>
              </w:rPr>
            </m:ctrlPr>
          </m:sSubPr>
          <m:e>
            <m:r>
              <w:rPr>
                <w:rFonts w:ascii="Cambria Math" w:hAnsi="Cambria Math"/>
              </w:rPr>
              <m:t>q</m:t>
            </m:r>
          </m:e>
          <m:sub>
            <m:r>
              <w:rPr>
                <w:rFonts w:ascii="Cambria Math" w:hAnsi="Cambria Math"/>
              </w:rPr>
              <m:t>d</m:t>
            </m:r>
          </m:sub>
        </m:sSub>
        <m:r>
          <w:rPr>
            <w:rFonts w:ascii="Cambria Math" w:hAnsi="Cambria Math"/>
          </w:rPr>
          <m:t>,l}</m:t>
        </m:r>
      </m:oMath>
      <w:r w:rsidRPr="00AF16E4">
        <w:rPr>
          <w:i/>
          <w:iCs/>
        </w:rPr>
        <w:t xml:space="preserve"> indices for grant-based PUSCH can be reused</w:t>
      </w:r>
      <w:r>
        <w:rPr>
          <w:i/>
          <w:iCs/>
        </w:rPr>
        <w:t>.</w:t>
      </w:r>
    </w:p>
    <w:p w14:paraId="4302A51D" w14:textId="4CFE8DE8" w:rsidR="00AF0077" w:rsidRDefault="00AF0077" w:rsidP="00AF0077">
      <w:pPr>
        <w:pStyle w:val="Heading1"/>
        <w:ind w:left="0" w:firstLine="0"/>
        <w:rPr>
          <w:bCs/>
        </w:rPr>
      </w:pPr>
      <w:r>
        <w:rPr>
          <w:bCs/>
        </w:rPr>
        <w:t xml:space="preserve">PC Parameter Configuration/Indication for PUCCH </w:t>
      </w:r>
      <w:r w:rsidRPr="008D5091">
        <w:rPr>
          <w:bCs/>
        </w:rPr>
        <w:t>without PUCCH Beam Indication</w:t>
      </w:r>
      <w:r>
        <w:rPr>
          <w:bCs/>
        </w:rPr>
        <w:t xml:space="preserve"> </w:t>
      </w:r>
    </w:p>
    <w:p w14:paraId="7320B579" w14:textId="73C44307" w:rsidR="00AF0077" w:rsidRDefault="0032219F" w:rsidP="003E4385">
      <w:pPr>
        <w:jc w:val="both"/>
        <w:rPr>
          <w:lang w:val="en-US"/>
        </w:rPr>
      </w:pPr>
      <w:r>
        <w:t>The configuration and indication of PC parameters for PUCCH with beam indication was agreed in RAN1-AH-1801 [</w:t>
      </w:r>
      <w:r w:rsidR="003E4385">
        <w:t>1</w:t>
      </w:r>
      <w:r>
        <w:t xml:space="preserve">], when PUCCH beam indication is via MAC-CE activation of a spatial relation from a list of spatial relation configured by PUCCH-SpatialRelationInfo. However, when </w:t>
      </w:r>
      <w:r w:rsidR="003E4385">
        <w:t>MAC-CE has not selected a spatial relation for PUCCH yet, a default/fallback mode is needed. For example, in RAN1-AH-1801 in offline MIMO session [3, Section 4.5], the following was proposed: “</w:t>
      </w:r>
      <w:r w:rsidR="003E4385" w:rsidRPr="003E4385">
        <w:t>After RRC configuration of PUCCH-SpatialRelationInfo and before MAC-CE activation of spatial relation, UE assumes may assume default spatial relation is the SSB identified during the RACH procedure.</w:t>
      </w:r>
      <w:r w:rsidR="003E4385">
        <w:t xml:space="preserve">” Accordingly, one can build upon such default/fallback PUCCH beam indication(s) and define explicit RRC linkages between the default PUCCH beam indication(s) and the </w:t>
      </w:r>
      <w:r w:rsidR="00C03A02">
        <w:t xml:space="preserve">PUCCH PC parameter set can be configured. </w:t>
      </w:r>
    </w:p>
    <w:p w14:paraId="6DCBC548" w14:textId="01CDF297" w:rsidR="00284AD2" w:rsidRDefault="00284AD2" w:rsidP="00EF4627">
      <w:pPr>
        <w:jc w:val="both"/>
        <w:rPr>
          <w:i/>
        </w:rPr>
      </w:pPr>
      <w:r w:rsidRPr="00E1774C">
        <w:rPr>
          <w:b/>
          <w:i/>
          <w:u w:val="single"/>
        </w:rPr>
        <w:t xml:space="preserve">Proposal </w:t>
      </w:r>
      <w:r w:rsidR="00F15E5A">
        <w:rPr>
          <w:b/>
          <w:i/>
          <w:u w:val="single"/>
        </w:rPr>
        <w:t>4</w:t>
      </w:r>
      <w:r w:rsidRPr="00E1774C">
        <w:rPr>
          <w:i/>
          <w:u w:val="single"/>
        </w:rPr>
        <w:t>:</w:t>
      </w:r>
      <w:r>
        <w:rPr>
          <w:i/>
        </w:rPr>
        <w:t xml:space="preserve"> For PUCCH transmission,</w:t>
      </w:r>
      <w:r w:rsidR="0018064C">
        <w:rPr>
          <w:i/>
        </w:rPr>
        <w:t xml:space="preserve"> when</w:t>
      </w:r>
      <w:r w:rsidR="0018064C" w:rsidRPr="0018064C">
        <w:rPr>
          <w:i/>
        </w:rPr>
        <w:t xml:space="preserve"> </w:t>
      </w:r>
      <w:r w:rsidR="0018064C">
        <w:rPr>
          <w:i/>
        </w:rPr>
        <w:t>PUCCH-SpatialRelationInfo is config</w:t>
      </w:r>
      <w:r w:rsidR="008D6F42">
        <w:rPr>
          <w:i/>
        </w:rPr>
        <w:t xml:space="preserve">ured with more than one value, </w:t>
      </w:r>
      <w:r w:rsidR="0018064C">
        <w:rPr>
          <w:i/>
        </w:rPr>
        <w:t>but</w:t>
      </w:r>
      <w:r>
        <w:rPr>
          <w:i/>
        </w:rPr>
        <w:t xml:space="preserve"> </w:t>
      </w:r>
      <w:r w:rsidR="0018064C">
        <w:rPr>
          <w:i/>
        </w:rPr>
        <w:t xml:space="preserve">MAC-CE command for selection of one value from </w:t>
      </w:r>
      <w:r>
        <w:rPr>
          <w:i/>
        </w:rPr>
        <w:t xml:space="preserve">PUCCH-Spatial-Relation-Info is not </w:t>
      </w:r>
      <w:r w:rsidR="0018064C">
        <w:rPr>
          <w:i/>
        </w:rPr>
        <w:t>activated</w:t>
      </w:r>
      <w:r>
        <w:rPr>
          <w:i/>
        </w:rPr>
        <w:t xml:space="preserve">, align PC parameter configuration and/or indication with agreements in MIMO agenda item, e.g., based on </w:t>
      </w:r>
      <w:r w:rsidR="00EF4627">
        <w:rPr>
          <w:i/>
        </w:rPr>
        <w:t>an explicit RRC linkage between possible default/fallback PUCCH beam indication(s) and the PUCCH PC parameter set.</w:t>
      </w:r>
      <w:r>
        <w:rPr>
          <w:i/>
        </w:rPr>
        <w:t xml:space="preserve"> </w:t>
      </w:r>
    </w:p>
    <w:p w14:paraId="04C85F68" w14:textId="1BC51B9A" w:rsidR="00541F33" w:rsidRDefault="00541F33" w:rsidP="00765491">
      <w:pPr>
        <w:pStyle w:val="Heading1"/>
        <w:ind w:left="0" w:firstLine="0"/>
        <w:rPr>
          <w:bCs/>
        </w:rPr>
      </w:pPr>
      <w:r>
        <w:rPr>
          <w:bCs/>
        </w:rPr>
        <w:t xml:space="preserve">Reset of Closed-Loop </w:t>
      </w:r>
      <w:r w:rsidR="00765491">
        <w:rPr>
          <w:bCs/>
        </w:rPr>
        <w:t xml:space="preserve">PC </w:t>
      </w:r>
      <w:r>
        <w:rPr>
          <w:bCs/>
        </w:rPr>
        <w:t>for PUSCH, PUCCH, SRS</w:t>
      </w:r>
    </w:p>
    <w:p w14:paraId="704DE822" w14:textId="07A530F3" w:rsidR="00765491" w:rsidRDefault="00765491" w:rsidP="004D3EFF">
      <w:pPr>
        <w:pStyle w:val="Heading2"/>
      </w:pPr>
      <w:r>
        <w:t>Reset based on OL-PC Reconfiguration</w:t>
      </w:r>
    </w:p>
    <w:p w14:paraId="6A28BC4E" w14:textId="00881BC7" w:rsidR="0052078B" w:rsidRPr="0052078B" w:rsidRDefault="0052078B" w:rsidP="0052078B">
      <w:pPr>
        <w:jc w:val="both"/>
      </w:pPr>
      <w:r w:rsidRPr="0052078B">
        <w:t xml:space="preserve">The CL-PC accumulation reset based on reconfiguration of OL-PC parameters (such as P0 and alpha) and/or receiving RAR </w:t>
      </w:r>
      <w:r w:rsidR="00EC0D5B">
        <w:t xml:space="preserve">in TS 38.213 </w:t>
      </w:r>
      <w:r w:rsidRPr="0052078B">
        <w:t xml:space="preserve">is ambiguous and also inconsistent among PUSCH, PUCCH, and SRS. </w:t>
      </w:r>
    </w:p>
    <w:p w14:paraId="28AF0C4B" w14:textId="6F65B3AB" w:rsidR="00A07DF1" w:rsidRDefault="00A07DF1" w:rsidP="009A307A">
      <w:pPr>
        <w:pStyle w:val="ListParagraph"/>
        <w:numPr>
          <w:ilvl w:val="0"/>
          <w:numId w:val="47"/>
        </w:numPr>
        <w:jc w:val="both"/>
        <w:rPr>
          <w:sz w:val="20"/>
          <w:szCs w:val="20"/>
        </w:rPr>
      </w:pPr>
      <w:r>
        <w:rPr>
          <w:sz w:val="20"/>
          <w:szCs w:val="20"/>
        </w:rPr>
        <w:t xml:space="preserve">The current wordings in RAN1 agreements on this topic are “can be reset” for PUSCH, and “reset trigger” for PUCCH, while no agreement exists for SRS on this topic. </w:t>
      </w:r>
    </w:p>
    <w:p w14:paraId="597A3A0E" w14:textId="506BCAF4" w:rsidR="00A07DF1" w:rsidRDefault="00A07DF1" w:rsidP="009A307A">
      <w:pPr>
        <w:pStyle w:val="ListParagraph"/>
        <w:numPr>
          <w:ilvl w:val="0"/>
          <w:numId w:val="47"/>
        </w:numPr>
        <w:jc w:val="both"/>
        <w:rPr>
          <w:sz w:val="20"/>
          <w:szCs w:val="20"/>
        </w:rPr>
      </w:pPr>
      <w:r>
        <w:rPr>
          <w:sz w:val="20"/>
          <w:szCs w:val="20"/>
        </w:rPr>
        <w:t xml:space="preserve">The current wordings in TS 38.213 for CL-PC reset are “UE can reset accumulation” for PUSCH and SRS, while it is a mandatory language for PUCCH. </w:t>
      </w:r>
    </w:p>
    <w:p w14:paraId="5255C2D0" w14:textId="523EEE18" w:rsidR="007453A2" w:rsidRPr="007453A2" w:rsidRDefault="007453A2" w:rsidP="009A307A">
      <w:pPr>
        <w:pStyle w:val="ListParagraph"/>
        <w:numPr>
          <w:ilvl w:val="0"/>
          <w:numId w:val="47"/>
        </w:numPr>
        <w:jc w:val="both"/>
        <w:rPr>
          <w:sz w:val="20"/>
          <w:szCs w:val="20"/>
        </w:rPr>
      </w:pPr>
      <w:r w:rsidRPr="007453A2">
        <w:rPr>
          <w:sz w:val="20"/>
          <w:szCs w:val="20"/>
        </w:rPr>
        <w:t xml:space="preserve">In cases when two or even three closed-loop processes are configured to a UE, the specification should clarify which CL-PC process should be reset. This is accomplished for some cases, but is still open and unspecified for some other cases. </w:t>
      </w:r>
    </w:p>
    <w:p w14:paraId="4B269833" w14:textId="3ACB9E13" w:rsidR="007453A2" w:rsidRDefault="0052078B" w:rsidP="007453A2">
      <w:pPr>
        <w:jc w:val="both"/>
      </w:pPr>
      <w:r w:rsidRPr="007453A2">
        <w:t xml:space="preserve">The </w:t>
      </w:r>
      <w:r w:rsidR="00A07DF1" w:rsidRPr="007453A2">
        <w:t xml:space="preserve">phrase </w:t>
      </w:r>
      <w:r w:rsidRPr="007453A2">
        <w:t>“UE can reset accumulation” needs further clarification, without which the spec</w:t>
      </w:r>
      <w:r w:rsidR="00EC0D5B">
        <w:t>ification</w:t>
      </w:r>
      <w:r w:rsidRPr="007453A2">
        <w:t xml:space="preserve"> is incomplete. </w:t>
      </w:r>
      <w:r w:rsidR="007453A2">
        <w:t xml:space="preserve">We think the appropriate method to resolve this inconsistency is to follow the LTE approach </w:t>
      </w:r>
      <w:r w:rsidR="007453A2" w:rsidRPr="007453A2">
        <w:t>“UE shall reset accumulation”</w:t>
      </w:r>
      <w:r w:rsidR="007453A2">
        <w:t xml:space="preserve">, which is also used in the case of PUCCH above, to mandate the CL-PC reset for the UE when OL-PC </w:t>
      </w:r>
      <w:r w:rsidR="007453A2">
        <w:lastRenderedPageBreak/>
        <w:t xml:space="preserve">parameters are reset. The clear argument is that OL parameters are base/reference values for the operation of UL power control procedure, and a reconfiguration of those base/reference values clearly call for a reset to the CL-PC which is built upon those OL-PC parameters. </w:t>
      </w:r>
    </w:p>
    <w:p w14:paraId="4AF6FA0C" w14:textId="4F0F9C49" w:rsidR="00CF2EEA" w:rsidRDefault="00CF2EEA" w:rsidP="00F15E5A">
      <w:pPr>
        <w:jc w:val="both"/>
        <w:rPr>
          <w:i/>
        </w:rPr>
      </w:pPr>
      <w:r w:rsidRPr="00E1774C">
        <w:rPr>
          <w:b/>
          <w:i/>
          <w:u w:val="single"/>
        </w:rPr>
        <w:t xml:space="preserve">Proposal </w:t>
      </w:r>
      <w:r w:rsidR="00F15E5A">
        <w:rPr>
          <w:b/>
          <w:i/>
          <w:u w:val="single"/>
        </w:rPr>
        <w:t>5</w:t>
      </w:r>
      <w:r w:rsidRPr="00E1774C">
        <w:rPr>
          <w:i/>
          <w:u w:val="single"/>
        </w:rPr>
        <w:t>:</w:t>
      </w:r>
      <w:r>
        <w:rPr>
          <w:i/>
        </w:rPr>
        <w:t xml:space="preserve"> For PUSCH, PUCCH, and SRS transmission, update the RAN1 agreements and TS 38.213 to mandate the CL-PC reset (i.e., “shall reset”) for the UE upon reconfiguration of OL-PC parameters by the gNB. </w:t>
      </w:r>
      <w:r w:rsidR="00EB2A8B">
        <w:rPr>
          <w:i/>
        </w:rPr>
        <w:t xml:space="preserve">In all such cases, clarify that the first value after CL-PC reset is zero. </w:t>
      </w:r>
    </w:p>
    <w:p w14:paraId="020CA329" w14:textId="72EAC5B0" w:rsidR="007453A2" w:rsidRDefault="00B1482A" w:rsidP="00DB3813">
      <w:pPr>
        <w:jc w:val="both"/>
      </w:pPr>
      <w:r>
        <w:t xml:space="preserve">In the cases when more than one CL-PC process is configured to the UE, </w:t>
      </w:r>
      <w:r w:rsidR="007453A2">
        <w:t xml:space="preserve">it is </w:t>
      </w:r>
      <w:r>
        <w:t xml:space="preserve">necessary to specify which CL-PC process is impacted by this CL-PC reset operation. </w:t>
      </w:r>
      <w:r w:rsidR="007453A2">
        <w:t xml:space="preserve">Currently, this issue is handled for the case when SRI (for grant-based PUSCH) or PUCCH-Spatial-Relation-Info (for PUCCH) are configured. </w:t>
      </w:r>
    </w:p>
    <w:p w14:paraId="300D67BE" w14:textId="33AEE4ED" w:rsidR="00DB3813" w:rsidRDefault="00DB3813" w:rsidP="00F15E5A">
      <w:pPr>
        <w:jc w:val="both"/>
        <w:rPr>
          <w:i/>
        </w:rPr>
      </w:pPr>
      <w:r w:rsidRPr="00E1774C">
        <w:rPr>
          <w:b/>
          <w:i/>
          <w:u w:val="single"/>
        </w:rPr>
        <w:t xml:space="preserve">Proposal </w:t>
      </w:r>
      <w:r w:rsidR="00F15E5A">
        <w:rPr>
          <w:b/>
          <w:i/>
          <w:u w:val="single"/>
        </w:rPr>
        <w:t>6</w:t>
      </w:r>
      <w:r w:rsidRPr="00E1774C">
        <w:rPr>
          <w:i/>
          <w:u w:val="single"/>
        </w:rPr>
        <w:t>:</w:t>
      </w:r>
      <w:r>
        <w:rPr>
          <w:i/>
        </w:rPr>
        <w:t xml:space="preserve"> For PUSCH / PUCCH transmission, specify which CL-PC process to reset upon reconfiguration of OL-PC parameters, aligned with the agreements for the cases without SRI / PUCCH-Spatial-Relation-Info. </w:t>
      </w:r>
    </w:p>
    <w:p w14:paraId="2CEA5688" w14:textId="304BAF3E" w:rsidR="000E1597" w:rsidRDefault="00226791" w:rsidP="002B6D44">
      <w:pPr>
        <w:jc w:val="both"/>
      </w:pPr>
      <w:r>
        <w:t xml:space="preserve">For SRS, since all PC parameters are agreed to be per SRS resource set, there </w:t>
      </w:r>
      <w:r w:rsidR="00DB3813">
        <w:t xml:space="preserve">is no </w:t>
      </w:r>
      <w:r>
        <w:t xml:space="preserve">confusion on which closed-loop to reset. The text in the specification should simply clarify that reconfiguration of OL parameters correspond to SRS resource set indexed by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t xml:space="preserve">. </w:t>
      </w:r>
    </w:p>
    <w:p w14:paraId="371BF00C" w14:textId="77777777" w:rsidR="001D09D2" w:rsidRDefault="001D09D2" w:rsidP="001D09D2">
      <w:pPr>
        <w:pStyle w:val="Heading2"/>
      </w:pPr>
      <w:r>
        <w:t>Reset based on Beam Change</w:t>
      </w:r>
    </w:p>
    <w:p w14:paraId="469B5FA9" w14:textId="77777777" w:rsidR="00541F33" w:rsidRDefault="00541F33" w:rsidP="00541F33">
      <w:pPr>
        <w:jc w:val="both"/>
      </w:pPr>
      <w:r>
        <w:t xml:space="preserve">For a gNB with multiple beams pointing to </w:t>
      </w:r>
      <w:r w:rsidRPr="00260045">
        <w:t xml:space="preserve">significantly </w:t>
      </w:r>
      <w:r>
        <w:t xml:space="preserve">different </w:t>
      </w:r>
      <w:r w:rsidRPr="00260045">
        <w:t>spatial directions</w:t>
      </w:r>
      <w:r>
        <w:t xml:space="preserve"> such as with multiple TRP antenna panels, a</w:t>
      </w:r>
      <w:r w:rsidRPr="00260045">
        <w:t xml:space="preserve"> separate closed-loop power control </w:t>
      </w:r>
      <w:r>
        <w:t xml:space="preserve">process </w:t>
      </w:r>
      <w:r w:rsidRPr="00260045">
        <w:t xml:space="preserve">may be configured for </w:t>
      </w:r>
      <w:r>
        <w:t xml:space="preserve">UL beams associated with such gNB beams due to potential differences in UL interference levels. </w:t>
      </w:r>
      <w:r w:rsidRPr="00260045">
        <w:t xml:space="preserve">The same closed-loop PC </w:t>
      </w:r>
      <w:r>
        <w:t>may</w:t>
      </w:r>
      <w:r w:rsidRPr="00260045">
        <w:t xml:space="preserve"> be used for all gNB Rx beams of the same TRP panel</w:t>
      </w:r>
      <w:r>
        <w:t>. A gNB would attempt to keep the same closed-loop configuration for those UE UL beams that are associated with gNB beams of similar spatial directions, but use separate closed-loop configurations for those UE UL beams that are associated with gNB beams of significantly different spatial directions.  It was agreed (TS 38.213 [8]) to support up to 2 closed-loops for UE uplink power control.</w:t>
      </w:r>
    </w:p>
    <w:p w14:paraId="51B1AA17" w14:textId="4350A7BE" w:rsidR="00541F33" w:rsidRPr="000F126F" w:rsidRDefault="00541F33" w:rsidP="004B6D9D">
      <w:pPr>
        <w:jc w:val="both"/>
        <w:rPr>
          <w:bCs/>
          <w:iCs/>
          <w:color w:val="FF0000"/>
        </w:rPr>
      </w:pPr>
      <w:r>
        <w:t>If the configuration of a separate closed-loop PC is needed in a certain deployment but not possible due to the limited number of (i.e., 2) available closed-loops, e.g., when the UE</w:t>
      </w:r>
      <w:r w:rsidRPr="0032234C">
        <w:t xml:space="preserve"> </w:t>
      </w:r>
      <w:r w:rsidRPr="000319F4">
        <w:t xml:space="preserve">attempts to switch from communication with a beam from </w:t>
      </w:r>
      <w:r>
        <w:t>one TRP panel</w:t>
      </w:r>
      <w:r w:rsidRPr="000319F4">
        <w:t xml:space="preserve"> to </w:t>
      </w:r>
      <w:r>
        <w:t xml:space="preserve">a beam in another TRP panel with </w:t>
      </w:r>
      <w:r w:rsidRPr="00260045">
        <w:t xml:space="preserve">significantly </w:t>
      </w:r>
      <w:r>
        <w:t xml:space="preserve">different </w:t>
      </w:r>
      <w:r w:rsidRPr="00260045">
        <w:t>spatial directions</w:t>
      </w:r>
      <w:r w:rsidRPr="000319F4">
        <w:t xml:space="preserve">, </w:t>
      </w:r>
      <w:r w:rsidR="004B6D9D" w:rsidRPr="00C172EF">
        <w:t>but both TRP panels are associated with the same closed-loop process,</w:t>
      </w:r>
      <w:r w:rsidR="004B6D9D">
        <w:rPr>
          <w:color w:val="FF0000"/>
        </w:rPr>
        <w:t xml:space="preserve"> </w:t>
      </w:r>
      <w:r w:rsidRPr="000319F4">
        <w:t xml:space="preserve">the closed-loop </w:t>
      </w:r>
      <w:r w:rsidR="004B6D9D">
        <w:t>process</w:t>
      </w:r>
      <w:r w:rsidRPr="000319F4">
        <w:t xml:space="preserve"> </w:t>
      </w:r>
      <w:r>
        <w:t>would need to</w:t>
      </w:r>
      <w:r w:rsidRPr="000319F4">
        <w:t xml:space="preserve"> reset accumulation</w:t>
      </w:r>
      <w:r>
        <w:t xml:space="preserve">. </w:t>
      </w:r>
    </w:p>
    <w:p w14:paraId="27D70A13" w14:textId="60C39EB0" w:rsidR="00541F33" w:rsidRDefault="00541F33" w:rsidP="007B7962">
      <w:pPr>
        <w:jc w:val="both"/>
        <w:rPr>
          <w:i/>
        </w:rPr>
      </w:pPr>
      <w:r w:rsidRPr="00E1774C">
        <w:rPr>
          <w:b/>
          <w:i/>
          <w:u w:val="single"/>
        </w:rPr>
        <w:t xml:space="preserve">Proposal </w:t>
      </w:r>
      <w:r w:rsidR="007F73A3">
        <w:rPr>
          <w:b/>
          <w:i/>
          <w:u w:val="single"/>
        </w:rPr>
        <w:t>7</w:t>
      </w:r>
      <w:r w:rsidRPr="00E1774C">
        <w:rPr>
          <w:i/>
          <w:u w:val="single"/>
        </w:rPr>
        <w:t>:</w:t>
      </w:r>
      <w:r>
        <w:rPr>
          <w:i/>
        </w:rPr>
        <w:t xml:space="preserve"> Support </w:t>
      </w:r>
      <w:r>
        <w:rPr>
          <w:i/>
          <w:iCs/>
        </w:rPr>
        <w:t>reset</w:t>
      </w:r>
      <w:r w:rsidRPr="004A372D">
        <w:rPr>
          <w:i/>
          <w:iCs/>
        </w:rPr>
        <w:t xml:space="preserve"> </w:t>
      </w:r>
      <w:r>
        <w:rPr>
          <w:i/>
          <w:iCs/>
        </w:rPr>
        <w:t xml:space="preserve">of closed-loop </w:t>
      </w:r>
      <w:r w:rsidRPr="003862A0">
        <w:rPr>
          <w:i/>
          <w:iCs/>
        </w:rPr>
        <w:t>accumulation</w:t>
      </w:r>
      <w:r>
        <w:rPr>
          <w:i/>
          <w:iCs/>
        </w:rPr>
        <w:t xml:space="preserve"> </w:t>
      </w:r>
      <w:r w:rsidRPr="004A372D">
        <w:rPr>
          <w:i/>
          <w:iCs/>
        </w:rPr>
        <w:t xml:space="preserve">for the UE when switching between beams that </w:t>
      </w:r>
      <w:r w:rsidRPr="004A372D">
        <w:rPr>
          <w:i/>
        </w:rPr>
        <w:t>point to significantly different spatial directions such as with multiple TRP antenna panels</w:t>
      </w:r>
      <w:r w:rsidR="00BD36AA" w:rsidRPr="00C172EF">
        <w:t xml:space="preserve">, </w:t>
      </w:r>
      <w:r w:rsidR="00BD36AA" w:rsidRPr="007F73A3">
        <w:rPr>
          <w:i/>
        </w:rPr>
        <w:t>when both beams/panels correspond to the same closed-loop process</w:t>
      </w:r>
      <w:r w:rsidRPr="007F73A3">
        <w:rPr>
          <w:i/>
        </w:rPr>
        <w:t>.</w:t>
      </w:r>
    </w:p>
    <w:p w14:paraId="4356DC25" w14:textId="77777777" w:rsidR="00541F33" w:rsidRDefault="00541F33" w:rsidP="00541F33">
      <w:pPr>
        <w:jc w:val="both"/>
      </w:pPr>
      <w:r>
        <w:t>When a new gNB beam gets added to the set of active gNB beams for a UE, and that gNB beam has significantly different spatial characteristic and/or quasi-co-location (QCL) assumptions with all of the existing active gNB beams for that UE, then the accumulation of only the closed-loop power control linked to the new gNB beam (and therefore all other gNB beams sharing that closed-loop) should be reset.</w:t>
      </w:r>
    </w:p>
    <w:p w14:paraId="76485792" w14:textId="77777777" w:rsidR="00541F33" w:rsidRDefault="00541F33" w:rsidP="00541F33">
      <w:pPr>
        <w:jc w:val="both"/>
      </w:pPr>
      <w:r>
        <w:t>W</w:t>
      </w:r>
      <w:r w:rsidRPr="00417910">
        <w:t xml:space="preserve">hen </w:t>
      </w:r>
      <w:r>
        <w:t xml:space="preserve">some of </w:t>
      </w:r>
      <w:r w:rsidRPr="00417910">
        <w:t xml:space="preserve">the spatial relations in the </w:t>
      </w:r>
      <w:r>
        <w:t>Transmission Configuration Indicator (</w:t>
      </w:r>
      <w:r w:rsidRPr="00417910">
        <w:t>TCI</w:t>
      </w:r>
      <w:r>
        <w:t>)</w:t>
      </w:r>
      <w:r w:rsidRPr="00417910">
        <w:t xml:space="preserve"> gets updated</w:t>
      </w:r>
      <w:r>
        <w:t>/reconfigured, for all PUSCH/SRS/PUCCH transmissions that correspond to or associate with that TCI update/reconfiguration, if any at all, the accumulation status of the closed-loop power control process after the TCI update may reset or may inherit the current/last accumulation status before TCI update/reconfiguration, depending on the similarity or difference of the spatial relations of the reference signals (RSs) before and after the TCI update. However, for any other PUSCH/SRS/PUCCH transmissions that do not correspond to or associate with that TCI update/reconfiguration, the accumulation status of the closed-loop power control process should not reset after the TCI update/reconfiguration, i.e., should carry over the current/last status of the CL-PC process before TCI update/reconfiguration.</w:t>
      </w:r>
    </w:p>
    <w:p w14:paraId="50547DF7" w14:textId="316A46CA" w:rsidR="00541F33" w:rsidRPr="007F73A3" w:rsidRDefault="00541F33" w:rsidP="007B7962">
      <w:pPr>
        <w:jc w:val="both"/>
        <w:rPr>
          <w:i/>
        </w:rPr>
      </w:pPr>
      <w:r w:rsidRPr="007F73A3">
        <w:rPr>
          <w:b/>
          <w:i/>
          <w:u w:val="single"/>
        </w:rPr>
        <w:t xml:space="preserve">Proposal </w:t>
      </w:r>
      <w:r w:rsidR="007F73A3">
        <w:rPr>
          <w:b/>
          <w:i/>
          <w:u w:val="single"/>
        </w:rPr>
        <w:t>8</w:t>
      </w:r>
      <w:r w:rsidRPr="007F73A3">
        <w:rPr>
          <w:i/>
          <w:u w:val="single"/>
        </w:rPr>
        <w:t>:</w:t>
      </w:r>
      <w:r w:rsidRPr="007F73A3">
        <w:rPr>
          <w:i/>
        </w:rPr>
        <w:t xml:space="preserve"> In the event of any or all of the following: (i) addition of a new gNB beam to the set of active beams for a UE; (ii</w:t>
      </w:r>
      <w:r w:rsidR="007F73A3">
        <w:rPr>
          <w:i/>
        </w:rPr>
        <w:t>)</w:t>
      </w:r>
      <w:r w:rsidRPr="007F73A3">
        <w:rPr>
          <w:i/>
        </w:rPr>
        <w:t xml:space="preserve"> reconfiguration of </w:t>
      </w:r>
      <w:r w:rsidR="00104AD1" w:rsidRPr="007F73A3">
        <w:rPr>
          <w:i/>
        </w:rPr>
        <w:t>the mappings between SRI/</w:t>
      </w:r>
      <w:r w:rsidRPr="007F73A3">
        <w:rPr>
          <w:i/>
        </w:rPr>
        <w:t>TCI</w:t>
      </w:r>
      <w:r w:rsidR="004B23BB" w:rsidRPr="007F73A3">
        <w:rPr>
          <w:i/>
        </w:rPr>
        <w:t>/PUCCH-SpatialRelationInfo</w:t>
      </w:r>
      <w:r w:rsidRPr="007F73A3">
        <w:rPr>
          <w:i/>
        </w:rPr>
        <w:t xml:space="preserve"> </w:t>
      </w:r>
      <w:r w:rsidR="00104AD1" w:rsidRPr="007F73A3">
        <w:rPr>
          <w:i/>
        </w:rPr>
        <w:t>and PC parameters</w:t>
      </w:r>
      <w:r w:rsidRPr="007F73A3">
        <w:rPr>
          <w:i/>
        </w:rPr>
        <w:t xml:space="preserve">; the </w:t>
      </w:r>
      <w:r w:rsidR="007F73A3">
        <w:rPr>
          <w:i/>
        </w:rPr>
        <w:t xml:space="preserve">corresponding </w:t>
      </w:r>
      <w:r w:rsidRPr="007F73A3">
        <w:rPr>
          <w:i/>
        </w:rPr>
        <w:t xml:space="preserve">closed-loop power control process will be impacted, i.e., reset or carry over depending upon the spatial relations before and after the beam addition and/or </w:t>
      </w:r>
      <w:r w:rsidR="00104AD1" w:rsidRPr="007F73A3">
        <w:rPr>
          <w:i/>
        </w:rPr>
        <w:t>SRI/</w:t>
      </w:r>
      <w:r w:rsidRPr="007F73A3">
        <w:rPr>
          <w:i/>
        </w:rPr>
        <w:t>TCI</w:t>
      </w:r>
      <w:r w:rsidR="004B23BB" w:rsidRPr="007F73A3">
        <w:rPr>
          <w:i/>
        </w:rPr>
        <w:t>/PUCCH-SpatialRelationInfo</w:t>
      </w:r>
      <w:r w:rsidRPr="007F73A3">
        <w:rPr>
          <w:i/>
        </w:rPr>
        <w:t xml:space="preserve"> reconfiguration. </w:t>
      </w:r>
    </w:p>
    <w:p w14:paraId="056633FE" w14:textId="3310BEB4" w:rsidR="00541F33" w:rsidRDefault="00C03A02" w:rsidP="00C03A02">
      <w:pPr>
        <w:pStyle w:val="Heading1"/>
        <w:ind w:left="0" w:firstLine="0"/>
        <w:rPr>
          <w:bCs/>
        </w:rPr>
      </w:pPr>
      <w:r>
        <w:rPr>
          <w:bCs/>
        </w:rPr>
        <w:lastRenderedPageBreak/>
        <w:t xml:space="preserve">Further Details on </w:t>
      </w:r>
      <w:r w:rsidR="00541F33">
        <w:rPr>
          <w:bCs/>
        </w:rPr>
        <w:t>PHR</w:t>
      </w:r>
    </w:p>
    <w:p w14:paraId="0922EE46" w14:textId="0CFFACBE" w:rsidR="00E84ACF" w:rsidRDefault="00E84ACF" w:rsidP="00E84ACF">
      <w:pPr>
        <w:pStyle w:val="Heading2"/>
      </w:pPr>
      <w:r>
        <w:t>PC Parameter Selection for Virtual PUSCH PHR</w:t>
      </w:r>
    </w:p>
    <w:p w14:paraId="4916A935" w14:textId="00E4FEE1" w:rsidR="00541F33" w:rsidRDefault="00245B83" w:rsidP="00DF7B2A">
      <w:pPr>
        <w:jc w:val="both"/>
      </w:pPr>
      <w:r>
        <w:t xml:space="preserve">Virtual PHR for PUSCH was agreed in RAN1 AH-1801 </w:t>
      </w:r>
      <w:r w:rsidR="00C03A02">
        <w:t xml:space="preserve">[1] </w:t>
      </w:r>
      <w:r>
        <w:t>in the case of CA/DC setting, but the details about which PC parameter set</w:t>
      </w:r>
      <w:r w:rsidR="00411BBF">
        <w:t xml:space="preserve"> to use for virtual PHR was left for further study. </w:t>
      </w:r>
    </w:p>
    <w:p w14:paraId="3DE91DAA" w14:textId="77777777" w:rsidR="00411BBF" w:rsidRPr="00E83784" w:rsidRDefault="00411BBF" w:rsidP="00411BBF">
      <w:r>
        <w:rPr>
          <w:noProof/>
          <w:lang w:val="en-US"/>
        </w:rPr>
        <mc:AlternateContent>
          <mc:Choice Requires="wps">
            <w:drawing>
              <wp:inline distT="0" distB="0" distL="0" distR="0" wp14:anchorId="3323E344" wp14:editId="1B908350">
                <wp:extent cx="5559425" cy="1883228"/>
                <wp:effectExtent l="0" t="0" r="22225" b="22225"/>
                <wp:docPr id="15" name="Text Box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425" cy="1883228"/>
                        </a:xfrm>
                        <a:prstGeom prst="rect">
                          <a:avLst/>
                        </a:prstGeom>
                        <a:solidFill>
                          <a:srgbClr val="FFFFFF"/>
                        </a:solidFill>
                        <a:ln w="9525">
                          <a:solidFill>
                            <a:srgbClr val="000000"/>
                          </a:solidFill>
                          <a:miter lim="800000"/>
                          <a:headEnd/>
                          <a:tailEnd/>
                        </a:ln>
                      </wps:spPr>
                      <wps:txbx>
                        <w:txbxContent>
                          <w:p w14:paraId="52E0BFF7" w14:textId="6C61F8E4" w:rsidR="00B6371A" w:rsidRPr="00844AC2" w:rsidRDefault="00B6371A" w:rsidP="00411BBF">
                            <w:pPr>
                              <w:rPr>
                                <w:b/>
                                <w:bCs/>
                              </w:rPr>
                            </w:pPr>
                            <w:r w:rsidRPr="00844AC2">
                              <w:rPr>
                                <w:b/>
                                <w:bCs/>
                              </w:rPr>
                              <w:t>From RAN1</w:t>
                            </w:r>
                            <w:r>
                              <w:rPr>
                                <w:b/>
                                <w:bCs/>
                              </w:rPr>
                              <w:t xml:space="preserve"> AH-1801 </w:t>
                            </w:r>
                            <w:r w:rsidRPr="00844AC2">
                              <w:rPr>
                                <w:b/>
                                <w:bCs/>
                              </w:rPr>
                              <w:t>Chairman Notes</w:t>
                            </w:r>
                            <w:r>
                              <w:rPr>
                                <w:b/>
                                <w:bCs/>
                              </w:rPr>
                              <w:t xml:space="preserve"> [1]</w:t>
                            </w:r>
                            <w:r w:rsidRPr="00844AC2">
                              <w:rPr>
                                <w:b/>
                                <w:bCs/>
                              </w:rPr>
                              <w:t>:</w:t>
                            </w:r>
                          </w:p>
                          <w:p w14:paraId="133158B3" w14:textId="6CF9C113" w:rsidR="00B6371A" w:rsidRPr="00411BBF" w:rsidRDefault="00B6371A" w:rsidP="00411BBF">
                            <w:pPr>
                              <w:rPr>
                                <w:bCs/>
                                <w:highlight w:val="green"/>
                                <w:lang w:val="en-US"/>
                              </w:rPr>
                            </w:pPr>
                            <w:r w:rsidRPr="00411BBF">
                              <w:rPr>
                                <w:bCs/>
                                <w:highlight w:val="green"/>
                                <w:lang w:val="en-US"/>
                              </w:rPr>
                              <w:t>Agreement:</w:t>
                            </w:r>
                          </w:p>
                          <w:p w14:paraId="4CD89DA8" w14:textId="77777777" w:rsidR="00B6371A" w:rsidRPr="008F1E71" w:rsidRDefault="00B6371A" w:rsidP="00411BBF">
                            <w:pPr>
                              <w:rPr>
                                <w:lang w:eastAsia="x-none"/>
                              </w:rPr>
                            </w:pPr>
                            <w:r w:rsidRPr="008F1E71">
                              <w:rPr>
                                <w:lang w:eastAsia="x-none"/>
                              </w:rPr>
                              <w:t>Virtual PHR for non-scheduled serving cell for CA/DC case is supported</w:t>
                            </w:r>
                          </w:p>
                          <w:p w14:paraId="2D2505FB" w14:textId="77777777" w:rsidR="00B6371A" w:rsidRDefault="00B6371A" w:rsidP="00411BBF">
                            <w:pPr>
                              <w:numPr>
                                <w:ilvl w:val="1"/>
                                <w:numId w:val="48"/>
                              </w:numPr>
                              <w:tabs>
                                <w:tab w:val="clear" w:pos="1440"/>
                                <w:tab w:val="num" w:pos="360"/>
                              </w:tabs>
                              <w:spacing w:after="0"/>
                              <w:ind w:left="360"/>
                              <w:rPr>
                                <w:lang w:eastAsia="x-none"/>
                              </w:rPr>
                            </w:pPr>
                            <w:r w:rsidRPr="008F1E71">
                              <w:rPr>
                                <w:lang w:eastAsia="x-none"/>
                              </w:rPr>
                              <w:t xml:space="preserve">For PHR reporting for multiple cells, if </w:t>
                            </w:r>
                            <w:r w:rsidRPr="008F1E71">
                              <w:rPr>
                                <w:lang w:val="x-none" w:eastAsia="x-none"/>
                              </w:rPr>
                              <w:t xml:space="preserve">the UE does not transmit </w:t>
                            </w:r>
                            <w:r w:rsidRPr="008F1E71">
                              <w:rPr>
                                <w:lang w:eastAsia="x-none"/>
                              </w:rPr>
                              <w:t>PUSCH</w:t>
                            </w:r>
                            <w:r w:rsidRPr="008F1E71">
                              <w:rPr>
                                <w:lang w:val="x-none" w:eastAsia="x-none"/>
                              </w:rPr>
                              <w:t xml:space="preserve"> in </w:t>
                            </w:r>
                            <w:r w:rsidRPr="008F1E71">
                              <w:rPr>
                                <w:lang w:eastAsia="x-none"/>
                              </w:rPr>
                              <w:t>PUSCH</w:t>
                            </w:r>
                            <w:r w:rsidRPr="008F1E71">
                              <w:rPr>
                                <w:lang w:val="x-none" w:eastAsia="x-none"/>
                              </w:rPr>
                              <w:t xml:space="preserve"> transmission period </w:t>
                            </w:r>
                            <w:r w:rsidRPr="008F1E71">
                              <w:rPr>
                                <w:i/>
                                <w:iCs/>
                                <w:lang w:eastAsia="x-none"/>
                              </w:rPr>
                              <w:t>i</w:t>
                            </w:r>
                            <w:r w:rsidRPr="008F1E71">
                              <w:rPr>
                                <w:lang w:val="x-none" w:eastAsia="x-none"/>
                              </w:rPr>
                              <w:t xml:space="preserve"> for carrier </w:t>
                            </w:r>
                            <w:r w:rsidRPr="008F1E71">
                              <w:rPr>
                                <w:i/>
                                <w:iCs/>
                                <w:lang w:eastAsia="x-none"/>
                              </w:rPr>
                              <w:t>f</w:t>
                            </w:r>
                            <w:r w:rsidRPr="008F1E71">
                              <w:rPr>
                                <w:lang w:eastAsia="x-none"/>
                              </w:rPr>
                              <w:t xml:space="preserve"> of </w:t>
                            </w:r>
                            <w:r w:rsidRPr="008F1E71">
                              <w:rPr>
                                <w:lang w:val="x-none" w:eastAsia="x-none"/>
                              </w:rPr>
                              <w:t xml:space="preserve">serving cell </w:t>
                            </w:r>
                            <w:r w:rsidRPr="008F1E71">
                              <w:rPr>
                                <w:i/>
                                <w:iCs/>
                                <w:lang w:eastAsia="x-none"/>
                              </w:rPr>
                              <w:t>c</w:t>
                            </w:r>
                            <w:r w:rsidRPr="008F1E71">
                              <w:rPr>
                                <w:lang w:val="x-none" w:eastAsia="x-none"/>
                              </w:rPr>
                              <w:t xml:space="preserve">, </w:t>
                            </w:r>
                            <w:r w:rsidRPr="008F1E71">
                              <w:rPr>
                                <w:lang w:eastAsia="x-none"/>
                              </w:rPr>
                              <w:t xml:space="preserve">the UE computes </w:t>
                            </w:r>
                            <w:r w:rsidRPr="008F1E71">
                              <w:rPr>
                                <w:lang w:val="x-none" w:eastAsia="x-none"/>
                              </w:rPr>
                              <w:t xml:space="preserve">power headroom for a Type </w:t>
                            </w:r>
                            <w:r w:rsidRPr="008F1E71">
                              <w:rPr>
                                <w:lang w:eastAsia="x-none"/>
                              </w:rPr>
                              <w:t>1</w:t>
                            </w:r>
                            <w:r w:rsidRPr="008F1E71">
                              <w:rPr>
                                <w:lang w:val="x-none" w:eastAsia="x-none"/>
                              </w:rPr>
                              <w:t xml:space="preserve"> report </w:t>
                            </w:r>
                            <w:r w:rsidRPr="008F1E71">
                              <w:rPr>
                                <w:lang w:eastAsia="x-none"/>
                              </w:rPr>
                              <w:t xml:space="preserve">as </w:t>
                            </w:r>
                          </w:p>
                          <w:p w14:paraId="006340C2" w14:textId="77777777" w:rsidR="00B6371A" w:rsidRPr="008F1E71" w:rsidRDefault="00B6371A" w:rsidP="00411BBF">
                            <w:pPr>
                              <w:ind w:left="360"/>
                              <w:rPr>
                                <w:lang w:eastAsia="x-none"/>
                              </w:rPr>
                            </w:pPr>
                            <w:r>
                              <w:rPr>
                                <w:noProof/>
                                <w:lang w:val="en-US"/>
                              </w:rPr>
                              <w:drawing>
                                <wp:inline distT="0" distB="0" distL="0" distR="0" wp14:anchorId="4D69FE6F" wp14:editId="7652D1F9">
                                  <wp:extent cx="5015230" cy="266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5230" cy="266700"/>
                                          </a:xfrm>
                                          <a:prstGeom prst="rect">
                                            <a:avLst/>
                                          </a:prstGeom>
                                          <a:noFill/>
                                          <a:ln>
                                            <a:noFill/>
                                          </a:ln>
                                        </pic:spPr>
                                      </pic:pic>
                                    </a:graphicData>
                                  </a:graphic>
                                </wp:inline>
                              </w:drawing>
                            </w:r>
                          </w:p>
                          <w:p w14:paraId="7AB80C65" w14:textId="77777777" w:rsidR="00B6371A" w:rsidRPr="008F1E71" w:rsidRDefault="00B6371A" w:rsidP="00411BBF">
                            <w:pPr>
                              <w:numPr>
                                <w:ilvl w:val="2"/>
                                <w:numId w:val="48"/>
                              </w:numPr>
                              <w:tabs>
                                <w:tab w:val="clear" w:pos="2160"/>
                                <w:tab w:val="num" w:pos="1080"/>
                              </w:tabs>
                              <w:spacing w:after="0"/>
                              <w:ind w:left="1080"/>
                              <w:rPr>
                                <w:lang w:eastAsia="x-none"/>
                              </w:rPr>
                            </w:pPr>
                            <w:r w:rsidRPr="008F1E71">
                              <w:rPr>
                                <w:lang w:eastAsia="x-none"/>
                              </w:rPr>
                              <w:t xml:space="preserve">MPR=0dB, A-MPR=0dB, P-MPR=0dB for serving carrier </w:t>
                            </w:r>
                            <w:r w:rsidRPr="008F1E71">
                              <w:rPr>
                                <w:i/>
                                <w:iCs/>
                                <w:lang w:eastAsia="x-none"/>
                              </w:rPr>
                              <w:t>f</w:t>
                            </w:r>
                            <w:r w:rsidRPr="008F1E71">
                              <w:rPr>
                                <w:lang w:eastAsia="x-none"/>
                              </w:rPr>
                              <w:t xml:space="preserve"> of cell </w:t>
                            </w:r>
                            <w:r w:rsidRPr="008F1E71">
                              <w:rPr>
                                <w:i/>
                                <w:iCs/>
                                <w:lang w:eastAsia="x-none"/>
                              </w:rPr>
                              <w:t>c</w:t>
                            </w:r>
                          </w:p>
                          <w:p w14:paraId="01C06832" w14:textId="77777777" w:rsidR="00B6371A" w:rsidRPr="008F1E71" w:rsidRDefault="00B6371A" w:rsidP="00411BBF">
                            <w:pPr>
                              <w:numPr>
                                <w:ilvl w:val="2"/>
                                <w:numId w:val="48"/>
                              </w:numPr>
                              <w:tabs>
                                <w:tab w:val="clear" w:pos="2160"/>
                                <w:tab w:val="num" w:pos="1080"/>
                              </w:tabs>
                              <w:spacing w:after="0"/>
                              <w:ind w:left="1080"/>
                              <w:rPr>
                                <w:lang w:eastAsia="x-none"/>
                              </w:rPr>
                            </w:pPr>
                            <w:r w:rsidRPr="008F1E71">
                              <w:rPr>
                                <w:lang w:eastAsia="x-none"/>
                              </w:rPr>
                              <w:t xml:space="preserve">FFS: how to determine </w:t>
                            </w:r>
                            <w:r w:rsidRPr="007A2423">
                              <w:rPr>
                                <w:i/>
                                <w:lang w:eastAsia="x-none"/>
                              </w:rPr>
                              <w:t>j</w:t>
                            </w:r>
                            <w:r>
                              <w:rPr>
                                <w:lang w:eastAsia="x-none"/>
                              </w:rPr>
                              <w:t xml:space="preserve">, </w:t>
                            </w:r>
                            <w:r w:rsidRPr="008F1E71">
                              <w:rPr>
                                <w:i/>
                                <w:iCs/>
                                <w:lang w:eastAsia="x-none"/>
                              </w:rPr>
                              <w:t>q</w:t>
                            </w:r>
                            <w:r w:rsidRPr="008F1E71">
                              <w:rPr>
                                <w:lang w:eastAsia="x-none"/>
                              </w:rPr>
                              <w:t xml:space="preserve">_d and </w:t>
                            </w:r>
                            <w:r w:rsidRPr="008F1E71">
                              <w:rPr>
                                <w:i/>
                                <w:iCs/>
                                <w:lang w:eastAsia="x-none"/>
                              </w:rPr>
                              <w:t>l</w:t>
                            </w:r>
                          </w:p>
                          <w:p w14:paraId="44FA2E8D" w14:textId="77777777" w:rsidR="00B6371A" w:rsidRPr="000B01BC" w:rsidRDefault="00B6371A" w:rsidP="00411BBF">
                            <w:pPr>
                              <w:rPr>
                                <w:b/>
                                <w:highlight w:val="green"/>
                                <w:lang w:val="en-US"/>
                              </w:rPr>
                            </w:pPr>
                          </w:p>
                        </w:txbxContent>
                      </wps:txbx>
                      <wps:bodyPr rot="0" vert="horz" wrap="square" lIns="91440" tIns="45720" rIns="91440" bIns="45720" anchor="t" anchorCtr="0" upright="1">
                        <a:noAutofit/>
                      </wps:bodyPr>
                    </wps:wsp>
                  </a:graphicData>
                </a:graphic>
              </wp:inline>
            </w:drawing>
          </mc:Choice>
          <mc:Fallback>
            <w:pict>
              <v:shape w14:anchorId="3323E344" id="_x0000_s1028" type="#_x0000_t202" style="width:437.75pt;height:1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">
                <v:textbox>
                  <w:txbxContent>
                    <w:p w14:paraId="52E0BFF7" w14:textId="6C61F8E4" w:rsidR="00B6371A" w:rsidRPr="00844AC2" w:rsidRDefault="00B6371A" w:rsidP="00411BBF">
                      <w:pPr>
                        <w:rPr>
                          <w:b/>
                          <w:bCs/>
                        </w:rPr>
                      </w:pPr>
                      <w:r w:rsidRPr="00844AC2">
                        <w:rPr>
                          <w:b/>
                          <w:bCs/>
                        </w:rPr>
                        <w:t>From RAN1</w:t>
                      </w:r>
                      <w:r>
                        <w:rPr>
                          <w:b/>
                          <w:bCs/>
                        </w:rPr>
                        <w:t xml:space="preserve"> AH-1801 </w:t>
                      </w:r>
                      <w:r w:rsidRPr="00844AC2">
                        <w:rPr>
                          <w:b/>
                          <w:bCs/>
                        </w:rPr>
                        <w:t>Chairman Notes</w:t>
                      </w:r>
                      <w:r>
                        <w:rPr>
                          <w:b/>
                          <w:bCs/>
                        </w:rPr>
                        <w:t xml:space="preserve"> [1]</w:t>
                      </w:r>
                      <w:r w:rsidRPr="00844AC2">
                        <w:rPr>
                          <w:b/>
                          <w:bCs/>
                        </w:rPr>
                        <w:t>:</w:t>
                      </w:r>
                    </w:p>
                    <w:p w14:paraId="133158B3" w14:textId="6CF9C113" w:rsidR="00B6371A" w:rsidRPr="00411BBF" w:rsidRDefault="00B6371A" w:rsidP="00411BBF">
                      <w:pPr>
                        <w:rPr>
                          <w:bCs/>
                          <w:highlight w:val="green"/>
                          <w:lang w:val="en-US"/>
                        </w:rPr>
                      </w:pPr>
                      <w:r w:rsidRPr="00411BBF">
                        <w:rPr>
                          <w:bCs/>
                          <w:highlight w:val="green"/>
                          <w:lang w:val="en-US"/>
                        </w:rPr>
                        <w:t>Agreement:</w:t>
                      </w:r>
                    </w:p>
                    <w:p w14:paraId="4CD89DA8" w14:textId="77777777" w:rsidR="00B6371A" w:rsidRPr="008F1E71" w:rsidRDefault="00B6371A" w:rsidP="00411BBF">
                      <w:pPr>
                        <w:rPr>
                          <w:lang w:eastAsia="x-none"/>
                        </w:rPr>
                      </w:pPr>
                      <w:r w:rsidRPr="008F1E71">
                        <w:rPr>
                          <w:lang w:eastAsia="x-none"/>
                        </w:rPr>
                        <w:t>Virtual PHR for non-scheduled serving cell for CA/DC case is supported</w:t>
                      </w:r>
                    </w:p>
                    <w:p w14:paraId="2D2505FB" w14:textId="77777777" w:rsidR="00B6371A" w:rsidRDefault="00B6371A" w:rsidP="00411BBF">
                      <w:pPr>
                        <w:numPr>
                          <w:ilvl w:val="1"/>
                          <w:numId w:val="48"/>
                        </w:numPr>
                        <w:tabs>
                          <w:tab w:val="clear" w:pos="1440"/>
                          <w:tab w:val="num" w:pos="360"/>
                        </w:tabs>
                        <w:spacing w:after="0"/>
                        <w:ind w:left="360"/>
                        <w:rPr>
                          <w:lang w:eastAsia="x-none"/>
                        </w:rPr>
                      </w:pPr>
                      <w:r w:rsidRPr="008F1E71">
                        <w:rPr>
                          <w:lang w:eastAsia="x-none"/>
                        </w:rPr>
                        <w:t xml:space="preserve">For PHR reporting for multiple cells, if </w:t>
                      </w:r>
                      <w:r w:rsidRPr="008F1E71">
                        <w:rPr>
                          <w:lang w:val="x-none" w:eastAsia="x-none"/>
                        </w:rPr>
                        <w:t xml:space="preserve">the UE does not transmit </w:t>
                      </w:r>
                      <w:r w:rsidRPr="008F1E71">
                        <w:rPr>
                          <w:lang w:eastAsia="x-none"/>
                        </w:rPr>
                        <w:t>PUSCH</w:t>
                      </w:r>
                      <w:r w:rsidRPr="008F1E71">
                        <w:rPr>
                          <w:lang w:val="x-none" w:eastAsia="x-none"/>
                        </w:rPr>
                        <w:t xml:space="preserve"> in </w:t>
                      </w:r>
                      <w:r w:rsidRPr="008F1E71">
                        <w:rPr>
                          <w:lang w:eastAsia="x-none"/>
                        </w:rPr>
                        <w:t>PUSCH</w:t>
                      </w:r>
                      <w:r w:rsidRPr="008F1E71">
                        <w:rPr>
                          <w:lang w:val="x-none" w:eastAsia="x-none"/>
                        </w:rPr>
                        <w:t xml:space="preserve"> transmission period </w:t>
                      </w:r>
                      <w:r w:rsidRPr="008F1E71">
                        <w:rPr>
                          <w:i/>
                          <w:iCs/>
                          <w:lang w:eastAsia="x-none"/>
                        </w:rPr>
                        <w:t>i</w:t>
                      </w:r>
                      <w:r w:rsidRPr="008F1E71">
                        <w:rPr>
                          <w:lang w:val="x-none" w:eastAsia="x-none"/>
                        </w:rPr>
                        <w:t xml:space="preserve"> for carrier </w:t>
                      </w:r>
                      <w:r w:rsidRPr="008F1E71">
                        <w:rPr>
                          <w:i/>
                          <w:iCs/>
                          <w:lang w:eastAsia="x-none"/>
                        </w:rPr>
                        <w:t>f</w:t>
                      </w:r>
                      <w:r w:rsidRPr="008F1E71">
                        <w:rPr>
                          <w:lang w:eastAsia="x-none"/>
                        </w:rPr>
                        <w:t xml:space="preserve"> of </w:t>
                      </w:r>
                      <w:r w:rsidRPr="008F1E71">
                        <w:rPr>
                          <w:lang w:val="x-none" w:eastAsia="x-none"/>
                        </w:rPr>
                        <w:t xml:space="preserve">serving cell </w:t>
                      </w:r>
                      <w:r w:rsidRPr="008F1E71">
                        <w:rPr>
                          <w:i/>
                          <w:iCs/>
                          <w:lang w:eastAsia="x-none"/>
                        </w:rPr>
                        <w:t>c</w:t>
                      </w:r>
                      <w:r w:rsidRPr="008F1E71">
                        <w:rPr>
                          <w:lang w:val="x-none" w:eastAsia="x-none"/>
                        </w:rPr>
                        <w:t xml:space="preserve">, </w:t>
                      </w:r>
                      <w:r w:rsidRPr="008F1E71">
                        <w:rPr>
                          <w:lang w:eastAsia="x-none"/>
                        </w:rPr>
                        <w:t xml:space="preserve">the UE computes </w:t>
                      </w:r>
                      <w:r w:rsidRPr="008F1E71">
                        <w:rPr>
                          <w:lang w:val="x-none" w:eastAsia="x-none"/>
                        </w:rPr>
                        <w:t xml:space="preserve">power headroom for a Type </w:t>
                      </w:r>
                      <w:r w:rsidRPr="008F1E71">
                        <w:rPr>
                          <w:lang w:eastAsia="x-none"/>
                        </w:rPr>
                        <w:t>1</w:t>
                      </w:r>
                      <w:r w:rsidRPr="008F1E71">
                        <w:rPr>
                          <w:lang w:val="x-none" w:eastAsia="x-none"/>
                        </w:rPr>
                        <w:t xml:space="preserve"> report </w:t>
                      </w:r>
                      <w:r w:rsidRPr="008F1E71">
                        <w:rPr>
                          <w:lang w:eastAsia="x-none"/>
                        </w:rPr>
                        <w:t xml:space="preserve">as </w:t>
                      </w:r>
                    </w:p>
                    <w:p w14:paraId="006340C2" w14:textId="77777777" w:rsidR="00B6371A" w:rsidRPr="008F1E71" w:rsidRDefault="00B6371A" w:rsidP="00411BBF">
                      <w:pPr>
                        <w:ind w:left="360"/>
                        <w:rPr>
                          <w:lang w:eastAsia="x-none"/>
                        </w:rPr>
                      </w:pPr>
                      <w:r>
                        <w:rPr>
                          <w:noProof/>
                          <w:lang w:val="en-US"/>
                        </w:rPr>
                        <w:drawing>
                          <wp:inline distT="0" distB="0" distL="0" distR="0" wp14:anchorId="4D69FE6F" wp14:editId="7652D1F9">
                            <wp:extent cx="5015230" cy="266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15230" cy="266700"/>
                                    </a:xfrm>
                                    <a:prstGeom prst="rect">
                                      <a:avLst/>
                                    </a:prstGeom>
                                    <a:noFill/>
                                    <a:ln>
                                      <a:noFill/>
                                    </a:ln>
                                  </pic:spPr>
                                </pic:pic>
                              </a:graphicData>
                            </a:graphic>
                          </wp:inline>
                        </w:drawing>
                      </w:r>
                    </w:p>
                    <w:p w14:paraId="7AB80C65" w14:textId="77777777" w:rsidR="00B6371A" w:rsidRPr="008F1E71" w:rsidRDefault="00B6371A" w:rsidP="00411BBF">
                      <w:pPr>
                        <w:numPr>
                          <w:ilvl w:val="2"/>
                          <w:numId w:val="48"/>
                        </w:numPr>
                        <w:tabs>
                          <w:tab w:val="clear" w:pos="2160"/>
                          <w:tab w:val="num" w:pos="1080"/>
                        </w:tabs>
                        <w:spacing w:after="0"/>
                        <w:ind w:left="1080"/>
                        <w:rPr>
                          <w:lang w:eastAsia="x-none"/>
                        </w:rPr>
                      </w:pPr>
                      <w:r w:rsidRPr="008F1E71">
                        <w:rPr>
                          <w:lang w:eastAsia="x-none"/>
                        </w:rPr>
                        <w:t xml:space="preserve">MPR=0dB, A-MPR=0dB, P-MPR=0dB for serving carrier </w:t>
                      </w:r>
                      <w:r w:rsidRPr="008F1E71">
                        <w:rPr>
                          <w:i/>
                          <w:iCs/>
                          <w:lang w:eastAsia="x-none"/>
                        </w:rPr>
                        <w:t>f</w:t>
                      </w:r>
                      <w:r w:rsidRPr="008F1E71">
                        <w:rPr>
                          <w:lang w:eastAsia="x-none"/>
                        </w:rPr>
                        <w:t xml:space="preserve"> of cell </w:t>
                      </w:r>
                      <w:r w:rsidRPr="008F1E71">
                        <w:rPr>
                          <w:i/>
                          <w:iCs/>
                          <w:lang w:eastAsia="x-none"/>
                        </w:rPr>
                        <w:t>c</w:t>
                      </w:r>
                    </w:p>
                    <w:p w14:paraId="01C06832" w14:textId="77777777" w:rsidR="00B6371A" w:rsidRPr="008F1E71" w:rsidRDefault="00B6371A" w:rsidP="00411BBF">
                      <w:pPr>
                        <w:numPr>
                          <w:ilvl w:val="2"/>
                          <w:numId w:val="48"/>
                        </w:numPr>
                        <w:tabs>
                          <w:tab w:val="clear" w:pos="2160"/>
                          <w:tab w:val="num" w:pos="1080"/>
                        </w:tabs>
                        <w:spacing w:after="0"/>
                        <w:ind w:left="1080"/>
                        <w:rPr>
                          <w:lang w:eastAsia="x-none"/>
                        </w:rPr>
                      </w:pPr>
                      <w:r w:rsidRPr="008F1E71">
                        <w:rPr>
                          <w:lang w:eastAsia="x-none"/>
                        </w:rPr>
                        <w:t xml:space="preserve">FFS: how to determine </w:t>
                      </w:r>
                      <w:r w:rsidRPr="007A2423">
                        <w:rPr>
                          <w:i/>
                          <w:lang w:eastAsia="x-none"/>
                        </w:rPr>
                        <w:t>j</w:t>
                      </w:r>
                      <w:r>
                        <w:rPr>
                          <w:lang w:eastAsia="x-none"/>
                        </w:rPr>
                        <w:t xml:space="preserve">, </w:t>
                      </w:r>
                      <w:r w:rsidRPr="008F1E71">
                        <w:rPr>
                          <w:i/>
                          <w:iCs/>
                          <w:lang w:eastAsia="x-none"/>
                        </w:rPr>
                        <w:t>q</w:t>
                      </w:r>
                      <w:r w:rsidRPr="008F1E71">
                        <w:rPr>
                          <w:lang w:eastAsia="x-none"/>
                        </w:rPr>
                        <w:t xml:space="preserve">_d and </w:t>
                      </w:r>
                      <w:r w:rsidRPr="008F1E71">
                        <w:rPr>
                          <w:i/>
                          <w:iCs/>
                          <w:lang w:eastAsia="x-none"/>
                        </w:rPr>
                        <w:t>l</w:t>
                      </w:r>
                    </w:p>
                    <w:p w14:paraId="44FA2E8D" w14:textId="77777777" w:rsidR="00B6371A" w:rsidRPr="000B01BC" w:rsidRDefault="00B6371A" w:rsidP="00411BBF">
                      <w:pPr>
                        <w:rPr>
                          <w:b/>
                          <w:highlight w:val="green"/>
                          <w:lang w:val="en-US"/>
                        </w:rPr>
                      </w:pPr>
                    </w:p>
                  </w:txbxContent>
                </v:textbox>
                <w10:anchorlock/>
              </v:shape>
            </w:pict>
          </mc:Fallback>
        </mc:AlternateContent>
      </w:r>
    </w:p>
    <w:p w14:paraId="3DF413D8" w14:textId="77777777" w:rsidR="00922BB1" w:rsidRDefault="00922BB1" w:rsidP="00922BB1">
      <w:pPr>
        <w:jc w:val="both"/>
        <w:rPr>
          <w:lang w:val="en-US"/>
        </w:rPr>
      </w:pPr>
      <w:r>
        <w:rPr>
          <w:lang w:val="en-US"/>
        </w:rPr>
        <w:t>Multiple options for selection of the PUSCH PC parameter set for virtual PHR can be considered:</w:t>
      </w:r>
    </w:p>
    <w:p w14:paraId="57AA2680" w14:textId="27FF80F4" w:rsidR="00922BB1" w:rsidRPr="002D47ED" w:rsidRDefault="00922BB1" w:rsidP="00922BB1">
      <w:pPr>
        <w:pStyle w:val="ListParagraph"/>
        <w:numPr>
          <w:ilvl w:val="0"/>
          <w:numId w:val="49"/>
        </w:numPr>
        <w:jc w:val="both"/>
        <w:rPr>
          <w:sz w:val="20"/>
          <w:szCs w:val="20"/>
          <w:lang w:val="en-US"/>
        </w:rPr>
      </w:pPr>
      <w:r w:rsidRPr="00411BBF">
        <w:rPr>
          <w:sz w:val="20"/>
          <w:szCs w:val="20"/>
          <w:lang w:val="en-US"/>
        </w:rPr>
        <w:t xml:space="preserve">The PC parameter set </w:t>
      </w:r>
      <m:oMath>
        <m:r>
          <w:rPr>
            <w:rFonts w:ascii="Cambria Math" w:hAnsi="Cambria Math"/>
            <w:sz w:val="20"/>
            <w:szCs w:val="20"/>
          </w:rPr>
          <m:t>{j,</m:t>
        </m:r>
        <m:sSub>
          <m:sSubPr>
            <m:ctrlPr>
              <w:rPr>
                <w:rFonts w:ascii="Cambria Math" w:hAnsi="Cambria Math"/>
                <w:i/>
                <w:iCs/>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Pr="002D47ED">
        <w:rPr>
          <w:sz w:val="20"/>
          <w:szCs w:val="20"/>
        </w:rPr>
        <w:t xml:space="preserve"> </w:t>
      </w:r>
      <w:r w:rsidRPr="00411BBF">
        <w:rPr>
          <w:sz w:val="20"/>
          <w:szCs w:val="20"/>
        </w:rPr>
        <w:t>is fixed in the specification</w:t>
      </w:r>
      <w:r>
        <w:rPr>
          <w:sz w:val="20"/>
          <w:szCs w:val="20"/>
        </w:rPr>
        <w:t>, e.g., lowest index PC parameters</w:t>
      </w:r>
      <w:r w:rsidRPr="00411BBF">
        <w:rPr>
          <w:sz w:val="20"/>
          <w:szCs w:val="20"/>
        </w:rPr>
        <w:t>.</w:t>
      </w:r>
      <w:r>
        <w:rPr>
          <w:sz w:val="20"/>
          <w:szCs w:val="20"/>
        </w:rPr>
        <w:t xml:space="preserve"> </w:t>
      </w:r>
    </w:p>
    <w:p w14:paraId="3593DEF5" w14:textId="77777777" w:rsidR="00922BB1" w:rsidRPr="00411BBF" w:rsidRDefault="00922BB1" w:rsidP="00922BB1">
      <w:pPr>
        <w:pStyle w:val="ListParagraph"/>
        <w:numPr>
          <w:ilvl w:val="0"/>
          <w:numId w:val="49"/>
        </w:numPr>
        <w:jc w:val="both"/>
        <w:rPr>
          <w:sz w:val="20"/>
          <w:szCs w:val="20"/>
          <w:lang w:val="en-US"/>
        </w:rPr>
      </w:pPr>
      <w:r>
        <w:rPr>
          <w:sz w:val="20"/>
          <w:szCs w:val="20"/>
        </w:rPr>
        <w:t xml:space="preserve">The value of OL index </w:t>
      </w:r>
      <m:oMath>
        <m:r>
          <w:rPr>
            <w:rFonts w:ascii="Cambria Math" w:hAnsi="Cambria Math"/>
            <w:sz w:val="20"/>
            <w:szCs w:val="20"/>
          </w:rPr>
          <m:t>j</m:t>
        </m:r>
      </m:oMath>
      <w:r w:rsidRPr="00411BBF">
        <w:rPr>
          <w:sz w:val="20"/>
          <w:szCs w:val="20"/>
        </w:rPr>
        <w:t xml:space="preserve"> is fixed in the specification</w:t>
      </w:r>
      <w:r>
        <w:rPr>
          <w:sz w:val="20"/>
          <w:szCs w:val="20"/>
        </w:rPr>
        <w:t xml:space="preserve">, but the other indices </w:t>
      </w:r>
      <m:oMath>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Pr>
          <w:sz w:val="20"/>
          <w:szCs w:val="20"/>
        </w:rPr>
        <w:t xml:space="preserve"> are RRC configured. </w:t>
      </w:r>
    </w:p>
    <w:p w14:paraId="04DD2A69" w14:textId="77777777" w:rsidR="00922BB1" w:rsidRPr="00DF7B2A" w:rsidRDefault="00922BB1" w:rsidP="00922BB1">
      <w:pPr>
        <w:pStyle w:val="ListParagraph"/>
        <w:numPr>
          <w:ilvl w:val="0"/>
          <w:numId w:val="49"/>
        </w:numPr>
        <w:jc w:val="both"/>
        <w:rPr>
          <w:sz w:val="20"/>
          <w:szCs w:val="20"/>
          <w:lang w:val="en-US"/>
        </w:rPr>
      </w:pPr>
      <w:r w:rsidRPr="00411BBF">
        <w:rPr>
          <w:sz w:val="20"/>
          <w:szCs w:val="20"/>
          <w:lang w:val="en-US"/>
        </w:rPr>
        <w:t xml:space="preserve">The PC parameter set </w:t>
      </w:r>
      <m:oMath>
        <m:r>
          <w:rPr>
            <w:rFonts w:ascii="Cambria Math" w:hAnsi="Cambria Math"/>
            <w:sz w:val="20"/>
            <w:szCs w:val="20"/>
          </w:rPr>
          <m:t>{j,</m:t>
        </m:r>
        <m:sSub>
          <m:sSubPr>
            <m:ctrlPr>
              <w:rPr>
                <w:rFonts w:ascii="Cambria Math" w:hAnsi="Cambria Math"/>
                <w:i/>
                <w:iCs/>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Pr="00411BBF">
        <w:rPr>
          <w:sz w:val="20"/>
          <w:szCs w:val="20"/>
        </w:rPr>
        <w:t xml:space="preserve"> is </w:t>
      </w:r>
      <w:r>
        <w:rPr>
          <w:sz w:val="20"/>
          <w:szCs w:val="20"/>
        </w:rPr>
        <w:t xml:space="preserve">RRC configured, e.g., those corresponding to grant-free Type-1. </w:t>
      </w:r>
    </w:p>
    <w:p w14:paraId="30C32992" w14:textId="1F085AB6" w:rsidR="00922BB1" w:rsidRPr="00C172EF" w:rsidRDefault="00922BB1" w:rsidP="00922BB1">
      <w:pPr>
        <w:jc w:val="both"/>
        <w:rPr>
          <w:lang w:val="en-US"/>
        </w:rPr>
      </w:pPr>
      <w:r w:rsidRPr="00C172EF">
        <w:rPr>
          <w:lang w:val="en-US"/>
        </w:rPr>
        <w:t xml:space="preserve">Option (1) and (2) may limit the configuration; Option (3) can be a reasonable choice, since it has the lowest complexity and signaling overhead. </w:t>
      </w:r>
    </w:p>
    <w:p w14:paraId="4A1E9DC8" w14:textId="0BCDCD49" w:rsidR="00922BB1" w:rsidRPr="005F15A4" w:rsidRDefault="00922BB1" w:rsidP="00922BB1">
      <w:pPr>
        <w:jc w:val="both"/>
        <w:rPr>
          <w:i/>
          <w:iCs/>
          <w:color w:val="FF0000"/>
        </w:rPr>
      </w:pPr>
      <w:r w:rsidRPr="00E1774C">
        <w:rPr>
          <w:b/>
          <w:i/>
          <w:u w:val="single"/>
        </w:rPr>
        <w:t xml:space="preserve">Proposal </w:t>
      </w:r>
      <w:r w:rsidR="007F73A3">
        <w:rPr>
          <w:b/>
          <w:i/>
          <w:u w:val="single"/>
        </w:rPr>
        <w:t>9</w:t>
      </w:r>
      <w:r w:rsidRPr="00E1774C">
        <w:rPr>
          <w:i/>
          <w:u w:val="single"/>
        </w:rPr>
        <w:t>:</w:t>
      </w:r>
      <w:r>
        <w:rPr>
          <w:i/>
        </w:rPr>
        <w:t xml:space="preserve"> </w:t>
      </w:r>
      <w:r>
        <w:rPr>
          <w:i/>
          <w:iCs/>
        </w:rPr>
        <w:t>F</w:t>
      </w:r>
      <w:r w:rsidRPr="00261235">
        <w:rPr>
          <w:i/>
          <w:iCs/>
        </w:rPr>
        <w:t>or virtual PUSCH PHR in the case of CA/DC</w:t>
      </w:r>
      <w:r>
        <w:rPr>
          <w:i/>
          <w:iCs/>
        </w:rPr>
        <w:t>, to determine the PC parameter set to use for PHR calculation,</w:t>
      </w:r>
      <w:r>
        <w:rPr>
          <w:i/>
        </w:rPr>
        <w:t xml:space="preserve"> Support either fixed in specification o</w:t>
      </w:r>
      <w:r w:rsidR="00E1381F">
        <w:rPr>
          <w:i/>
        </w:rPr>
        <w:t>r</w:t>
      </w:r>
      <w:r>
        <w:rPr>
          <w:i/>
        </w:rPr>
        <w:t xml:space="preserve"> an RRC configuration </w:t>
      </w:r>
      <w:r w:rsidR="00E1381F">
        <w:rPr>
          <w:i/>
        </w:rPr>
        <w:t>similar</w:t>
      </w:r>
      <w:r>
        <w:rPr>
          <w:i/>
        </w:rPr>
        <w:t xml:space="preserve"> to configured-grant Type</w:t>
      </w:r>
      <w:r w:rsidR="007F73A3">
        <w:rPr>
          <w:i/>
        </w:rPr>
        <w:t>-1</w:t>
      </w:r>
      <w:r>
        <w:rPr>
          <w:i/>
          <w:iCs/>
        </w:rPr>
        <w:t xml:space="preserve">. </w:t>
      </w:r>
    </w:p>
    <w:p w14:paraId="42149C98" w14:textId="77777777" w:rsidR="00922BB1" w:rsidRPr="00E84ACF" w:rsidRDefault="00922BB1" w:rsidP="00922BB1">
      <w:pPr>
        <w:pStyle w:val="Heading2"/>
      </w:pPr>
      <w:r>
        <w:t>PHR Triggering upon a Successful Beam Failure R</w:t>
      </w:r>
      <w:r w:rsidRPr="00E84ACF">
        <w:t>ecovery</w:t>
      </w:r>
    </w:p>
    <w:p w14:paraId="59DDE2EC" w14:textId="1BCFAA66" w:rsidR="00922BB1" w:rsidRDefault="00922BB1" w:rsidP="00922BB1">
      <w:pPr>
        <w:jc w:val="both"/>
        <w:rPr>
          <w:lang w:val="en-US"/>
        </w:rPr>
      </w:pPr>
      <w:r>
        <w:rPr>
          <w:lang w:val="en-US"/>
        </w:rPr>
        <w:t>In</w:t>
      </w:r>
      <w:r w:rsidR="002D3B17">
        <w:rPr>
          <w:lang w:val="en-US"/>
        </w:rPr>
        <w:t xml:space="preserve"> beam failure recovery (BFR), </w:t>
      </w:r>
      <w:bookmarkStart w:id="3" w:name="_GoBack"/>
      <w:bookmarkEnd w:id="3"/>
      <w:r>
        <w:rPr>
          <w:lang w:val="en-US"/>
        </w:rPr>
        <w:t xml:space="preserve">the update to the operational gNB/UE beams are </w:t>
      </w:r>
      <w:r w:rsidR="00E1381F">
        <w:rPr>
          <w:lang w:val="en-US"/>
        </w:rPr>
        <w:t xml:space="preserve">expected to be </w:t>
      </w:r>
      <w:r>
        <w:rPr>
          <w:lang w:val="en-US"/>
        </w:rPr>
        <w:t xml:space="preserve">significant, in that new gNB beams (from the set of candidate new beam for BFR) are reconfigured to comprise the new set of active control beams for a UE. It is expected that, the data beams are also reconfigured in a BFR procedure, such that new DL RS resource are configured for PL estimation, and the linkages between PUSCH beam indication (based on SRI or TCI) are also reconfigured. In such a case, PHR triggering based on PL change may not be very well defined since the association between “old/reference” gNB beam and the “new/target” gNB beam may not be very clear anymore.  Therefore, </w:t>
      </w:r>
      <w:r w:rsidR="00E1381F">
        <w:rPr>
          <w:lang w:val="en-US"/>
        </w:rPr>
        <w:t>it is useful</w:t>
      </w:r>
      <w:r>
        <w:rPr>
          <w:lang w:val="en-US"/>
        </w:rPr>
        <w:t xml:space="preserve"> to define a new PHR triggering condition based on BFR. In some sense, it is similar to the PHR triggering condition based on </w:t>
      </w:r>
      <w:r w:rsidRPr="00832D71">
        <w:rPr>
          <w:lang w:val="en-US"/>
        </w:rPr>
        <w:t>activation of an Scell or addition of PCell, i.e.</w:t>
      </w:r>
      <w:r>
        <w:rPr>
          <w:lang w:val="en-US"/>
        </w:rPr>
        <w:t>,</w:t>
      </w:r>
      <w:r w:rsidRPr="00832D71">
        <w:rPr>
          <w:lang w:val="en-US"/>
        </w:rPr>
        <w:t xml:space="preserve"> PHR when new radio link (e.g.</w:t>
      </w:r>
      <w:r>
        <w:rPr>
          <w:lang w:val="en-US"/>
        </w:rPr>
        <w:t>,</w:t>
      </w:r>
      <w:r w:rsidRPr="00832D71">
        <w:rPr>
          <w:lang w:val="en-US"/>
        </w:rPr>
        <w:t xml:space="preserve"> cell) is activated/added</w:t>
      </w:r>
      <w:r>
        <w:rPr>
          <w:lang w:val="en-US"/>
        </w:rPr>
        <w:t>, which is already supported in both LTE and NR</w:t>
      </w:r>
      <w:r w:rsidRPr="00832D71">
        <w:rPr>
          <w:lang w:val="en-US"/>
        </w:rPr>
        <w:t>.</w:t>
      </w:r>
      <w:r>
        <w:rPr>
          <w:lang w:val="en-US"/>
        </w:rPr>
        <w:t xml:space="preserve"> </w:t>
      </w:r>
    </w:p>
    <w:p w14:paraId="305770E5" w14:textId="0E9EC87C" w:rsidR="00922BB1" w:rsidRDefault="00922BB1" w:rsidP="00922BB1">
      <w:pPr>
        <w:jc w:val="both"/>
        <w:rPr>
          <w:sz w:val="24"/>
          <w:szCs w:val="32"/>
          <w:lang w:eastAsia="x-none"/>
        </w:rPr>
      </w:pPr>
      <w:r w:rsidRPr="00E1774C">
        <w:rPr>
          <w:b/>
          <w:i/>
          <w:u w:val="single"/>
        </w:rPr>
        <w:t xml:space="preserve">Proposal </w:t>
      </w:r>
      <w:r>
        <w:rPr>
          <w:b/>
          <w:i/>
          <w:u w:val="single"/>
        </w:rPr>
        <w:t>1</w:t>
      </w:r>
      <w:r w:rsidR="007F73A3">
        <w:rPr>
          <w:b/>
          <w:i/>
          <w:u w:val="single"/>
        </w:rPr>
        <w:t>0</w:t>
      </w:r>
      <w:r w:rsidRPr="00E1774C">
        <w:rPr>
          <w:i/>
          <w:u w:val="single"/>
        </w:rPr>
        <w:t>:</w:t>
      </w:r>
      <w:r>
        <w:rPr>
          <w:i/>
        </w:rPr>
        <w:t xml:space="preserve"> Support a new PHR triggering condition upon a successful beam failure recovery (a.k.a., link reconfiguration procedure). Send an LS to inform RAN2 of this RAN1 recommendation. </w:t>
      </w:r>
    </w:p>
    <w:p w14:paraId="2BBBB0CC"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03123C16" w:rsidR="009A0B47" w:rsidRDefault="007E5B46" w:rsidP="00E1774C">
      <w:pPr>
        <w:jc w:val="both"/>
        <w:rPr>
          <w:lang w:eastAsia="ja-JP"/>
        </w:rPr>
      </w:pPr>
      <w:r>
        <w:t xml:space="preserve">In summary, </w:t>
      </w:r>
      <w:r>
        <w:rPr>
          <w:lang w:eastAsia="ja-JP"/>
        </w:rPr>
        <w:t>we propose the followings for NR non-CA power control:</w:t>
      </w:r>
    </w:p>
    <w:p w14:paraId="00986CDD" w14:textId="77777777" w:rsidR="00411BDC" w:rsidRPr="007F73A3" w:rsidRDefault="00411BDC" w:rsidP="00411BDC">
      <w:pPr>
        <w:spacing w:after="0"/>
        <w:jc w:val="both"/>
      </w:pPr>
      <w:r w:rsidRPr="007F73A3">
        <w:rPr>
          <w:b/>
          <w:u w:val="single"/>
        </w:rPr>
        <w:t>Proposal 1</w:t>
      </w:r>
      <w:r w:rsidRPr="007F73A3">
        <w:rPr>
          <w:u w:val="single"/>
        </w:rPr>
        <w:t>:</w:t>
      </w:r>
      <w:r w:rsidRPr="007F73A3">
        <w:t xml:space="preserve"> </w:t>
      </w:r>
    </w:p>
    <w:p w14:paraId="7294F867" w14:textId="208AA3F0" w:rsidR="00411BDC" w:rsidRPr="007F73A3" w:rsidRDefault="00411BDC" w:rsidP="00411BDC">
      <w:pPr>
        <w:pStyle w:val="ListParagraph"/>
        <w:numPr>
          <w:ilvl w:val="0"/>
          <w:numId w:val="52"/>
        </w:numPr>
        <w:jc w:val="both"/>
        <w:rPr>
          <w:sz w:val="20"/>
          <w:szCs w:val="20"/>
        </w:rPr>
      </w:pPr>
      <w:r w:rsidRPr="007F73A3">
        <w:rPr>
          <w:sz w:val="20"/>
          <w:szCs w:val="20"/>
        </w:rPr>
        <w:lastRenderedPageBreak/>
        <w:t xml:space="preserve">For PUSCH Msg3, prior to RRC_CONNECTED state, the CL-PC index is </w:t>
      </w:r>
      <m:oMath>
        <m:r>
          <w:rPr>
            <w:rFonts w:ascii="Cambria Math" w:hAnsi="Cambria Math"/>
            <w:sz w:val="20"/>
            <w:szCs w:val="20"/>
          </w:rPr>
          <m:t>l</m:t>
        </m:r>
        <m:r>
          <m:rPr>
            <m:sty m:val="p"/>
          </m:rPr>
          <w:rPr>
            <w:rFonts w:ascii="Cambria Math" w:hAnsi="Cambria Math"/>
            <w:sz w:val="20"/>
            <w:szCs w:val="20"/>
          </w:rPr>
          <m:t>=0</m:t>
        </m:r>
      </m:oMath>
      <w:r w:rsidRPr="007F73A3">
        <w:rPr>
          <w:sz w:val="20"/>
          <w:szCs w:val="20"/>
        </w:rPr>
        <w:t xml:space="preserve"> as already specified in TS 38.213. </w:t>
      </w:r>
    </w:p>
    <w:p w14:paraId="580A885F" w14:textId="1C75FBA4" w:rsidR="00411BDC" w:rsidRPr="007F73A3" w:rsidRDefault="00411BDC" w:rsidP="00411BDC">
      <w:pPr>
        <w:pStyle w:val="ListParagraph"/>
        <w:numPr>
          <w:ilvl w:val="0"/>
          <w:numId w:val="52"/>
        </w:numPr>
        <w:jc w:val="both"/>
        <w:rPr>
          <w:sz w:val="20"/>
          <w:szCs w:val="20"/>
        </w:rPr>
      </w:pPr>
      <w:r w:rsidRPr="007F73A3">
        <w:rPr>
          <w:sz w:val="20"/>
          <w:szCs w:val="20"/>
        </w:rPr>
        <w:t>For  UE in RRC_CONNECTED state, follo</w:t>
      </w:r>
      <w:r w:rsidR="006A761D">
        <w:rPr>
          <w:sz w:val="20"/>
          <w:szCs w:val="20"/>
        </w:rPr>
        <w:t>wing options can be considered</w:t>
      </w:r>
      <w:r w:rsidRPr="007F73A3">
        <w:rPr>
          <w:sz w:val="20"/>
          <w:szCs w:val="20"/>
        </w:rPr>
        <w:t xml:space="preserve"> for the CL-PC for Msg3: (i) fixed to </w:t>
      </w:r>
      <m:oMath>
        <m:r>
          <m:rPr>
            <m:sty m:val="p"/>
          </m:rPr>
          <w:rPr>
            <w:rFonts w:ascii="Cambria Math" w:hAnsi="Cambria Math"/>
            <w:sz w:val="20"/>
            <w:szCs w:val="20"/>
          </w:rPr>
          <m:t>l=0</m:t>
        </m:r>
      </m:oMath>
      <w:r w:rsidRPr="007F73A3">
        <w:rPr>
          <w:sz w:val="20"/>
          <w:szCs w:val="20"/>
        </w:rPr>
        <w:t xml:space="preserve">; (ii) separately RRC configured; (iii) implicitly determined based on the linkage between SRI and </w:t>
      </w:r>
      <m:oMath>
        <m:r>
          <m:rPr>
            <m:sty m:val="p"/>
          </m:rPr>
          <w:rPr>
            <w:rFonts w:ascii="Cambria Math" w:hAnsi="Cambria Math"/>
            <w:sz w:val="20"/>
            <w:szCs w:val="20"/>
          </w:rPr>
          <m:t>{j,</m:t>
        </m:r>
        <m:sSub>
          <m:sSubPr>
            <m:ctrlPr>
              <w:rPr>
                <w:rFonts w:ascii="Cambria Math" w:hAnsi="Cambria Math"/>
                <w:sz w:val="20"/>
                <w:szCs w:val="20"/>
              </w:rPr>
            </m:ctrlPr>
          </m:sSubPr>
          <m:e>
            <m:r>
              <m:rPr>
                <m:sty m:val="p"/>
              </m:rPr>
              <w:rPr>
                <w:rFonts w:ascii="Cambria Math" w:hAnsi="Cambria Math"/>
                <w:sz w:val="20"/>
                <w:szCs w:val="20"/>
              </w:rPr>
              <m:t>q</m:t>
            </m:r>
          </m:e>
          <m:sub>
            <m:r>
              <m:rPr>
                <m:sty m:val="p"/>
              </m:rPr>
              <w:rPr>
                <w:rFonts w:ascii="Cambria Math" w:hAnsi="Cambria Math"/>
                <w:sz w:val="20"/>
                <w:szCs w:val="20"/>
              </w:rPr>
              <m:t>d</m:t>
            </m:r>
          </m:sub>
        </m:sSub>
        <m:r>
          <m:rPr>
            <m:sty m:val="p"/>
          </m:rPr>
          <w:rPr>
            <w:rFonts w:ascii="Cambria Math" w:hAnsi="Cambria Math"/>
            <w:sz w:val="20"/>
            <w:szCs w:val="20"/>
          </w:rPr>
          <m:t>,l}</m:t>
        </m:r>
      </m:oMath>
      <w:r w:rsidRPr="007F73A3">
        <w:rPr>
          <w:sz w:val="20"/>
          <w:szCs w:val="20"/>
        </w:rPr>
        <w:t xml:space="preserve"> via the SS/PBCH block used in the RACH procedure, with fallback to </w:t>
      </w:r>
      <m:oMath>
        <m:r>
          <w:rPr>
            <w:rFonts w:ascii="Cambria Math" w:hAnsi="Cambria Math"/>
            <w:sz w:val="20"/>
            <w:szCs w:val="20"/>
          </w:rPr>
          <m:t>l</m:t>
        </m:r>
        <m:r>
          <m:rPr>
            <m:sty m:val="p"/>
          </m:rPr>
          <w:rPr>
            <w:rFonts w:ascii="Cambria Math" w:hAnsi="Cambria Math"/>
            <w:sz w:val="20"/>
            <w:szCs w:val="20"/>
          </w:rPr>
          <m:t>=0</m:t>
        </m:r>
      </m:oMath>
      <w:r w:rsidRPr="007F73A3">
        <w:rPr>
          <w:sz w:val="20"/>
          <w:szCs w:val="20"/>
        </w:rPr>
        <w:t xml:space="preserve"> in case of no SRI.   </w:t>
      </w:r>
    </w:p>
    <w:p w14:paraId="47D55050" w14:textId="77777777" w:rsidR="00411BDC" w:rsidRPr="007F73A3" w:rsidRDefault="00411BDC" w:rsidP="00411BDC">
      <w:pPr>
        <w:spacing w:after="0"/>
        <w:jc w:val="both"/>
      </w:pPr>
      <w:r w:rsidRPr="007F73A3">
        <w:rPr>
          <w:b/>
          <w:u w:val="single"/>
        </w:rPr>
        <w:t>Proposal 2</w:t>
      </w:r>
      <w:r w:rsidRPr="007F73A3">
        <w:rPr>
          <w:u w:val="single"/>
        </w:rPr>
        <w:t>:</w:t>
      </w:r>
      <w:r w:rsidRPr="007F73A3">
        <w:t xml:space="preserve"> For grant-based PUSCH transmission, when no or only one SRS resource is configured, </w:t>
      </w:r>
    </w:p>
    <w:p w14:paraId="5D76DE22" w14:textId="77777777" w:rsidR="00411BDC" w:rsidRPr="007F73A3" w:rsidRDefault="00411BDC" w:rsidP="00411BDC">
      <w:pPr>
        <w:pStyle w:val="ListParagraph"/>
        <w:numPr>
          <w:ilvl w:val="0"/>
          <w:numId w:val="53"/>
        </w:numPr>
        <w:spacing w:after="0"/>
        <w:jc w:val="both"/>
        <w:rPr>
          <w:sz w:val="20"/>
          <w:szCs w:val="20"/>
        </w:rPr>
      </w:pPr>
      <w:r w:rsidRPr="007F73A3">
        <w:rPr>
          <w:sz w:val="20"/>
          <w:szCs w:val="20"/>
        </w:rPr>
        <w:t>UE assumes a spatial relation between the PUSCH transmission and the CORESET DM-RS antenna port associated with PDCCH reception of the UL grant for the PUSCH for determining the PUSCH beam and corresponding PUSCH PC parameters.</w:t>
      </w:r>
    </w:p>
    <w:p w14:paraId="3434ACB9" w14:textId="758872E1" w:rsidR="00411BDC" w:rsidRPr="007F73A3" w:rsidRDefault="00411BDC" w:rsidP="00411BDC">
      <w:pPr>
        <w:pStyle w:val="ListParagraph"/>
        <w:numPr>
          <w:ilvl w:val="0"/>
          <w:numId w:val="53"/>
        </w:numPr>
        <w:spacing w:after="0"/>
        <w:jc w:val="both"/>
        <w:rPr>
          <w:sz w:val="20"/>
          <w:szCs w:val="20"/>
        </w:rPr>
      </w:pPr>
      <w:r w:rsidRPr="007F73A3">
        <w:rPr>
          <w:sz w:val="20"/>
          <w:szCs w:val="20"/>
        </w:rPr>
        <w:t xml:space="preserve"> Define mapping between the set of TCI states, SS/PBCH block and set of PUSCH PC parameter indices </w:t>
      </w:r>
      <m:oMath>
        <m:r>
          <m:rPr>
            <m:sty m:val="p"/>
          </m:rPr>
          <w:rPr>
            <w:rFonts w:ascii="Cambria Math" w:hAnsi="Cambria Math"/>
            <w:sz w:val="20"/>
            <w:szCs w:val="20"/>
          </w:rPr>
          <m:t>{</m:t>
        </m:r>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r>
          <w:rPr>
            <w:rFonts w:ascii="Cambria Math" w:hAnsi="Cambria Math"/>
            <w:sz w:val="20"/>
            <w:szCs w:val="20"/>
          </w:rPr>
          <m:t>,l}</m:t>
        </m:r>
      </m:oMath>
      <w:r w:rsidRPr="007F73A3">
        <w:rPr>
          <w:sz w:val="20"/>
          <w:szCs w:val="20"/>
        </w:rPr>
        <w:t xml:space="preserve">. </w:t>
      </w:r>
    </w:p>
    <w:p w14:paraId="01E8E16E" w14:textId="00323EDE" w:rsidR="007F73A3" w:rsidRPr="007F73A3" w:rsidRDefault="007F73A3" w:rsidP="007F73A3">
      <w:pPr>
        <w:spacing w:before="120" w:after="120"/>
        <w:jc w:val="both"/>
        <w:rPr>
          <w:iCs/>
        </w:rPr>
      </w:pPr>
      <w:r w:rsidRPr="007F73A3">
        <w:rPr>
          <w:b/>
          <w:u w:val="single"/>
        </w:rPr>
        <w:t>Proposal 3</w:t>
      </w:r>
      <w:r w:rsidRPr="007F73A3">
        <w:rPr>
          <w:u w:val="single"/>
        </w:rPr>
        <w:t>:</w:t>
      </w:r>
      <w:r w:rsidRPr="007F73A3">
        <w:t xml:space="preserve"> For </w:t>
      </w:r>
      <w:r w:rsidRPr="007F73A3">
        <w:rPr>
          <w:iCs/>
        </w:rPr>
        <w:t>PC parameter configuration and indication</w:t>
      </w:r>
      <w:r w:rsidRPr="007F73A3">
        <w:t xml:space="preserve"> for PUSCH transmissions with configured grant, at least for Type-2, follow the same principles of grant-based PUSCH transmission - </w:t>
      </w:r>
      <w:r w:rsidRPr="007F73A3">
        <w:rPr>
          <w:iCs/>
        </w:rPr>
        <w:t xml:space="preserve">explicit RRC linkages defined between SRI/TCI/SS-PBCH and </w:t>
      </w:r>
      <m:oMath>
        <m:r>
          <m:rPr>
            <m:sty m:val="p"/>
          </m:rPr>
          <w:rPr>
            <w:rFonts w:ascii="Cambria Math" w:hAnsi="Cambria Math"/>
          </w:rPr>
          <m:t>{</m:t>
        </m:r>
        <m:r>
          <w:rPr>
            <w:rFonts w:ascii="Cambria Math" w:hAnsi="Cambria Math"/>
          </w:rPr>
          <m:t>j,</m:t>
        </m:r>
        <m:sSub>
          <m:sSubPr>
            <m:ctrlPr>
              <w:rPr>
                <w:rFonts w:ascii="Cambria Math" w:hAnsi="Cambria Math"/>
                <w:i/>
                <w:lang w:bidi="en-US"/>
              </w:rPr>
            </m:ctrlPr>
          </m:sSubPr>
          <m:e>
            <m:r>
              <w:rPr>
                <w:rFonts w:ascii="Cambria Math" w:hAnsi="Cambria Math"/>
              </w:rPr>
              <m:t>q</m:t>
            </m:r>
          </m:e>
          <m:sub>
            <m:r>
              <w:rPr>
                <w:rFonts w:ascii="Cambria Math" w:hAnsi="Cambria Math"/>
              </w:rPr>
              <m:t>d</m:t>
            </m:r>
          </m:sub>
        </m:sSub>
        <m:r>
          <w:rPr>
            <w:rFonts w:ascii="Cambria Math" w:hAnsi="Cambria Math"/>
          </w:rPr>
          <m:t>,l}</m:t>
        </m:r>
      </m:oMath>
      <w:r w:rsidRPr="007F73A3">
        <w:t xml:space="preserve">. </w:t>
      </w:r>
      <w:r w:rsidRPr="007F73A3">
        <w:rPr>
          <w:iCs/>
        </w:rPr>
        <w:t>indices for grant-based PUSCH can be reused.</w:t>
      </w:r>
    </w:p>
    <w:p w14:paraId="3E0FDEF3" w14:textId="5C696610" w:rsidR="007F73A3" w:rsidRPr="007F73A3" w:rsidRDefault="007F73A3" w:rsidP="007F73A3">
      <w:pPr>
        <w:spacing w:after="120"/>
      </w:pPr>
      <w:r w:rsidRPr="007F73A3">
        <w:rPr>
          <w:b/>
          <w:u w:val="single"/>
        </w:rPr>
        <w:t>Proposal 4</w:t>
      </w:r>
      <w:r w:rsidRPr="007F73A3">
        <w:rPr>
          <w:u w:val="single"/>
        </w:rPr>
        <w:t>:</w:t>
      </w:r>
      <w:r w:rsidRPr="007F73A3">
        <w:t xml:space="preserve"> For PUCCH transmission, when PUCCH-SpatialRelationInfo is configured with more than one value, but MAC-CE command for selection of one value from PUCCH-Spatial-Relation-Info is not activated, align PC parameter configuration and/or indication with agreements in MIMO agenda item, e.g., based on an explicit RRC linkage between possible default/fallback PUCCH beam indication(s) and the PUCCH PC parameter set.</w:t>
      </w:r>
    </w:p>
    <w:p w14:paraId="2F128F12" w14:textId="77777777" w:rsidR="007F73A3" w:rsidRPr="007F73A3" w:rsidRDefault="007F73A3" w:rsidP="007F73A3">
      <w:pPr>
        <w:spacing w:after="120"/>
        <w:jc w:val="both"/>
      </w:pPr>
      <w:r w:rsidRPr="007F73A3">
        <w:rPr>
          <w:b/>
          <w:u w:val="single"/>
        </w:rPr>
        <w:t>Proposal 5</w:t>
      </w:r>
      <w:r w:rsidRPr="007F73A3">
        <w:rPr>
          <w:u w:val="single"/>
        </w:rPr>
        <w:t>:</w:t>
      </w:r>
      <w:r w:rsidRPr="007F73A3">
        <w:t xml:space="preserve"> For PUSCH, PUCCH, and SRS transmission, update the RAN1 agreements and TS 38.213 to mandate the CL-PC reset (i.e., “shall reset”) for the UE upon reconfiguration of OL-PC parameters by the gNB. In all such cases, clarify that the first value after CL-PC reset is zero. </w:t>
      </w:r>
    </w:p>
    <w:p w14:paraId="15EE3D99" w14:textId="77777777" w:rsidR="007F73A3" w:rsidRPr="007F73A3" w:rsidRDefault="007F73A3" w:rsidP="007F73A3">
      <w:pPr>
        <w:jc w:val="both"/>
      </w:pPr>
      <w:r w:rsidRPr="007F73A3">
        <w:rPr>
          <w:b/>
          <w:u w:val="single"/>
        </w:rPr>
        <w:t>Proposal 6</w:t>
      </w:r>
      <w:r w:rsidRPr="007F73A3">
        <w:rPr>
          <w:u w:val="single"/>
        </w:rPr>
        <w:t>:</w:t>
      </w:r>
      <w:r w:rsidRPr="007F73A3">
        <w:t xml:space="preserve"> For PUSCH / PUCCH transmission, specify which CL-PC process to reset upon reconfiguration of OL-PC parameters, aligned with the agreements for the cases without SRI / PUCCH-Spatial-Relation-Info. </w:t>
      </w:r>
    </w:p>
    <w:p w14:paraId="123465EF" w14:textId="77777777" w:rsidR="007F73A3" w:rsidRPr="007F73A3" w:rsidRDefault="007F73A3" w:rsidP="007F73A3">
      <w:pPr>
        <w:jc w:val="both"/>
      </w:pPr>
      <w:r w:rsidRPr="007F73A3">
        <w:rPr>
          <w:b/>
          <w:u w:val="single"/>
        </w:rPr>
        <w:t>Proposal 7</w:t>
      </w:r>
      <w:r w:rsidRPr="007F73A3">
        <w:rPr>
          <w:u w:val="single"/>
        </w:rPr>
        <w:t>:</w:t>
      </w:r>
      <w:r w:rsidRPr="007F73A3">
        <w:t xml:space="preserve"> Support </w:t>
      </w:r>
      <w:r w:rsidRPr="007F73A3">
        <w:rPr>
          <w:iCs/>
        </w:rPr>
        <w:t xml:space="preserve">reset of closed-loop accumulation for the UE when switching between beams that </w:t>
      </w:r>
      <w:r w:rsidRPr="007F73A3">
        <w:t>point to significantly different spatial directions such as with multiple TRP antenna panels, when both beams/panels correspond to the same closed-loop process.</w:t>
      </w:r>
    </w:p>
    <w:p w14:paraId="7B8CFADA" w14:textId="5AB42DB4" w:rsidR="007F73A3" w:rsidRPr="007F73A3" w:rsidRDefault="007F73A3" w:rsidP="007F73A3">
      <w:pPr>
        <w:jc w:val="both"/>
      </w:pPr>
      <w:r w:rsidRPr="007F73A3">
        <w:rPr>
          <w:b/>
          <w:u w:val="single"/>
        </w:rPr>
        <w:t>Proposal 8</w:t>
      </w:r>
      <w:r w:rsidRPr="007F73A3">
        <w:rPr>
          <w:u w:val="single"/>
        </w:rPr>
        <w:t>:</w:t>
      </w:r>
      <w:r w:rsidRPr="007F73A3">
        <w:t xml:space="preserve"> In the event of any or all of the following: (i) addition of a new gNB beam to the set of active beams for a UE; (ii) reconfiguration of the mappings between SRI/TCI/PUCCH-SpatialRelationInfo and PC parameters; the corresponding closed-loop power control process will be impacted, i.e., reset or carry over depending upon the spatial relations before and after the beam addition and/or SRI/TCI/PUCCH-SpatialRelationInfo reconfiguration. </w:t>
      </w:r>
    </w:p>
    <w:p w14:paraId="67CDB228" w14:textId="6A77EAF4" w:rsidR="007F73A3" w:rsidRPr="007F73A3" w:rsidRDefault="007F73A3" w:rsidP="007F73A3">
      <w:pPr>
        <w:jc w:val="both"/>
        <w:rPr>
          <w:iCs/>
          <w:color w:val="FF0000"/>
        </w:rPr>
      </w:pPr>
      <w:r w:rsidRPr="007F73A3">
        <w:rPr>
          <w:b/>
          <w:u w:val="single"/>
        </w:rPr>
        <w:t>Proposal 9</w:t>
      </w:r>
      <w:r w:rsidRPr="007F73A3">
        <w:rPr>
          <w:u w:val="single"/>
        </w:rPr>
        <w:t>:</w:t>
      </w:r>
      <w:r w:rsidRPr="007F73A3">
        <w:t xml:space="preserve"> </w:t>
      </w:r>
      <w:r w:rsidRPr="007F73A3">
        <w:rPr>
          <w:iCs/>
        </w:rPr>
        <w:t>For virtual PUSCH PHR in the case of CA/DC, to determine the PC parameter set to use for PHR calculation,</w:t>
      </w:r>
      <w:r w:rsidRPr="007F73A3">
        <w:t xml:space="preserve"> Support either fixed in specification or an RRC configuration similar to configured-grant Type-1</w:t>
      </w:r>
      <w:r w:rsidRPr="007F73A3">
        <w:rPr>
          <w:iCs/>
        </w:rPr>
        <w:t xml:space="preserve">. </w:t>
      </w:r>
    </w:p>
    <w:p w14:paraId="054D8431" w14:textId="77777777" w:rsidR="007F73A3" w:rsidRPr="007F73A3" w:rsidRDefault="007F73A3" w:rsidP="007F73A3">
      <w:pPr>
        <w:jc w:val="both"/>
        <w:rPr>
          <w:sz w:val="24"/>
          <w:szCs w:val="32"/>
          <w:lang w:eastAsia="x-none"/>
        </w:rPr>
      </w:pPr>
      <w:r w:rsidRPr="007F73A3">
        <w:rPr>
          <w:b/>
          <w:u w:val="single"/>
        </w:rPr>
        <w:t>Proposal 10</w:t>
      </w:r>
      <w:r w:rsidRPr="007F73A3">
        <w:rPr>
          <w:u w:val="single"/>
        </w:rPr>
        <w:t>:</w:t>
      </w:r>
      <w:r w:rsidRPr="007F73A3">
        <w:t xml:space="preserve"> Support a new PHR triggering condition upon a successful beam failure recovery (a.k.a., link reconfiguration procedure). Send an LS to inform RAN2 of this RAN1 recommendation. </w:t>
      </w:r>
    </w:p>
    <w:p w14:paraId="275BB515" w14:textId="77777777" w:rsidR="009A0B47" w:rsidRPr="00492AEA" w:rsidRDefault="009A0B47" w:rsidP="009A0B47">
      <w:pPr>
        <w:pStyle w:val="Heading1"/>
        <w:tabs>
          <w:tab w:val="num" w:pos="0"/>
        </w:tabs>
        <w:ind w:left="0" w:firstLine="0"/>
        <w:jc w:val="both"/>
        <w:rPr>
          <w:rFonts w:eastAsia="MS Mincho"/>
          <w:lang w:eastAsia="ja-JP"/>
        </w:rPr>
      </w:pPr>
      <w:r>
        <w:rPr>
          <w:rFonts w:eastAsia="MS Mincho"/>
          <w:lang w:eastAsia="ja-JP"/>
        </w:rPr>
        <w:t>References</w:t>
      </w:r>
    </w:p>
    <w:p w14:paraId="295F05BA" w14:textId="5D2D66AC" w:rsidR="006C5135" w:rsidRDefault="0032219F" w:rsidP="00AF3A9B">
      <w:pPr>
        <w:numPr>
          <w:ilvl w:val="0"/>
          <w:numId w:val="2"/>
        </w:numPr>
        <w:jc w:val="both"/>
        <w:rPr>
          <w:lang w:bidi="en-US"/>
        </w:rPr>
      </w:pPr>
      <w:r w:rsidDel="0032219F">
        <w:rPr>
          <w:lang w:bidi="en-US"/>
        </w:rPr>
        <w:t xml:space="preserve"> </w:t>
      </w:r>
      <w:r w:rsidR="006C5135">
        <w:rPr>
          <w:lang w:bidi="en-US"/>
        </w:rPr>
        <w:t>“</w:t>
      </w:r>
      <w:r w:rsidR="006C5135" w:rsidRPr="003C7E08">
        <w:rPr>
          <w:lang w:bidi="en-US"/>
        </w:rPr>
        <w:t>RAN1 Chairman’s Notes</w:t>
      </w:r>
      <w:r w:rsidR="006C5135">
        <w:rPr>
          <w:lang w:bidi="en-US"/>
        </w:rPr>
        <w:t>”, RAN1 AH-1801, Vancouver, Canada, January 2018.</w:t>
      </w:r>
    </w:p>
    <w:p w14:paraId="7EBEC08F" w14:textId="6F9A8682" w:rsidR="001B1E4C" w:rsidRPr="00ED1342" w:rsidRDefault="001B1E4C" w:rsidP="00ED1342">
      <w:pPr>
        <w:numPr>
          <w:ilvl w:val="0"/>
          <w:numId w:val="2"/>
        </w:numPr>
        <w:jc w:val="both"/>
        <w:rPr>
          <w:lang w:bidi="en-US"/>
        </w:rPr>
      </w:pPr>
      <w:r>
        <w:rPr>
          <w:lang w:bidi="en-US"/>
        </w:rPr>
        <w:t>TS 38.213</w:t>
      </w:r>
      <w:r w:rsidR="00386B9E">
        <w:rPr>
          <w:lang w:bidi="en-US"/>
        </w:rPr>
        <w:t>,</w:t>
      </w:r>
      <w:r>
        <w:rPr>
          <w:lang w:bidi="en-US"/>
        </w:rPr>
        <w:t xml:space="preserve"> </w:t>
      </w:r>
      <w:r>
        <w:rPr>
          <w:bCs/>
        </w:rPr>
        <w:t>“</w:t>
      </w:r>
      <w:r w:rsidRPr="00982ECF">
        <w:rPr>
          <w:bCs/>
        </w:rPr>
        <w:t>NR</w:t>
      </w:r>
      <w:r>
        <w:rPr>
          <w:bCs/>
        </w:rPr>
        <w:t>,</w:t>
      </w:r>
      <w:r w:rsidRPr="00982ECF">
        <w:rPr>
          <w:bCs/>
        </w:rPr>
        <w:t xml:space="preserve"> Physical layer procedures for control</w:t>
      </w:r>
      <w:r w:rsidR="00386B9E">
        <w:rPr>
          <w:bCs/>
        </w:rPr>
        <w:t>”, Rel. 15</w:t>
      </w:r>
      <w:r>
        <w:rPr>
          <w:bCs/>
        </w:rPr>
        <w:t>, v1</w:t>
      </w:r>
      <w:r w:rsidR="00B30078">
        <w:rPr>
          <w:bCs/>
        </w:rPr>
        <w:t>5</w:t>
      </w:r>
      <w:r>
        <w:rPr>
          <w:bCs/>
        </w:rPr>
        <w:t>.</w:t>
      </w:r>
      <w:r w:rsidR="00ED1342">
        <w:rPr>
          <w:bCs/>
        </w:rPr>
        <w:t>0</w:t>
      </w:r>
      <w:r w:rsidR="006C5135">
        <w:rPr>
          <w:bCs/>
        </w:rPr>
        <w:t>.0</w:t>
      </w:r>
      <w:r w:rsidR="00ED1342">
        <w:rPr>
          <w:bCs/>
        </w:rPr>
        <w:t xml:space="preserve"> CR</w:t>
      </w:r>
      <w:r>
        <w:rPr>
          <w:bCs/>
        </w:rPr>
        <w:t xml:space="preserve">, </w:t>
      </w:r>
      <w:r w:rsidR="006C5135">
        <w:rPr>
          <w:bCs/>
        </w:rPr>
        <w:t>February</w:t>
      </w:r>
      <w:r>
        <w:rPr>
          <w:bCs/>
        </w:rPr>
        <w:t xml:space="preserve"> 201</w:t>
      </w:r>
      <w:r w:rsidR="006C5135">
        <w:rPr>
          <w:bCs/>
        </w:rPr>
        <w:t>8</w:t>
      </w:r>
      <w:r>
        <w:rPr>
          <w:bCs/>
        </w:rPr>
        <w:t>.</w:t>
      </w:r>
    </w:p>
    <w:p w14:paraId="2B9CD3ED" w14:textId="3A7B01A5" w:rsidR="00ED1342" w:rsidRDefault="00ED1342" w:rsidP="00ED1342">
      <w:pPr>
        <w:numPr>
          <w:ilvl w:val="0"/>
          <w:numId w:val="2"/>
        </w:numPr>
        <w:jc w:val="both"/>
        <w:rPr>
          <w:lang w:bidi="en-US"/>
        </w:rPr>
      </w:pPr>
      <w:r>
        <w:rPr>
          <w:bCs/>
        </w:rPr>
        <w:t xml:space="preserve"> R1-1801187, “</w:t>
      </w:r>
      <w:r w:rsidRPr="00ED1342">
        <w:t>Feature lead summary 3 of beam measurement and reporting</w:t>
      </w:r>
      <w:r>
        <w:t xml:space="preserve">”, </w:t>
      </w:r>
      <w:r w:rsidRPr="00ED1342">
        <w:t>Ericsson</w:t>
      </w:r>
      <w:r>
        <w:t xml:space="preserve">, </w:t>
      </w:r>
      <w:r>
        <w:rPr>
          <w:lang w:bidi="en-US"/>
        </w:rPr>
        <w:t>January 2018.</w:t>
      </w:r>
    </w:p>
    <w:sectPr w:rsidR="00ED1342" w:rsidSect="00BC384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4E1D8" w14:textId="77777777" w:rsidR="00F95D83" w:rsidRDefault="00F95D83" w:rsidP="0050200A">
      <w:pPr>
        <w:spacing w:after="0"/>
      </w:pPr>
      <w:r>
        <w:separator/>
      </w:r>
    </w:p>
  </w:endnote>
  <w:endnote w:type="continuationSeparator" w:id="0">
    <w:p w14:paraId="7B3F3984" w14:textId="77777777" w:rsidR="00F95D83" w:rsidRDefault="00F95D83"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B6371A" w:rsidRDefault="00B63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B6371A" w:rsidRDefault="00B637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B6371A" w:rsidRDefault="00B63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2F797" w14:textId="77777777" w:rsidR="00F95D83" w:rsidRDefault="00F95D83" w:rsidP="0050200A">
      <w:pPr>
        <w:spacing w:after="0"/>
      </w:pPr>
      <w:r>
        <w:separator/>
      </w:r>
    </w:p>
  </w:footnote>
  <w:footnote w:type="continuationSeparator" w:id="0">
    <w:p w14:paraId="44D5E4B2" w14:textId="77777777" w:rsidR="00F95D83" w:rsidRDefault="00F95D83"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B6371A" w:rsidRDefault="00B63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B6371A" w:rsidRDefault="00B637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B6371A" w:rsidRDefault="00B63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62C32"/>
    <w:multiLevelType w:val="hybridMultilevel"/>
    <w:tmpl w:val="614E76FE"/>
    <w:lvl w:ilvl="0" w:tplc="4F1A1BC8">
      <w:start w:val="1"/>
      <w:numFmt w:val="bullet"/>
      <w:lvlText w:val=""/>
      <w:lvlJc w:val="left"/>
      <w:pPr>
        <w:tabs>
          <w:tab w:val="num" w:pos="720"/>
        </w:tabs>
        <w:ind w:left="720" w:hanging="360"/>
      </w:pPr>
      <w:rPr>
        <w:rFonts w:ascii="Wingdings" w:hAnsi="Wingdings" w:hint="default"/>
      </w:rPr>
    </w:lvl>
    <w:lvl w:ilvl="1" w:tplc="1CFC402A">
      <w:start w:val="1"/>
      <w:numFmt w:val="bullet"/>
      <w:lvlText w:val=""/>
      <w:lvlJc w:val="left"/>
      <w:pPr>
        <w:tabs>
          <w:tab w:val="num" w:pos="1440"/>
        </w:tabs>
        <w:ind w:left="1440" w:hanging="360"/>
      </w:pPr>
      <w:rPr>
        <w:rFonts w:ascii="Wingdings" w:hAnsi="Wingdings" w:hint="default"/>
      </w:rPr>
    </w:lvl>
    <w:lvl w:ilvl="2" w:tplc="0B3E9676">
      <w:start w:val="104"/>
      <w:numFmt w:val="bullet"/>
      <w:lvlText w:val="-"/>
      <w:lvlJc w:val="left"/>
      <w:pPr>
        <w:tabs>
          <w:tab w:val="num" w:pos="2160"/>
        </w:tabs>
        <w:ind w:left="2160" w:hanging="360"/>
      </w:pPr>
      <w:rPr>
        <w:rFonts w:ascii="Times New Roman" w:hAnsi="Times New Roman" w:hint="default"/>
      </w:rPr>
    </w:lvl>
    <w:lvl w:ilvl="3" w:tplc="A50C4CFE" w:tentative="1">
      <w:start w:val="1"/>
      <w:numFmt w:val="bullet"/>
      <w:lvlText w:val=""/>
      <w:lvlJc w:val="left"/>
      <w:pPr>
        <w:tabs>
          <w:tab w:val="num" w:pos="2880"/>
        </w:tabs>
        <w:ind w:left="2880" w:hanging="360"/>
      </w:pPr>
      <w:rPr>
        <w:rFonts w:ascii="Wingdings" w:hAnsi="Wingdings" w:hint="default"/>
      </w:rPr>
    </w:lvl>
    <w:lvl w:ilvl="4" w:tplc="FF8C67A8" w:tentative="1">
      <w:start w:val="1"/>
      <w:numFmt w:val="bullet"/>
      <w:lvlText w:val=""/>
      <w:lvlJc w:val="left"/>
      <w:pPr>
        <w:tabs>
          <w:tab w:val="num" w:pos="3600"/>
        </w:tabs>
        <w:ind w:left="3600" w:hanging="360"/>
      </w:pPr>
      <w:rPr>
        <w:rFonts w:ascii="Wingdings" w:hAnsi="Wingdings" w:hint="default"/>
      </w:rPr>
    </w:lvl>
    <w:lvl w:ilvl="5" w:tplc="EEA4B7C8" w:tentative="1">
      <w:start w:val="1"/>
      <w:numFmt w:val="bullet"/>
      <w:lvlText w:val=""/>
      <w:lvlJc w:val="left"/>
      <w:pPr>
        <w:tabs>
          <w:tab w:val="num" w:pos="4320"/>
        </w:tabs>
        <w:ind w:left="4320" w:hanging="360"/>
      </w:pPr>
      <w:rPr>
        <w:rFonts w:ascii="Wingdings" w:hAnsi="Wingdings" w:hint="default"/>
      </w:rPr>
    </w:lvl>
    <w:lvl w:ilvl="6" w:tplc="204087F6" w:tentative="1">
      <w:start w:val="1"/>
      <w:numFmt w:val="bullet"/>
      <w:lvlText w:val=""/>
      <w:lvlJc w:val="left"/>
      <w:pPr>
        <w:tabs>
          <w:tab w:val="num" w:pos="5040"/>
        </w:tabs>
        <w:ind w:left="5040" w:hanging="360"/>
      </w:pPr>
      <w:rPr>
        <w:rFonts w:ascii="Wingdings" w:hAnsi="Wingdings" w:hint="default"/>
      </w:rPr>
    </w:lvl>
    <w:lvl w:ilvl="7" w:tplc="5F28079E" w:tentative="1">
      <w:start w:val="1"/>
      <w:numFmt w:val="bullet"/>
      <w:lvlText w:val=""/>
      <w:lvlJc w:val="left"/>
      <w:pPr>
        <w:tabs>
          <w:tab w:val="num" w:pos="5760"/>
        </w:tabs>
        <w:ind w:left="5760" w:hanging="360"/>
      </w:pPr>
      <w:rPr>
        <w:rFonts w:ascii="Wingdings" w:hAnsi="Wingdings" w:hint="default"/>
      </w:rPr>
    </w:lvl>
    <w:lvl w:ilvl="8" w:tplc="873A273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A3EFC"/>
    <w:multiLevelType w:val="hybridMultilevel"/>
    <w:tmpl w:val="F374417E"/>
    <w:lvl w:ilvl="0" w:tplc="0120A43A">
      <w:start w:val="1"/>
      <w:numFmt w:val="bullet"/>
      <w:lvlText w:val="•"/>
      <w:lvlJc w:val="left"/>
      <w:pPr>
        <w:tabs>
          <w:tab w:val="num" w:pos="720"/>
        </w:tabs>
        <w:ind w:left="720" w:hanging="360"/>
      </w:pPr>
      <w:rPr>
        <w:rFonts w:ascii="Arial" w:hAnsi="Arial" w:hint="default"/>
      </w:rPr>
    </w:lvl>
    <w:lvl w:ilvl="1" w:tplc="E196DF18">
      <w:start w:val="5"/>
      <w:numFmt w:val="decimal"/>
      <w:lvlText w:val="%2)"/>
      <w:lvlJc w:val="left"/>
      <w:pPr>
        <w:tabs>
          <w:tab w:val="num" w:pos="1440"/>
        </w:tabs>
        <w:ind w:left="1440" w:hanging="360"/>
      </w:pPr>
    </w:lvl>
    <w:lvl w:ilvl="2" w:tplc="5A828BDA">
      <w:start w:val="104"/>
      <w:numFmt w:val="bullet"/>
      <w:lvlText w:val="o"/>
      <w:lvlJc w:val="left"/>
      <w:pPr>
        <w:tabs>
          <w:tab w:val="num" w:pos="2160"/>
        </w:tabs>
        <w:ind w:left="2160" w:hanging="360"/>
      </w:pPr>
      <w:rPr>
        <w:rFonts w:ascii="Courier New" w:hAnsi="Courier New" w:hint="default"/>
      </w:rPr>
    </w:lvl>
    <w:lvl w:ilvl="3" w:tplc="CE901E94" w:tentative="1">
      <w:start w:val="1"/>
      <w:numFmt w:val="bullet"/>
      <w:lvlText w:val="•"/>
      <w:lvlJc w:val="left"/>
      <w:pPr>
        <w:tabs>
          <w:tab w:val="num" w:pos="2880"/>
        </w:tabs>
        <w:ind w:left="2880" w:hanging="360"/>
      </w:pPr>
      <w:rPr>
        <w:rFonts w:ascii="Arial" w:hAnsi="Arial" w:hint="default"/>
      </w:rPr>
    </w:lvl>
    <w:lvl w:ilvl="4" w:tplc="92E26118" w:tentative="1">
      <w:start w:val="1"/>
      <w:numFmt w:val="bullet"/>
      <w:lvlText w:val="•"/>
      <w:lvlJc w:val="left"/>
      <w:pPr>
        <w:tabs>
          <w:tab w:val="num" w:pos="3600"/>
        </w:tabs>
        <w:ind w:left="3600" w:hanging="360"/>
      </w:pPr>
      <w:rPr>
        <w:rFonts w:ascii="Arial" w:hAnsi="Arial" w:hint="default"/>
      </w:rPr>
    </w:lvl>
    <w:lvl w:ilvl="5" w:tplc="38625B80" w:tentative="1">
      <w:start w:val="1"/>
      <w:numFmt w:val="bullet"/>
      <w:lvlText w:val="•"/>
      <w:lvlJc w:val="left"/>
      <w:pPr>
        <w:tabs>
          <w:tab w:val="num" w:pos="4320"/>
        </w:tabs>
        <w:ind w:left="4320" w:hanging="360"/>
      </w:pPr>
      <w:rPr>
        <w:rFonts w:ascii="Arial" w:hAnsi="Arial" w:hint="default"/>
      </w:rPr>
    </w:lvl>
    <w:lvl w:ilvl="6" w:tplc="D2BE47DE" w:tentative="1">
      <w:start w:val="1"/>
      <w:numFmt w:val="bullet"/>
      <w:lvlText w:val="•"/>
      <w:lvlJc w:val="left"/>
      <w:pPr>
        <w:tabs>
          <w:tab w:val="num" w:pos="5040"/>
        </w:tabs>
        <w:ind w:left="5040" w:hanging="360"/>
      </w:pPr>
      <w:rPr>
        <w:rFonts w:ascii="Arial" w:hAnsi="Arial" w:hint="default"/>
      </w:rPr>
    </w:lvl>
    <w:lvl w:ilvl="7" w:tplc="82C676CE" w:tentative="1">
      <w:start w:val="1"/>
      <w:numFmt w:val="bullet"/>
      <w:lvlText w:val="•"/>
      <w:lvlJc w:val="left"/>
      <w:pPr>
        <w:tabs>
          <w:tab w:val="num" w:pos="5760"/>
        </w:tabs>
        <w:ind w:left="5760" w:hanging="360"/>
      </w:pPr>
      <w:rPr>
        <w:rFonts w:ascii="Arial" w:hAnsi="Arial" w:hint="default"/>
      </w:rPr>
    </w:lvl>
    <w:lvl w:ilvl="8" w:tplc="285CD9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A726FE"/>
    <w:multiLevelType w:val="hybridMultilevel"/>
    <w:tmpl w:val="4B24F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503373"/>
    <w:multiLevelType w:val="hybridMultilevel"/>
    <w:tmpl w:val="2256B40A"/>
    <w:lvl w:ilvl="0" w:tplc="7B9E0140">
      <w:start w:val="1"/>
      <w:numFmt w:val="bullet"/>
      <w:lvlText w:val="•"/>
      <w:lvlJc w:val="left"/>
      <w:pPr>
        <w:tabs>
          <w:tab w:val="num" w:pos="720"/>
        </w:tabs>
        <w:ind w:left="720" w:hanging="360"/>
      </w:pPr>
      <w:rPr>
        <w:rFonts w:ascii="Arial" w:hAnsi="Arial" w:hint="default"/>
      </w:rPr>
    </w:lvl>
    <w:lvl w:ilvl="1" w:tplc="63F8BF4C">
      <w:start w:val="104"/>
      <w:numFmt w:val="bullet"/>
      <w:lvlText w:val=""/>
      <w:lvlJc w:val="left"/>
      <w:pPr>
        <w:tabs>
          <w:tab w:val="num" w:pos="1440"/>
        </w:tabs>
        <w:ind w:left="1440" w:hanging="360"/>
      </w:pPr>
      <w:rPr>
        <w:rFonts w:ascii="Wingdings" w:hAnsi="Wingdings" w:hint="default"/>
      </w:rPr>
    </w:lvl>
    <w:lvl w:ilvl="2" w:tplc="6A7457BA" w:tentative="1">
      <w:start w:val="1"/>
      <w:numFmt w:val="bullet"/>
      <w:lvlText w:val="•"/>
      <w:lvlJc w:val="left"/>
      <w:pPr>
        <w:tabs>
          <w:tab w:val="num" w:pos="2160"/>
        </w:tabs>
        <w:ind w:left="2160" w:hanging="360"/>
      </w:pPr>
      <w:rPr>
        <w:rFonts w:ascii="Arial" w:hAnsi="Arial" w:hint="default"/>
      </w:rPr>
    </w:lvl>
    <w:lvl w:ilvl="3" w:tplc="DF86DBC0" w:tentative="1">
      <w:start w:val="1"/>
      <w:numFmt w:val="bullet"/>
      <w:lvlText w:val="•"/>
      <w:lvlJc w:val="left"/>
      <w:pPr>
        <w:tabs>
          <w:tab w:val="num" w:pos="2880"/>
        </w:tabs>
        <w:ind w:left="2880" w:hanging="360"/>
      </w:pPr>
      <w:rPr>
        <w:rFonts w:ascii="Arial" w:hAnsi="Arial" w:hint="default"/>
      </w:rPr>
    </w:lvl>
    <w:lvl w:ilvl="4" w:tplc="07885420" w:tentative="1">
      <w:start w:val="1"/>
      <w:numFmt w:val="bullet"/>
      <w:lvlText w:val="•"/>
      <w:lvlJc w:val="left"/>
      <w:pPr>
        <w:tabs>
          <w:tab w:val="num" w:pos="3600"/>
        </w:tabs>
        <w:ind w:left="3600" w:hanging="360"/>
      </w:pPr>
      <w:rPr>
        <w:rFonts w:ascii="Arial" w:hAnsi="Arial" w:hint="default"/>
      </w:rPr>
    </w:lvl>
    <w:lvl w:ilvl="5" w:tplc="C5FCF3D2" w:tentative="1">
      <w:start w:val="1"/>
      <w:numFmt w:val="bullet"/>
      <w:lvlText w:val="•"/>
      <w:lvlJc w:val="left"/>
      <w:pPr>
        <w:tabs>
          <w:tab w:val="num" w:pos="4320"/>
        </w:tabs>
        <w:ind w:left="4320" w:hanging="360"/>
      </w:pPr>
      <w:rPr>
        <w:rFonts w:ascii="Arial" w:hAnsi="Arial" w:hint="default"/>
      </w:rPr>
    </w:lvl>
    <w:lvl w:ilvl="6" w:tplc="6D18CD2A" w:tentative="1">
      <w:start w:val="1"/>
      <w:numFmt w:val="bullet"/>
      <w:lvlText w:val="•"/>
      <w:lvlJc w:val="left"/>
      <w:pPr>
        <w:tabs>
          <w:tab w:val="num" w:pos="5040"/>
        </w:tabs>
        <w:ind w:left="5040" w:hanging="360"/>
      </w:pPr>
      <w:rPr>
        <w:rFonts w:ascii="Arial" w:hAnsi="Arial" w:hint="default"/>
      </w:rPr>
    </w:lvl>
    <w:lvl w:ilvl="7" w:tplc="47AC0212" w:tentative="1">
      <w:start w:val="1"/>
      <w:numFmt w:val="bullet"/>
      <w:lvlText w:val="•"/>
      <w:lvlJc w:val="left"/>
      <w:pPr>
        <w:tabs>
          <w:tab w:val="num" w:pos="5760"/>
        </w:tabs>
        <w:ind w:left="5760" w:hanging="360"/>
      </w:pPr>
      <w:rPr>
        <w:rFonts w:ascii="Arial" w:hAnsi="Arial" w:hint="default"/>
      </w:rPr>
    </w:lvl>
    <w:lvl w:ilvl="8" w:tplc="ED3E03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93472C"/>
    <w:multiLevelType w:val="hybridMultilevel"/>
    <w:tmpl w:val="63042630"/>
    <w:lvl w:ilvl="0" w:tplc="8D78B594">
      <w:start w:val="1"/>
      <w:numFmt w:val="bullet"/>
      <w:lvlText w:val="•"/>
      <w:lvlJc w:val="left"/>
      <w:pPr>
        <w:tabs>
          <w:tab w:val="num" w:pos="720"/>
        </w:tabs>
        <w:ind w:left="720" w:hanging="360"/>
      </w:pPr>
      <w:rPr>
        <w:rFonts w:ascii="Arial" w:hAnsi="Arial" w:hint="default"/>
      </w:rPr>
    </w:lvl>
    <w:lvl w:ilvl="1" w:tplc="5C906BB6" w:tentative="1">
      <w:start w:val="1"/>
      <w:numFmt w:val="bullet"/>
      <w:lvlText w:val="•"/>
      <w:lvlJc w:val="left"/>
      <w:pPr>
        <w:tabs>
          <w:tab w:val="num" w:pos="1440"/>
        </w:tabs>
        <w:ind w:left="1440" w:hanging="360"/>
      </w:pPr>
      <w:rPr>
        <w:rFonts w:ascii="Arial" w:hAnsi="Arial" w:hint="default"/>
      </w:rPr>
    </w:lvl>
    <w:lvl w:ilvl="2" w:tplc="C804D1B6" w:tentative="1">
      <w:start w:val="1"/>
      <w:numFmt w:val="bullet"/>
      <w:lvlText w:val="•"/>
      <w:lvlJc w:val="left"/>
      <w:pPr>
        <w:tabs>
          <w:tab w:val="num" w:pos="2160"/>
        </w:tabs>
        <w:ind w:left="2160" w:hanging="360"/>
      </w:pPr>
      <w:rPr>
        <w:rFonts w:ascii="Arial" w:hAnsi="Arial" w:hint="default"/>
      </w:rPr>
    </w:lvl>
    <w:lvl w:ilvl="3" w:tplc="EF620DC4" w:tentative="1">
      <w:start w:val="1"/>
      <w:numFmt w:val="bullet"/>
      <w:lvlText w:val="•"/>
      <w:lvlJc w:val="left"/>
      <w:pPr>
        <w:tabs>
          <w:tab w:val="num" w:pos="2880"/>
        </w:tabs>
        <w:ind w:left="2880" w:hanging="360"/>
      </w:pPr>
      <w:rPr>
        <w:rFonts w:ascii="Arial" w:hAnsi="Arial" w:hint="default"/>
      </w:rPr>
    </w:lvl>
    <w:lvl w:ilvl="4" w:tplc="65D62E4C" w:tentative="1">
      <w:start w:val="1"/>
      <w:numFmt w:val="bullet"/>
      <w:lvlText w:val="•"/>
      <w:lvlJc w:val="left"/>
      <w:pPr>
        <w:tabs>
          <w:tab w:val="num" w:pos="3600"/>
        </w:tabs>
        <w:ind w:left="3600" w:hanging="360"/>
      </w:pPr>
      <w:rPr>
        <w:rFonts w:ascii="Arial" w:hAnsi="Arial" w:hint="default"/>
      </w:rPr>
    </w:lvl>
    <w:lvl w:ilvl="5" w:tplc="733075DE" w:tentative="1">
      <w:start w:val="1"/>
      <w:numFmt w:val="bullet"/>
      <w:lvlText w:val="•"/>
      <w:lvlJc w:val="left"/>
      <w:pPr>
        <w:tabs>
          <w:tab w:val="num" w:pos="4320"/>
        </w:tabs>
        <w:ind w:left="4320" w:hanging="360"/>
      </w:pPr>
      <w:rPr>
        <w:rFonts w:ascii="Arial" w:hAnsi="Arial" w:hint="default"/>
      </w:rPr>
    </w:lvl>
    <w:lvl w:ilvl="6" w:tplc="365270F8" w:tentative="1">
      <w:start w:val="1"/>
      <w:numFmt w:val="bullet"/>
      <w:lvlText w:val="•"/>
      <w:lvlJc w:val="left"/>
      <w:pPr>
        <w:tabs>
          <w:tab w:val="num" w:pos="5040"/>
        </w:tabs>
        <w:ind w:left="5040" w:hanging="360"/>
      </w:pPr>
      <w:rPr>
        <w:rFonts w:ascii="Arial" w:hAnsi="Arial" w:hint="default"/>
      </w:rPr>
    </w:lvl>
    <w:lvl w:ilvl="7" w:tplc="6CCA114C" w:tentative="1">
      <w:start w:val="1"/>
      <w:numFmt w:val="bullet"/>
      <w:lvlText w:val="•"/>
      <w:lvlJc w:val="left"/>
      <w:pPr>
        <w:tabs>
          <w:tab w:val="num" w:pos="5760"/>
        </w:tabs>
        <w:ind w:left="5760" w:hanging="360"/>
      </w:pPr>
      <w:rPr>
        <w:rFonts w:ascii="Arial" w:hAnsi="Arial" w:hint="default"/>
      </w:rPr>
    </w:lvl>
    <w:lvl w:ilvl="8" w:tplc="CE120D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5075245"/>
    <w:multiLevelType w:val="hybridMultilevel"/>
    <w:tmpl w:val="A93E3A18"/>
    <w:lvl w:ilvl="0" w:tplc="DE9A61CE">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9"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922D61"/>
    <w:multiLevelType w:val="hybridMultilevel"/>
    <w:tmpl w:val="4E80F138"/>
    <w:lvl w:ilvl="0" w:tplc="B6B4AA14">
      <w:start w:val="1"/>
      <w:numFmt w:val="bullet"/>
      <w:lvlText w:val="•"/>
      <w:lvlJc w:val="left"/>
      <w:pPr>
        <w:tabs>
          <w:tab w:val="num" w:pos="720"/>
        </w:tabs>
        <w:ind w:left="720" w:hanging="360"/>
      </w:pPr>
      <w:rPr>
        <w:rFonts w:ascii="Arial" w:hAnsi="Arial" w:hint="default"/>
      </w:rPr>
    </w:lvl>
    <w:lvl w:ilvl="1" w:tplc="36F6D10E" w:tentative="1">
      <w:start w:val="1"/>
      <w:numFmt w:val="bullet"/>
      <w:lvlText w:val="•"/>
      <w:lvlJc w:val="left"/>
      <w:pPr>
        <w:tabs>
          <w:tab w:val="num" w:pos="1440"/>
        </w:tabs>
        <w:ind w:left="1440" w:hanging="360"/>
      </w:pPr>
      <w:rPr>
        <w:rFonts w:ascii="Arial" w:hAnsi="Arial" w:hint="default"/>
      </w:rPr>
    </w:lvl>
    <w:lvl w:ilvl="2" w:tplc="832EDD4A" w:tentative="1">
      <w:start w:val="1"/>
      <w:numFmt w:val="bullet"/>
      <w:lvlText w:val="•"/>
      <w:lvlJc w:val="left"/>
      <w:pPr>
        <w:tabs>
          <w:tab w:val="num" w:pos="2160"/>
        </w:tabs>
        <w:ind w:left="2160" w:hanging="360"/>
      </w:pPr>
      <w:rPr>
        <w:rFonts w:ascii="Arial" w:hAnsi="Arial" w:hint="default"/>
      </w:rPr>
    </w:lvl>
    <w:lvl w:ilvl="3" w:tplc="DA489E9E" w:tentative="1">
      <w:start w:val="1"/>
      <w:numFmt w:val="bullet"/>
      <w:lvlText w:val="•"/>
      <w:lvlJc w:val="left"/>
      <w:pPr>
        <w:tabs>
          <w:tab w:val="num" w:pos="2880"/>
        </w:tabs>
        <w:ind w:left="2880" w:hanging="360"/>
      </w:pPr>
      <w:rPr>
        <w:rFonts w:ascii="Arial" w:hAnsi="Arial" w:hint="default"/>
      </w:rPr>
    </w:lvl>
    <w:lvl w:ilvl="4" w:tplc="7B585CF0" w:tentative="1">
      <w:start w:val="1"/>
      <w:numFmt w:val="bullet"/>
      <w:lvlText w:val="•"/>
      <w:lvlJc w:val="left"/>
      <w:pPr>
        <w:tabs>
          <w:tab w:val="num" w:pos="3600"/>
        </w:tabs>
        <w:ind w:left="3600" w:hanging="360"/>
      </w:pPr>
      <w:rPr>
        <w:rFonts w:ascii="Arial" w:hAnsi="Arial" w:hint="default"/>
      </w:rPr>
    </w:lvl>
    <w:lvl w:ilvl="5" w:tplc="CAD85206" w:tentative="1">
      <w:start w:val="1"/>
      <w:numFmt w:val="bullet"/>
      <w:lvlText w:val="•"/>
      <w:lvlJc w:val="left"/>
      <w:pPr>
        <w:tabs>
          <w:tab w:val="num" w:pos="4320"/>
        </w:tabs>
        <w:ind w:left="4320" w:hanging="360"/>
      </w:pPr>
      <w:rPr>
        <w:rFonts w:ascii="Arial" w:hAnsi="Arial" w:hint="default"/>
      </w:rPr>
    </w:lvl>
    <w:lvl w:ilvl="6" w:tplc="24FAED20" w:tentative="1">
      <w:start w:val="1"/>
      <w:numFmt w:val="bullet"/>
      <w:lvlText w:val="•"/>
      <w:lvlJc w:val="left"/>
      <w:pPr>
        <w:tabs>
          <w:tab w:val="num" w:pos="5040"/>
        </w:tabs>
        <w:ind w:left="5040" w:hanging="360"/>
      </w:pPr>
      <w:rPr>
        <w:rFonts w:ascii="Arial" w:hAnsi="Arial" w:hint="default"/>
      </w:rPr>
    </w:lvl>
    <w:lvl w:ilvl="7" w:tplc="8E42F984" w:tentative="1">
      <w:start w:val="1"/>
      <w:numFmt w:val="bullet"/>
      <w:lvlText w:val="•"/>
      <w:lvlJc w:val="left"/>
      <w:pPr>
        <w:tabs>
          <w:tab w:val="num" w:pos="5760"/>
        </w:tabs>
        <w:ind w:left="5760" w:hanging="360"/>
      </w:pPr>
      <w:rPr>
        <w:rFonts w:ascii="Arial" w:hAnsi="Arial" w:hint="default"/>
      </w:rPr>
    </w:lvl>
    <w:lvl w:ilvl="8" w:tplc="F4E0E5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405383"/>
    <w:multiLevelType w:val="hybridMultilevel"/>
    <w:tmpl w:val="7F9ADC22"/>
    <w:lvl w:ilvl="0" w:tplc="CB4A6192">
      <w:numFmt w:val="bullet"/>
      <w:lvlText w:val="-"/>
      <w:lvlJc w:val="left"/>
      <w:pPr>
        <w:ind w:left="360" w:hanging="360"/>
      </w:pPr>
      <w:rPr>
        <w:rFonts w:ascii="Times New Roman" w:eastAsia="Batang" w:hAnsi="Times New Roman" w:cs="Times New Roman"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C526E7"/>
    <w:multiLevelType w:val="hybridMultilevel"/>
    <w:tmpl w:val="48A66DD0"/>
    <w:lvl w:ilvl="0" w:tplc="04090011">
      <w:start w:val="1"/>
      <w:numFmt w:val="decimal"/>
      <w:lvlText w:val="%1)"/>
      <w:lvlJc w:val="left"/>
      <w:pPr>
        <w:ind w:left="758" w:hanging="360"/>
      </w:pPr>
      <w:rPr>
        <w:rFonts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29E560F1"/>
    <w:multiLevelType w:val="hybridMultilevel"/>
    <w:tmpl w:val="74347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AA4A2C"/>
    <w:multiLevelType w:val="hybridMultilevel"/>
    <w:tmpl w:val="84042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200F7"/>
    <w:multiLevelType w:val="hybridMultilevel"/>
    <w:tmpl w:val="EA06981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A67A07"/>
    <w:multiLevelType w:val="hybridMultilevel"/>
    <w:tmpl w:val="6CBCEF28"/>
    <w:lvl w:ilvl="0" w:tplc="55367BBE">
      <w:start w:val="1"/>
      <w:numFmt w:val="bullet"/>
      <w:lvlText w:val="•"/>
      <w:lvlJc w:val="left"/>
      <w:pPr>
        <w:tabs>
          <w:tab w:val="num" w:pos="720"/>
        </w:tabs>
        <w:ind w:left="720" w:hanging="360"/>
      </w:pPr>
      <w:rPr>
        <w:rFonts w:ascii="Arial" w:hAnsi="Arial" w:hint="default"/>
      </w:rPr>
    </w:lvl>
    <w:lvl w:ilvl="1" w:tplc="B42A5F4C">
      <w:start w:val="104"/>
      <w:numFmt w:val="bullet"/>
      <w:lvlText w:val=""/>
      <w:lvlJc w:val="left"/>
      <w:pPr>
        <w:tabs>
          <w:tab w:val="num" w:pos="1440"/>
        </w:tabs>
        <w:ind w:left="1440" w:hanging="360"/>
      </w:pPr>
      <w:rPr>
        <w:rFonts w:ascii="Wingdings" w:hAnsi="Wingdings" w:hint="default"/>
      </w:rPr>
    </w:lvl>
    <w:lvl w:ilvl="2" w:tplc="4B624960">
      <w:start w:val="1"/>
      <w:numFmt w:val="bullet"/>
      <w:lvlText w:val="•"/>
      <w:lvlJc w:val="left"/>
      <w:pPr>
        <w:tabs>
          <w:tab w:val="num" w:pos="2160"/>
        </w:tabs>
        <w:ind w:left="2160" w:hanging="360"/>
      </w:pPr>
      <w:rPr>
        <w:rFonts w:ascii="Arial" w:hAnsi="Arial" w:hint="default"/>
      </w:rPr>
    </w:lvl>
    <w:lvl w:ilvl="3" w:tplc="4976A84E" w:tentative="1">
      <w:start w:val="1"/>
      <w:numFmt w:val="bullet"/>
      <w:lvlText w:val="•"/>
      <w:lvlJc w:val="left"/>
      <w:pPr>
        <w:tabs>
          <w:tab w:val="num" w:pos="2880"/>
        </w:tabs>
        <w:ind w:left="2880" w:hanging="360"/>
      </w:pPr>
      <w:rPr>
        <w:rFonts w:ascii="Arial" w:hAnsi="Arial" w:hint="default"/>
      </w:rPr>
    </w:lvl>
    <w:lvl w:ilvl="4" w:tplc="36FA98BC" w:tentative="1">
      <w:start w:val="1"/>
      <w:numFmt w:val="bullet"/>
      <w:lvlText w:val="•"/>
      <w:lvlJc w:val="left"/>
      <w:pPr>
        <w:tabs>
          <w:tab w:val="num" w:pos="3600"/>
        </w:tabs>
        <w:ind w:left="3600" w:hanging="360"/>
      </w:pPr>
      <w:rPr>
        <w:rFonts w:ascii="Arial" w:hAnsi="Arial" w:hint="default"/>
      </w:rPr>
    </w:lvl>
    <w:lvl w:ilvl="5" w:tplc="03902160" w:tentative="1">
      <w:start w:val="1"/>
      <w:numFmt w:val="bullet"/>
      <w:lvlText w:val="•"/>
      <w:lvlJc w:val="left"/>
      <w:pPr>
        <w:tabs>
          <w:tab w:val="num" w:pos="4320"/>
        </w:tabs>
        <w:ind w:left="4320" w:hanging="360"/>
      </w:pPr>
      <w:rPr>
        <w:rFonts w:ascii="Arial" w:hAnsi="Arial" w:hint="default"/>
      </w:rPr>
    </w:lvl>
    <w:lvl w:ilvl="6" w:tplc="C9D69774" w:tentative="1">
      <w:start w:val="1"/>
      <w:numFmt w:val="bullet"/>
      <w:lvlText w:val="•"/>
      <w:lvlJc w:val="left"/>
      <w:pPr>
        <w:tabs>
          <w:tab w:val="num" w:pos="5040"/>
        </w:tabs>
        <w:ind w:left="5040" w:hanging="360"/>
      </w:pPr>
      <w:rPr>
        <w:rFonts w:ascii="Arial" w:hAnsi="Arial" w:hint="default"/>
      </w:rPr>
    </w:lvl>
    <w:lvl w:ilvl="7" w:tplc="AC326612" w:tentative="1">
      <w:start w:val="1"/>
      <w:numFmt w:val="bullet"/>
      <w:lvlText w:val="•"/>
      <w:lvlJc w:val="left"/>
      <w:pPr>
        <w:tabs>
          <w:tab w:val="num" w:pos="5760"/>
        </w:tabs>
        <w:ind w:left="5760" w:hanging="360"/>
      </w:pPr>
      <w:rPr>
        <w:rFonts w:ascii="Arial" w:hAnsi="Arial" w:hint="default"/>
      </w:rPr>
    </w:lvl>
    <w:lvl w:ilvl="8" w:tplc="283E50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F5462A"/>
    <w:multiLevelType w:val="hybridMultilevel"/>
    <w:tmpl w:val="71E03A1E"/>
    <w:lvl w:ilvl="0" w:tplc="7F487C64">
      <w:numFmt w:val="bullet"/>
      <w:lvlText w:val=""/>
      <w:lvlJc w:val="left"/>
      <w:pPr>
        <w:ind w:left="1440" w:hanging="360"/>
      </w:pPr>
      <w:rPr>
        <w:rFonts w:ascii="Symbol" w:eastAsia="Calibri" w:hAnsi="Symbol"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2782E78"/>
    <w:multiLevelType w:val="hybridMultilevel"/>
    <w:tmpl w:val="45F431E4"/>
    <w:lvl w:ilvl="0" w:tplc="EEA4A9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AD4C35"/>
    <w:multiLevelType w:val="hybridMultilevel"/>
    <w:tmpl w:val="04323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DC2B3F"/>
    <w:multiLevelType w:val="hybridMultilevel"/>
    <w:tmpl w:val="ECC035E8"/>
    <w:lvl w:ilvl="0" w:tplc="5560CABC">
      <w:start w:val="1"/>
      <w:numFmt w:val="decimal"/>
      <w:lvlText w:val="%1)"/>
      <w:lvlJc w:val="left"/>
      <w:pPr>
        <w:tabs>
          <w:tab w:val="num" w:pos="720"/>
        </w:tabs>
        <w:ind w:left="720" w:hanging="360"/>
      </w:pPr>
    </w:lvl>
    <w:lvl w:ilvl="1" w:tplc="06A41526">
      <w:start w:val="104"/>
      <w:numFmt w:val="bullet"/>
      <w:lvlText w:val=""/>
      <w:lvlJc w:val="left"/>
      <w:pPr>
        <w:tabs>
          <w:tab w:val="num" w:pos="1440"/>
        </w:tabs>
        <w:ind w:left="1440" w:hanging="360"/>
      </w:pPr>
      <w:rPr>
        <w:rFonts w:ascii="Wingdings" w:hAnsi="Wingdings" w:hint="default"/>
      </w:rPr>
    </w:lvl>
    <w:lvl w:ilvl="2" w:tplc="9AFA088E" w:tentative="1">
      <w:start w:val="1"/>
      <w:numFmt w:val="decimal"/>
      <w:lvlText w:val="%3)"/>
      <w:lvlJc w:val="left"/>
      <w:pPr>
        <w:tabs>
          <w:tab w:val="num" w:pos="2160"/>
        </w:tabs>
        <w:ind w:left="2160" w:hanging="360"/>
      </w:pPr>
    </w:lvl>
    <w:lvl w:ilvl="3" w:tplc="A6D4C442" w:tentative="1">
      <w:start w:val="1"/>
      <w:numFmt w:val="decimal"/>
      <w:lvlText w:val="%4)"/>
      <w:lvlJc w:val="left"/>
      <w:pPr>
        <w:tabs>
          <w:tab w:val="num" w:pos="2880"/>
        </w:tabs>
        <w:ind w:left="2880" w:hanging="360"/>
      </w:pPr>
    </w:lvl>
    <w:lvl w:ilvl="4" w:tplc="CA42C382" w:tentative="1">
      <w:start w:val="1"/>
      <w:numFmt w:val="decimal"/>
      <w:lvlText w:val="%5)"/>
      <w:lvlJc w:val="left"/>
      <w:pPr>
        <w:tabs>
          <w:tab w:val="num" w:pos="3600"/>
        </w:tabs>
        <w:ind w:left="3600" w:hanging="360"/>
      </w:pPr>
    </w:lvl>
    <w:lvl w:ilvl="5" w:tplc="E3421A90" w:tentative="1">
      <w:start w:val="1"/>
      <w:numFmt w:val="decimal"/>
      <w:lvlText w:val="%6)"/>
      <w:lvlJc w:val="left"/>
      <w:pPr>
        <w:tabs>
          <w:tab w:val="num" w:pos="4320"/>
        </w:tabs>
        <w:ind w:left="4320" w:hanging="360"/>
      </w:pPr>
    </w:lvl>
    <w:lvl w:ilvl="6" w:tplc="525287A0" w:tentative="1">
      <w:start w:val="1"/>
      <w:numFmt w:val="decimal"/>
      <w:lvlText w:val="%7)"/>
      <w:lvlJc w:val="left"/>
      <w:pPr>
        <w:tabs>
          <w:tab w:val="num" w:pos="5040"/>
        </w:tabs>
        <w:ind w:left="5040" w:hanging="360"/>
      </w:pPr>
    </w:lvl>
    <w:lvl w:ilvl="7" w:tplc="774E86CC" w:tentative="1">
      <w:start w:val="1"/>
      <w:numFmt w:val="decimal"/>
      <w:lvlText w:val="%8)"/>
      <w:lvlJc w:val="left"/>
      <w:pPr>
        <w:tabs>
          <w:tab w:val="num" w:pos="5760"/>
        </w:tabs>
        <w:ind w:left="5760" w:hanging="360"/>
      </w:pPr>
    </w:lvl>
    <w:lvl w:ilvl="8" w:tplc="E3CE0F10" w:tentative="1">
      <w:start w:val="1"/>
      <w:numFmt w:val="decimal"/>
      <w:lvlText w:val="%9)"/>
      <w:lvlJc w:val="left"/>
      <w:pPr>
        <w:tabs>
          <w:tab w:val="num" w:pos="6480"/>
        </w:tabs>
        <w:ind w:left="6480" w:hanging="360"/>
      </w:pPr>
    </w:lvl>
  </w:abstractNum>
  <w:abstractNum w:abstractNumId="32" w15:restartNumberingAfterBreak="0">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161279"/>
    <w:multiLevelType w:val="hybridMultilevel"/>
    <w:tmpl w:val="ABE26B20"/>
    <w:lvl w:ilvl="0" w:tplc="2D6CE1DA">
      <w:start w:val="1"/>
      <w:numFmt w:val="bullet"/>
      <w:lvlText w:val="•"/>
      <w:lvlJc w:val="left"/>
      <w:pPr>
        <w:tabs>
          <w:tab w:val="num" w:pos="720"/>
        </w:tabs>
        <w:ind w:left="720" w:hanging="360"/>
      </w:pPr>
      <w:rPr>
        <w:rFonts w:ascii="Arial" w:hAnsi="Arial" w:hint="default"/>
      </w:rPr>
    </w:lvl>
    <w:lvl w:ilvl="1" w:tplc="187EF568">
      <w:start w:val="104"/>
      <w:numFmt w:val="bullet"/>
      <w:lvlText w:val=""/>
      <w:lvlJc w:val="left"/>
      <w:pPr>
        <w:tabs>
          <w:tab w:val="num" w:pos="1440"/>
        </w:tabs>
        <w:ind w:left="1440" w:hanging="360"/>
      </w:pPr>
      <w:rPr>
        <w:rFonts w:ascii="Wingdings" w:hAnsi="Wingdings" w:hint="default"/>
      </w:rPr>
    </w:lvl>
    <w:lvl w:ilvl="2" w:tplc="2160BEAE" w:tentative="1">
      <w:start w:val="1"/>
      <w:numFmt w:val="bullet"/>
      <w:lvlText w:val="•"/>
      <w:lvlJc w:val="left"/>
      <w:pPr>
        <w:tabs>
          <w:tab w:val="num" w:pos="2160"/>
        </w:tabs>
        <w:ind w:left="2160" w:hanging="360"/>
      </w:pPr>
      <w:rPr>
        <w:rFonts w:ascii="Arial" w:hAnsi="Arial" w:hint="default"/>
      </w:rPr>
    </w:lvl>
    <w:lvl w:ilvl="3" w:tplc="AA18E7E4" w:tentative="1">
      <w:start w:val="1"/>
      <w:numFmt w:val="bullet"/>
      <w:lvlText w:val="•"/>
      <w:lvlJc w:val="left"/>
      <w:pPr>
        <w:tabs>
          <w:tab w:val="num" w:pos="2880"/>
        </w:tabs>
        <w:ind w:left="2880" w:hanging="360"/>
      </w:pPr>
      <w:rPr>
        <w:rFonts w:ascii="Arial" w:hAnsi="Arial" w:hint="default"/>
      </w:rPr>
    </w:lvl>
    <w:lvl w:ilvl="4" w:tplc="A906D1E4" w:tentative="1">
      <w:start w:val="1"/>
      <w:numFmt w:val="bullet"/>
      <w:lvlText w:val="•"/>
      <w:lvlJc w:val="left"/>
      <w:pPr>
        <w:tabs>
          <w:tab w:val="num" w:pos="3600"/>
        </w:tabs>
        <w:ind w:left="3600" w:hanging="360"/>
      </w:pPr>
      <w:rPr>
        <w:rFonts w:ascii="Arial" w:hAnsi="Arial" w:hint="default"/>
      </w:rPr>
    </w:lvl>
    <w:lvl w:ilvl="5" w:tplc="AB14B03E" w:tentative="1">
      <w:start w:val="1"/>
      <w:numFmt w:val="bullet"/>
      <w:lvlText w:val="•"/>
      <w:lvlJc w:val="left"/>
      <w:pPr>
        <w:tabs>
          <w:tab w:val="num" w:pos="4320"/>
        </w:tabs>
        <w:ind w:left="4320" w:hanging="360"/>
      </w:pPr>
      <w:rPr>
        <w:rFonts w:ascii="Arial" w:hAnsi="Arial" w:hint="default"/>
      </w:rPr>
    </w:lvl>
    <w:lvl w:ilvl="6" w:tplc="ED94E432" w:tentative="1">
      <w:start w:val="1"/>
      <w:numFmt w:val="bullet"/>
      <w:lvlText w:val="•"/>
      <w:lvlJc w:val="left"/>
      <w:pPr>
        <w:tabs>
          <w:tab w:val="num" w:pos="5040"/>
        </w:tabs>
        <w:ind w:left="5040" w:hanging="360"/>
      </w:pPr>
      <w:rPr>
        <w:rFonts w:ascii="Arial" w:hAnsi="Arial" w:hint="default"/>
      </w:rPr>
    </w:lvl>
    <w:lvl w:ilvl="7" w:tplc="0292122E" w:tentative="1">
      <w:start w:val="1"/>
      <w:numFmt w:val="bullet"/>
      <w:lvlText w:val="•"/>
      <w:lvlJc w:val="left"/>
      <w:pPr>
        <w:tabs>
          <w:tab w:val="num" w:pos="5760"/>
        </w:tabs>
        <w:ind w:left="5760" w:hanging="360"/>
      </w:pPr>
      <w:rPr>
        <w:rFonts w:ascii="Arial" w:hAnsi="Arial" w:hint="default"/>
      </w:rPr>
    </w:lvl>
    <w:lvl w:ilvl="8" w:tplc="B3A43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AC6CAD"/>
    <w:multiLevelType w:val="hybridMultilevel"/>
    <w:tmpl w:val="48A66DD0"/>
    <w:lvl w:ilvl="0" w:tplc="04090011">
      <w:start w:val="1"/>
      <w:numFmt w:val="decimal"/>
      <w:lvlText w:val="%1)"/>
      <w:lvlJc w:val="left"/>
      <w:pPr>
        <w:ind w:left="758" w:hanging="360"/>
      </w:pPr>
      <w:rPr>
        <w:rFonts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6" w15:restartNumberingAfterBreak="0">
    <w:nsid w:val="5D3742EF"/>
    <w:multiLevelType w:val="hybridMultilevel"/>
    <w:tmpl w:val="3744A5BE"/>
    <w:lvl w:ilvl="0" w:tplc="04C6838E">
      <w:start w:val="1"/>
      <w:numFmt w:val="bullet"/>
      <w:lvlText w:val="•"/>
      <w:lvlJc w:val="left"/>
      <w:pPr>
        <w:tabs>
          <w:tab w:val="num" w:pos="720"/>
        </w:tabs>
        <w:ind w:left="720" w:hanging="360"/>
      </w:pPr>
      <w:rPr>
        <w:rFonts w:ascii="Arial" w:hAnsi="Arial" w:hint="default"/>
      </w:rPr>
    </w:lvl>
    <w:lvl w:ilvl="1" w:tplc="4B9E8294">
      <w:start w:val="104"/>
      <w:numFmt w:val="bullet"/>
      <w:lvlText w:val=""/>
      <w:lvlJc w:val="left"/>
      <w:pPr>
        <w:tabs>
          <w:tab w:val="num" w:pos="1440"/>
        </w:tabs>
        <w:ind w:left="1440" w:hanging="360"/>
      </w:pPr>
      <w:rPr>
        <w:rFonts w:ascii="Wingdings" w:hAnsi="Wingdings" w:hint="default"/>
      </w:rPr>
    </w:lvl>
    <w:lvl w:ilvl="2" w:tplc="E63ADA68" w:tentative="1">
      <w:start w:val="1"/>
      <w:numFmt w:val="bullet"/>
      <w:lvlText w:val="•"/>
      <w:lvlJc w:val="left"/>
      <w:pPr>
        <w:tabs>
          <w:tab w:val="num" w:pos="2160"/>
        </w:tabs>
        <w:ind w:left="2160" w:hanging="360"/>
      </w:pPr>
      <w:rPr>
        <w:rFonts w:ascii="Arial" w:hAnsi="Arial" w:hint="default"/>
      </w:rPr>
    </w:lvl>
    <w:lvl w:ilvl="3" w:tplc="443897F4" w:tentative="1">
      <w:start w:val="1"/>
      <w:numFmt w:val="bullet"/>
      <w:lvlText w:val="•"/>
      <w:lvlJc w:val="left"/>
      <w:pPr>
        <w:tabs>
          <w:tab w:val="num" w:pos="2880"/>
        </w:tabs>
        <w:ind w:left="2880" w:hanging="360"/>
      </w:pPr>
      <w:rPr>
        <w:rFonts w:ascii="Arial" w:hAnsi="Arial" w:hint="default"/>
      </w:rPr>
    </w:lvl>
    <w:lvl w:ilvl="4" w:tplc="074AF9A0" w:tentative="1">
      <w:start w:val="1"/>
      <w:numFmt w:val="bullet"/>
      <w:lvlText w:val="•"/>
      <w:lvlJc w:val="left"/>
      <w:pPr>
        <w:tabs>
          <w:tab w:val="num" w:pos="3600"/>
        </w:tabs>
        <w:ind w:left="3600" w:hanging="360"/>
      </w:pPr>
      <w:rPr>
        <w:rFonts w:ascii="Arial" w:hAnsi="Arial" w:hint="default"/>
      </w:rPr>
    </w:lvl>
    <w:lvl w:ilvl="5" w:tplc="F17832AE" w:tentative="1">
      <w:start w:val="1"/>
      <w:numFmt w:val="bullet"/>
      <w:lvlText w:val="•"/>
      <w:lvlJc w:val="left"/>
      <w:pPr>
        <w:tabs>
          <w:tab w:val="num" w:pos="4320"/>
        </w:tabs>
        <w:ind w:left="4320" w:hanging="360"/>
      </w:pPr>
      <w:rPr>
        <w:rFonts w:ascii="Arial" w:hAnsi="Arial" w:hint="default"/>
      </w:rPr>
    </w:lvl>
    <w:lvl w:ilvl="6" w:tplc="91422BCE" w:tentative="1">
      <w:start w:val="1"/>
      <w:numFmt w:val="bullet"/>
      <w:lvlText w:val="•"/>
      <w:lvlJc w:val="left"/>
      <w:pPr>
        <w:tabs>
          <w:tab w:val="num" w:pos="5040"/>
        </w:tabs>
        <w:ind w:left="5040" w:hanging="360"/>
      </w:pPr>
      <w:rPr>
        <w:rFonts w:ascii="Arial" w:hAnsi="Arial" w:hint="default"/>
      </w:rPr>
    </w:lvl>
    <w:lvl w:ilvl="7" w:tplc="E27E7972" w:tentative="1">
      <w:start w:val="1"/>
      <w:numFmt w:val="bullet"/>
      <w:lvlText w:val="•"/>
      <w:lvlJc w:val="left"/>
      <w:pPr>
        <w:tabs>
          <w:tab w:val="num" w:pos="5760"/>
        </w:tabs>
        <w:ind w:left="5760" w:hanging="360"/>
      </w:pPr>
      <w:rPr>
        <w:rFonts w:ascii="Arial" w:hAnsi="Arial" w:hint="default"/>
      </w:rPr>
    </w:lvl>
    <w:lvl w:ilvl="8" w:tplc="6A7476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C67F9"/>
    <w:multiLevelType w:val="hybridMultilevel"/>
    <w:tmpl w:val="6C0A45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E064762"/>
    <w:multiLevelType w:val="hybridMultilevel"/>
    <w:tmpl w:val="745A3AB0"/>
    <w:lvl w:ilvl="0" w:tplc="EFBA42BC">
      <w:start w:val="1"/>
      <w:numFmt w:val="bullet"/>
      <w:lvlText w:val=""/>
      <w:lvlJc w:val="left"/>
      <w:pPr>
        <w:tabs>
          <w:tab w:val="num" w:pos="720"/>
        </w:tabs>
        <w:ind w:left="720" w:hanging="360"/>
      </w:pPr>
      <w:rPr>
        <w:rFonts w:ascii="Wingdings" w:hAnsi="Wingdings" w:hint="default"/>
      </w:rPr>
    </w:lvl>
    <w:lvl w:ilvl="1" w:tplc="BAA878FC">
      <w:start w:val="1"/>
      <w:numFmt w:val="bullet"/>
      <w:lvlText w:val=""/>
      <w:lvlJc w:val="left"/>
      <w:pPr>
        <w:tabs>
          <w:tab w:val="num" w:pos="1440"/>
        </w:tabs>
        <w:ind w:left="1440" w:hanging="360"/>
      </w:pPr>
      <w:rPr>
        <w:rFonts w:ascii="Wingdings" w:hAnsi="Wingdings" w:hint="default"/>
      </w:rPr>
    </w:lvl>
    <w:lvl w:ilvl="2" w:tplc="B9068936" w:tentative="1">
      <w:start w:val="1"/>
      <w:numFmt w:val="bullet"/>
      <w:lvlText w:val=""/>
      <w:lvlJc w:val="left"/>
      <w:pPr>
        <w:tabs>
          <w:tab w:val="num" w:pos="2160"/>
        </w:tabs>
        <w:ind w:left="2160" w:hanging="360"/>
      </w:pPr>
      <w:rPr>
        <w:rFonts w:ascii="Wingdings" w:hAnsi="Wingdings" w:hint="default"/>
      </w:rPr>
    </w:lvl>
    <w:lvl w:ilvl="3" w:tplc="66344568" w:tentative="1">
      <w:start w:val="1"/>
      <w:numFmt w:val="bullet"/>
      <w:lvlText w:val=""/>
      <w:lvlJc w:val="left"/>
      <w:pPr>
        <w:tabs>
          <w:tab w:val="num" w:pos="2880"/>
        </w:tabs>
        <w:ind w:left="2880" w:hanging="360"/>
      </w:pPr>
      <w:rPr>
        <w:rFonts w:ascii="Wingdings" w:hAnsi="Wingdings" w:hint="default"/>
      </w:rPr>
    </w:lvl>
    <w:lvl w:ilvl="4" w:tplc="222424EE" w:tentative="1">
      <w:start w:val="1"/>
      <w:numFmt w:val="bullet"/>
      <w:lvlText w:val=""/>
      <w:lvlJc w:val="left"/>
      <w:pPr>
        <w:tabs>
          <w:tab w:val="num" w:pos="3600"/>
        </w:tabs>
        <w:ind w:left="3600" w:hanging="360"/>
      </w:pPr>
      <w:rPr>
        <w:rFonts w:ascii="Wingdings" w:hAnsi="Wingdings" w:hint="default"/>
      </w:rPr>
    </w:lvl>
    <w:lvl w:ilvl="5" w:tplc="35044A70" w:tentative="1">
      <w:start w:val="1"/>
      <w:numFmt w:val="bullet"/>
      <w:lvlText w:val=""/>
      <w:lvlJc w:val="left"/>
      <w:pPr>
        <w:tabs>
          <w:tab w:val="num" w:pos="4320"/>
        </w:tabs>
        <w:ind w:left="4320" w:hanging="360"/>
      </w:pPr>
      <w:rPr>
        <w:rFonts w:ascii="Wingdings" w:hAnsi="Wingdings" w:hint="default"/>
      </w:rPr>
    </w:lvl>
    <w:lvl w:ilvl="6" w:tplc="21F2B9F8" w:tentative="1">
      <w:start w:val="1"/>
      <w:numFmt w:val="bullet"/>
      <w:lvlText w:val=""/>
      <w:lvlJc w:val="left"/>
      <w:pPr>
        <w:tabs>
          <w:tab w:val="num" w:pos="5040"/>
        </w:tabs>
        <w:ind w:left="5040" w:hanging="360"/>
      </w:pPr>
      <w:rPr>
        <w:rFonts w:ascii="Wingdings" w:hAnsi="Wingdings" w:hint="default"/>
      </w:rPr>
    </w:lvl>
    <w:lvl w:ilvl="7" w:tplc="E62E1326" w:tentative="1">
      <w:start w:val="1"/>
      <w:numFmt w:val="bullet"/>
      <w:lvlText w:val=""/>
      <w:lvlJc w:val="left"/>
      <w:pPr>
        <w:tabs>
          <w:tab w:val="num" w:pos="5760"/>
        </w:tabs>
        <w:ind w:left="5760" w:hanging="360"/>
      </w:pPr>
      <w:rPr>
        <w:rFonts w:ascii="Wingdings" w:hAnsi="Wingdings" w:hint="default"/>
      </w:rPr>
    </w:lvl>
    <w:lvl w:ilvl="8" w:tplc="1FB6DDC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256D82"/>
    <w:multiLevelType w:val="hybridMultilevel"/>
    <w:tmpl w:val="AA24C054"/>
    <w:lvl w:ilvl="0" w:tplc="C65C4A24">
      <w:start w:val="1"/>
      <w:numFmt w:val="bullet"/>
      <w:lvlText w:val="•"/>
      <w:lvlJc w:val="left"/>
      <w:pPr>
        <w:tabs>
          <w:tab w:val="num" w:pos="720"/>
        </w:tabs>
        <w:ind w:left="720" w:hanging="360"/>
      </w:pPr>
      <w:rPr>
        <w:rFonts w:ascii="Arial" w:hAnsi="Arial" w:hint="default"/>
      </w:rPr>
    </w:lvl>
    <w:lvl w:ilvl="1" w:tplc="BC50BA16" w:tentative="1">
      <w:start w:val="1"/>
      <w:numFmt w:val="bullet"/>
      <w:lvlText w:val="•"/>
      <w:lvlJc w:val="left"/>
      <w:pPr>
        <w:tabs>
          <w:tab w:val="num" w:pos="1440"/>
        </w:tabs>
        <w:ind w:left="1440" w:hanging="360"/>
      </w:pPr>
      <w:rPr>
        <w:rFonts w:ascii="Arial" w:hAnsi="Arial" w:hint="default"/>
      </w:rPr>
    </w:lvl>
    <w:lvl w:ilvl="2" w:tplc="7F0C5F02" w:tentative="1">
      <w:start w:val="1"/>
      <w:numFmt w:val="bullet"/>
      <w:lvlText w:val="•"/>
      <w:lvlJc w:val="left"/>
      <w:pPr>
        <w:tabs>
          <w:tab w:val="num" w:pos="2160"/>
        </w:tabs>
        <w:ind w:left="2160" w:hanging="360"/>
      </w:pPr>
      <w:rPr>
        <w:rFonts w:ascii="Arial" w:hAnsi="Arial" w:hint="default"/>
      </w:rPr>
    </w:lvl>
    <w:lvl w:ilvl="3" w:tplc="57B6579C" w:tentative="1">
      <w:start w:val="1"/>
      <w:numFmt w:val="bullet"/>
      <w:lvlText w:val="•"/>
      <w:lvlJc w:val="left"/>
      <w:pPr>
        <w:tabs>
          <w:tab w:val="num" w:pos="2880"/>
        </w:tabs>
        <w:ind w:left="2880" w:hanging="360"/>
      </w:pPr>
      <w:rPr>
        <w:rFonts w:ascii="Arial" w:hAnsi="Arial" w:hint="default"/>
      </w:rPr>
    </w:lvl>
    <w:lvl w:ilvl="4" w:tplc="4F1C589A" w:tentative="1">
      <w:start w:val="1"/>
      <w:numFmt w:val="bullet"/>
      <w:lvlText w:val="•"/>
      <w:lvlJc w:val="left"/>
      <w:pPr>
        <w:tabs>
          <w:tab w:val="num" w:pos="3600"/>
        </w:tabs>
        <w:ind w:left="3600" w:hanging="360"/>
      </w:pPr>
      <w:rPr>
        <w:rFonts w:ascii="Arial" w:hAnsi="Arial" w:hint="default"/>
      </w:rPr>
    </w:lvl>
    <w:lvl w:ilvl="5" w:tplc="A19E9256" w:tentative="1">
      <w:start w:val="1"/>
      <w:numFmt w:val="bullet"/>
      <w:lvlText w:val="•"/>
      <w:lvlJc w:val="left"/>
      <w:pPr>
        <w:tabs>
          <w:tab w:val="num" w:pos="4320"/>
        </w:tabs>
        <w:ind w:left="4320" w:hanging="360"/>
      </w:pPr>
      <w:rPr>
        <w:rFonts w:ascii="Arial" w:hAnsi="Arial" w:hint="default"/>
      </w:rPr>
    </w:lvl>
    <w:lvl w:ilvl="6" w:tplc="84763D00" w:tentative="1">
      <w:start w:val="1"/>
      <w:numFmt w:val="bullet"/>
      <w:lvlText w:val="•"/>
      <w:lvlJc w:val="left"/>
      <w:pPr>
        <w:tabs>
          <w:tab w:val="num" w:pos="5040"/>
        </w:tabs>
        <w:ind w:left="5040" w:hanging="360"/>
      </w:pPr>
      <w:rPr>
        <w:rFonts w:ascii="Arial" w:hAnsi="Arial" w:hint="default"/>
      </w:rPr>
    </w:lvl>
    <w:lvl w:ilvl="7" w:tplc="B68A3BEA" w:tentative="1">
      <w:start w:val="1"/>
      <w:numFmt w:val="bullet"/>
      <w:lvlText w:val="•"/>
      <w:lvlJc w:val="left"/>
      <w:pPr>
        <w:tabs>
          <w:tab w:val="num" w:pos="5760"/>
        </w:tabs>
        <w:ind w:left="5760" w:hanging="360"/>
      </w:pPr>
      <w:rPr>
        <w:rFonts w:ascii="Arial" w:hAnsi="Arial" w:hint="default"/>
      </w:rPr>
    </w:lvl>
    <w:lvl w:ilvl="8" w:tplc="D102E1B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D9083C"/>
    <w:multiLevelType w:val="hybridMultilevel"/>
    <w:tmpl w:val="6C0A45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63B2170"/>
    <w:multiLevelType w:val="hybridMultilevel"/>
    <w:tmpl w:val="1E0AEB0E"/>
    <w:lvl w:ilvl="0" w:tplc="3CF29C02">
      <w:start w:val="1"/>
      <w:numFmt w:val="bullet"/>
      <w:lvlText w:val="•"/>
      <w:lvlJc w:val="left"/>
      <w:pPr>
        <w:tabs>
          <w:tab w:val="num" w:pos="720"/>
        </w:tabs>
        <w:ind w:left="720" w:hanging="360"/>
      </w:pPr>
      <w:rPr>
        <w:rFonts w:ascii="Arial" w:hAnsi="Arial" w:hint="default"/>
      </w:rPr>
    </w:lvl>
    <w:lvl w:ilvl="1" w:tplc="77022DBA" w:tentative="1">
      <w:start w:val="1"/>
      <w:numFmt w:val="bullet"/>
      <w:lvlText w:val="•"/>
      <w:lvlJc w:val="left"/>
      <w:pPr>
        <w:tabs>
          <w:tab w:val="num" w:pos="1440"/>
        </w:tabs>
        <w:ind w:left="1440" w:hanging="360"/>
      </w:pPr>
      <w:rPr>
        <w:rFonts w:ascii="Arial" w:hAnsi="Arial" w:hint="default"/>
      </w:rPr>
    </w:lvl>
    <w:lvl w:ilvl="2" w:tplc="A832138E" w:tentative="1">
      <w:start w:val="1"/>
      <w:numFmt w:val="bullet"/>
      <w:lvlText w:val="•"/>
      <w:lvlJc w:val="left"/>
      <w:pPr>
        <w:tabs>
          <w:tab w:val="num" w:pos="2160"/>
        </w:tabs>
        <w:ind w:left="2160" w:hanging="360"/>
      </w:pPr>
      <w:rPr>
        <w:rFonts w:ascii="Arial" w:hAnsi="Arial" w:hint="default"/>
      </w:rPr>
    </w:lvl>
    <w:lvl w:ilvl="3" w:tplc="B2FC07D4" w:tentative="1">
      <w:start w:val="1"/>
      <w:numFmt w:val="bullet"/>
      <w:lvlText w:val="•"/>
      <w:lvlJc w:val="left"/>
      <w:pPr>
        <w:tabs>
          <w:tab w:val="num" w:pos="2880"/>
        </w:tabs>
        <w:ind w:left="2880" w:hanging="360"/>
      </w:pPr>
      <w:rPr>
        <w:rFonts w:ascii="Arial" w:hAnsi="Arial" w:hint="default"/>
      </w:rPr>
    </w:lvl>
    <w:lvl w:ilvl="4" w:tplc="8AA8C43E" w:tentative="1">
      <w:start w:val="1"/>
      <w:numFmt w:val="bullet"/>
      <w:lvlText w:val="•"/>
      <w:lvlJc w:val="left"/>
      <w:pPr>
        <w:tabs>
          <w:tab w:val="num" w:pos="3600"/>
        </w:tabs>
        <w:ind w:left="3600" w:hanging="360"/>
      </w:pPr>
      <w:rPr>
        <w:rFonts w:ascii="Arial" w:hAnsi="Arial" w:hint="default"/>
      </w:rPr>
    </w:lvl>
    <w:lvl w:ilvl="5" w:tplc="3C04C024" w:tentative="1">
      <w:start w:val="1"/>
      <w:numFmt w:val="bullet"/>
      <w:lvlText w:val="•"/>
      <w:lvlJc w:val="left"/>
      <w:pPr>
        <w:tabs>
          <w:tab w:val="num" w:pos="4320"/>
        </w:tabs>
        <w:ind w:left="4320" w:hanging="360"/>
      </w:pPr>
      <w:rPr>
        <w:rFonts w:ascii="Arial" w:hAnsi="Arial" w:hint="default"/>
      </w:rPr>
    </w:lvl>
    <w:lvl w:ilvl="6" w:tplc="C7CC8CAC" w:tentative="1">
      <w:start w:val="1"/>
      <w:numFmt w:val="bullet"/>
      <w:lvlText w:val="•"/>
      <w:lvlJc w:val="left"/>
      <w:pPr>
        <w:tabs>
          <w:tab w:val="num" w:pos="5040"/>
        </w:tabs>
        <w:ind w:left="5040" w:hanging="360"/>
      </w:pPr>
      <w:rPr>
        <w:rFonts w:ascii="Arial" w:hAnsi="Arial" w:hint="default"/>
      </w:rPr>
    </w:lvl>
    <w:lvl w:ilvl="7" w:tplc="37EA6244" w:tentative="1">
      <w:start w:val="1"/>
      <w:numFmt w:val="bullet"/>
      <w:lvlText w:val="•"/>
      <w:lvlJc w:val="left"/>
      <w:pPr>
        <w:tabs>
          <w:tab w:val="num" w:pos="5760"/>
        </w:tabs>
        <w:ind w:left="5760" w:hanging="360"/>
      </w:pPr>
      <w:rPr>
        <w:rFonts w:ascii="Arial" w:hAnsi="Arial" w:hint="default"/>
      </w:rPr>
    </w:lvl>
    <w:lvl w:ilvl="8" w:tplc="475AAA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710C26"/>
    <w:multiLevelType w:val="hybridMultilevel"/>
    <w:tmpl w:val="772A001A"/>
    <w:lvl w:ilvl="0" w:tplc="2864D4C6">
      <w:start w:val="1"/>
      <w:numFmt w:val="bullet"/>
      <w:lvlText w:val="•"/>
      <w:lvlJc w:val="left"/>
      <w:pPr>
        <w:tabs>
          <w:tab w:val="num" w:pos="720"/>
        </w:tabs>
        <w:ind w:left="720" w:hanging="360"/>
      </w:pPr>
      <w:rPr>
        <w:rFonts w:ascii="Arial" w:hAnsi="Arial" w:hint="default"/>
      </w:rPr>
    </w:lvl>
    <w:lvl w:ilvl="1" w:tplc="6B0C0742">
      <w:start w:val="104"/>
      <w:numFmt w:val="bullet"/>
      <w:lvlText w:val=""/>
      <w:lvlJc w:val="left"/>
      <w:pPr>
        <w:tabs>
          <w:tab w:val="num" w:pos="1440"/>
        </w:tabs>
        <w:ind w:left="1440" w:hanging="360"/>
      </w:pPr>
      <w:rPr>
        <w:rFonts w:ascii="Wingdings" w:hAnsi="Wingdings" w:hint="default"/>
      </w:rPr>
    </w:lvl>
    <w:lvl w:ilvl="2" w:tplc="ECCC0192" w:tentative="1">
      <w:start w:val="1"/>
      <w:numFmt w:val="bullet"/>
      <w:lvlText w:val="•"/>
      <w:lvlJc w:val="left"/>
      <w:pPr>
        <w:tabs>
          <w:tab w:val="num" w:pos="2160"/>
        </w:tabs>
        <w:ind w:left="2160" w:hanging="360"/>
      </w:pPr>
      <w:rPr>
        <w:rFonts w:ascii="Arial" w:hAnsi="Arial" w:hint="default"/>
      </w:rPr>
    </w:lvl>
    <w:lvl w:ilvl="3" w:tplc="B00ADB08" w:tentative="1">
      <w:start w:val="1"/>
      <w:numFmt w:val="bullet"/>
      <w:lvlText w:val="•"/>
      <w:lvlJc w:val="left"/>
      <w:pPr>
        <w:tabs>
          <w:tab w:val="num" w:pos="2880"/>
        </w:tabs>
        <w:ind w:left="2880" w:hanging="360"/>
      </w:pPr>
      <w:rPr>
        <w:rFonts w:ascii="Arial" w:hAnsi="Arial" w:hint="default"/>
      </w:rPr>
    </w:lvl>
    <w:lvl w:ilvl="4" w:tplc="67D614CE" w:tentative="1">
      <w:start w:val="1"/>
      <w:numFmt w:val="bullet"/>
      <w:lvlText w:val="•"/>
      <w:lvlJc w:val="left"/>
      <w:pPr>
        <w:tabs>
          <w:tab w:val="num" w:pos="3600"/>
        </w:tabs>
        <w:ind w:left="3600" w:hanging="360"/>
      </w:pPr>
      <w:rPr>
        <w:rFonts w:ascii="Arial" w:hAnsi="Arial" w:hint="default"/>
      </w:rPr>
    </w:lvl>
    <w:lvl w:ilvl="5" w:tplc="76A4DC8E" w:tentative="1">
      <w:start w:val="1"/>
      <w:numFmt w:val="bullet"/>
      <w:lvlText w:val="•"/>
      <w:lvlJc w:val="left"/>
      <w:pPr>
        <w:tabs>
          <w:tab w:val="num" w:pos="4320"/>
        </w:tabs>
        <w:ind w:left="4320" w:hanging="360"/>
      </w:pPr>
      <w:rPr>
        <w:rFonts w:ascii="Arial" w:hAnsi="Arial" w:hint="default"/>
      </w:rPr>
    </w:lvl>
    <w:lvl w:ilvl="6" w:tplc="F4DA0766" w:tentative="1">
      <w:start w:val="1"/>
      <w:numFmt w:val="bullet"/>
      <w:lvlText w:val="•"/>
      <w:lvlJc w:val="left"/>
      <w:pPr>
        <w:tabs>
          <w:tab w:val="num" w:pos="5040"/>
        </w:tabs>
        <w:ind w:left="5040" w:hanging="360"/>
      </w:pPr>
      <w:rPr>
        <w:rFonts w:ascii="Arial" w:hAnsi="Arial" w:hint="default"/>
      </w:rPr>
    </w:lvl>
    <w:lvl w:ilvl="7" w:tplc="4FB40C94" w:tentative="1">
      <w:start w:val="1"/>
      <w:numFmt w:val="bullet"/>
      <w:lvlText w:val="•"/>
      <w:lvlJc w:val="left"/>
      <w:pPr>
        <w:tabs>
          <w:tab w:val="num" w:pos="5760"/>
        </w:tabs>
        <w:ind w:left="5760" w:hanging="360"/>
      </w:pPr>
      <w:rPr>
        <w:rFonts w:ascii="Arial" w:hAnsi="Arial" w:hint="default"/>
      </w:rPr>
    </w:lvl>
    <w:lvl w:ilvl="8" w:tplc="01849A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3D5851"/>
    <w:multiLevelType w:val="hybridMultilevel"/>
    <w:tmpl w:val="002E1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B92188"/>
    <w:multiLevelType w:val="hybridMultilevel"/>
    <w:tmpl w:val="35A2E364"/>
    <w:lvl w:ilvl="0" w:tplc="3144441C">
      <w:start w:val="1"/>
      <w:numFmt w:val="bullet"/>
      <w:lvlText w:val=""/>
      <w:lvlJc w:val="left"/>
      <w:pPr>
        <w:tabs>
          <w:tab w:val="num" w:pos="720"/>
        </w:tabs>
        <w:ind w:left="720" w:hanging="360"/>
      </w:pPr>
      <w:rPr>
        <w:rFonts w:ascii="Wingdings" w:hAnsi="Wingdings" w:hint="default"/>
      </w:rPr>
    </w:lvl>
    <w:lvl w:ilvl="1" w:tplc="71DEC3FA">
      <w:start w:val="1"/>
      <w:numFmt w:val="bullet"/>
      <w:lvlText w:val=""/>
      <w:lvlJc w:val="left"/>
      <w:pPr>
        <w:tabs>
          <w:tab w:val="num" w:pos="1440"/>
        </w:tabs>
        <w:ind w:left="1440" w:hanging="360"/>
      </w:pPr>
      <w:rPr>
        <w:rFonts w:ascii="Wingdings" w:hAnsi="Wingdings" w:hint="default"/>
      </w:rPr>
    </w:lvl>
    <w:lvl w:ilvl="2" w:tplc="DA7AFAAA" w:tentative="1">
      <w:start w:val="1"/>
      <w:numFmt w:val="bullet"/>
      <w:lvlText w:val=""/>
      <w:lvlJc w:val="left"/>
      <w:pPr>
        <w:tabs>
          <w:tab w:val="num" w:pos="2160"/>
        </w:tabs>
        <w:ind w:left="2160" w:hanging="360"/>
      </w:pPr>
      <w:rPr>
        <w:rFonts w:ascii="Wingdings" w:hAnsi="Wingdings" w:hint="default"/>
      </w:rPr>
    </w:lvl>
    <w:lvl w:ilvl="3" w:tplc="E2F2E43A" w:tentative="1">
      <w:start w:val="1"/>
      <w:numFmt w:val="bullet"/>
      <w:lvlText w:val=""/>
      <w:lvlJc w:val="left"/>
      <w:pPr>
        <w:tabs>
          <w:tab w:val="num" w:pos="2880"/>
        </w:tabs>
        <w:ind w:left="2880" w:hanging="360"/>
      </w:pPr>
      <w:rPr>
        <w:rFonts w:ascii="Wingdings" w:hAnsi="Wingdings" w:hint="default"/>
      </w:rPr>
    </w:lvl>
    <w:lvl w:ilvl="4" w:tplc="10B430FC" w:tentative="1">
      <w:start w:val="1"/>
      <w:numFmt w:val="bullet"/>
      <w:lvlText w:val=""/>
      <w:lvlJc w:val="left"/>
      <w:pPr>
        <w:tabs>
          <w:tab w:val="num" w:pos="3600"/>
        </w:tabs>
        <w:ind w:left="3600" w:hanging="360"/>
      </w:pPr>
      <w:rPr>
        <w:rFonts w:ascii="Wingdings" w:hAnsi="Wingdings" w:hint="default"/>
      </w:rPr>
    </w:lvl>
    <w:lvl w:ilvl="5" w:tplc="94120ADC" w:tentative="1">
      <w:start w:val="1"/>
      <w:numFmt w:val="bullet"/>
      <w:lvlText w:val=""/>
      <w:lvlJc w:val="left"/>
      <w:pPr>
        <w:tabs>
          <w:tab w:val="num" w:pos="4320"/>
        </w:tabs>
        <w:ind w:left="4320" w:hanging="360"/>
      </w:pPr>
      <w:rPr>
        <w:rFonts w:ascii="Wingdings" w:hAnsi="Wingdings" w:hint="default"/>
      </w:rPr>
    </w:lvl>
    <w:lvl w:ilvl="6" w:tplc="06C879B8" w:tentative="1">
      <w:start w:val="1"/>
      <w:numFmt w:val="bullet"/>
      <w:lvlText w:val=""/>
      <w:lvlJc w:val="left"/>
      <w:pPr>
        <w:tabs>
          <w:tab w:val="num" w:pos="5040"/>
        </w:tabs>
        <w:ind w:left="5040" w:hanging="360"/>
      </w:pPr>
      <w:rPr>
        <w:rFonts w:ascii="Wingdings" w:hAnsi="Wingdings" w:hint="default"/>
      </w:rPr>
    </w:lvl>
    <w:lvl w:ilvl="7" w:tplc="EAD476FA" w:tentative="1">
      <w:start w:val="1"/>
      <w:numFmt w:val="bullet"/>
      <w:lvlText w:val=""/>
      <w:lvlJc w:val="left"/>
      <w:pPr>
        <w:tabs>
          <w:tab w:val="num" w:pos="5760"/>
        </w:tabs>
        <w:ind w:left="5760" w:hanging="360"/>
      </w:pPr>
      <w:rPr>
        <w:rFonts w:ascii="Wingdings" w:hAnsi="Wingdings" w:hint="default"/>
      </w:rPr>
    </w:lvl>
    <w:lvl w:ilvl="8" w:tplc="D03AC24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9435E13"/>
    <w:multiLevelType w:val="hybridMultilevel"/>
    <w:tmpl w:val="A906B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923133"/>
    <w:multiLevelType w:val="hybridMultilevel"/>
    <w:tmpl w:val="582885AE"/>
    <w:lvl w:ilvl="0" w:tplc="CEBCB80A">
      <w:start w:val="1"/>
      <w:numFmt w:val="bullet"/>
      <w:lvlText w:val="•"/>
      <w:lvlJc w:val="left"/>
      <w:pPr>
        <w:tabs>
          <w:tab w:val="num" w:pos="720"/>
        </w:tabs>
        <w:ind w:left="720" w:hanging="360"/>
      </w:pPr>
      <w:rPr>
        <w:rFonts w:ascii="Arial" w:hAnsi="Arial" w:hint="default"/>
      </w:rPr>
    </w:lvl>
    <w:lvl w:ilvl="1" w:tplc="05A272B6">
      <w:start w:val="104"/>
      <w:numFmt w:val="bullet"/>
      <w:lvlText w:val=""/>
      <w:lvlJc w:val="left"/>
      <w:pPr>
        <w:tabs>
          <w:tab w:val="num" w:pos="1440"/>
        </w:tabs>
        <w:ind w:left="1440" w:hanging="360"/>
      </w:pPr>
      <w:rPr>
        <w:rFonts w:ascii="Wingdings" w:hAnsi="Wingdings" w:hint="default"/>
      </w:rPr>
    </w:lvl>
    <w:lvl w:ilvl="2" w:tplc="2E027758" w:tentative="1">
      <w:start w:val="1"/>
      <w:numFmt w:val="bullet"/>
      <w:lvlText w:val="•"/>
      <w:lvlJc w:val="left"/>
      <w:pPr>
        <w:tabs>
          <w:tab w:val="num" w:pos="2160"/>
        </w:tabs>
        <w:ind w:left="2160" w:hanging="360"/>
      </w:pPr>
      <w:rPr>
        <w:rFonts w:ascii="Arial" w:hAnsi="Arial" w:hint="default"/>
      </w:rPr>
    </w:lvl>
    <w:lvl w:ilvl="3" w:tplc="E438EFEA" w:tentative="1">
      <w:start w:val="1"/>
      <w:numFmt w:val="bullet"/>
      <w:lvlText w:val="•"/>
      <w:lvlJc w:val="left"/>
      <w:pPr>
        <w:tabs>
          <w:tab w:val="num" w:pos="2880"/>
        </w:tabs>
        <w:ind w:left="2880" w:hanging="360"/>
      </w:pPr>
      <w:rPr>
        <w:rFonts w:ascii="Arial" w:hAnsi="Arial" w:hint="default"/>
      </w:rPr>
    </w:lvl>
    <w:lvl w:ilvl="4" w:tplc="852C596A" w:tentative="1">
      <w:start w:val="1"/>
      <w:numFmt w:val="bullet"/>
      <w:lvlText w:val="•"/>
      <w:lvlJc w:val="left"/>
      <w:pPr>
        <w:tabs>
          <w:tab w:val="num" w:pos="3600"/>
        </w:tabs>
        <w:ind w:left="3600" w:hanging="360"/>
      </w:pPr>
      <w:rPr>
        <w:rFonts w:ascii="Arial" w:hAnsi="Arial" w:hint="default"/>
      </w:rPr>
    </w:lvl>
    <w:lvl w:ilvl="5" w:tplc="94D2CE6C" w:tentative="1">
      <w:start w:val="1"/>
      <w:numFmt w:val="bullet"/>
      <w:lvlText w:val="•"/>
      <w:lvlJc w:val="left"/>
      <w:pPr>
        <w:tabs>
          <w:tab w:val="num" w:pos="4320"/>
        </w:tabs>
        <w:ind w:left="4320" w:hanging="360"/>
      </w:pPr>
      <w:rPr>
        <w:rFonts w:ascii="Arial" w:hAnsi="Arial" w:hint="default"/>
      </w:rPr>
    </w:lvl>
    <w:lvl w:ilvl="6" w:tplc="93547950" w:tentative="1">
      <w:start w:val="1"/>
      <w:numFmt w:val="bullet"/>
      <w:lvlText w:val="•"/>
      <w:lvlJc w:val="left"/>
      <w:pPr>
        <w:tabs>
          <w:tab w:val="num" w:pos="5040"/>
        </w:tabs>
        <w:ind w:left="5040" w:hanging="360"/>
      </w:pPr>
      <w:rPr>
        <w:rFonts w:ascii="Arial" w:hAnsi="Arial" w:hint="default"/>
      </w:rPr>
    </w:lvl>
    <w:lvl w:ilvl="7" w:tplc="8AB83ADA" w:tentative="1">
      <w:start w:val="1"/>
      <w:numFmt w:val="bullet"/>
      <w:lvlText w:val="•"/>
      <w:lvlJc w:val="left"/>
      <w:pPr>
        <w:tabs>
          <w:tab w:val="num" w:pos="5760"/>
        </w:tabs>
        <w:ind w:left="5760" w:hanging="360"/>
      </w:pPr>
      <w:rPr>
        <w:rFonts w:ascii="Arial" w:hAnsi="Arial" w:hint="default"/>
      </w:rPr>
    </w:lvl>
    <w:lvl w:ilvl="8" w:tplc="073273D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BDD2CFC"/>
    <w:multiLevelType w:val="hybridMultilevel"/>
    <w:tmpl w:val="48A66DD0"/>
    <w:lvl w:ilvl="0" w:tplc="04090011">
      <w:start w:val="1"/>
      <w:numFmt w:val="decimal"/>
      <w:lvlText w:val="%1)"/>
      <w:lvlJc w:val="left"/>
      <w:pPr>
        <w:ind w:left="758" w:hanging="360"/>
      </w:pPr>
      <w:rPr>
        <w:rFonts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1" w15:restartNumberingAfterBreak="0">
    <w:nsid w:val="7CEB1311"/>
    <w:multiLevelType w:val="hybridMultilevel"/>
    <w:tmpl w:val="C7B60E02"/>
    <w:lvl w:ilvl="0" w:tplc="5EDEDA36">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30"/>
  </w:num>
  <w:num w:numId="3">
    <w:abstractNumId w:val="44"/>
  </w:num>
  <w:num w:numId="4">
    <w:abstractNumId w:val="29"/>
  </w:num>
  <w:num w:numId="5">
    <w:abstractNumId w:val="39"/>
  </w:num>
  <w:num w:numId="6">
    <w:abstractNumId w:val="19"/>
  </w:num>
  <w:num w:numId="7">
    <w:abstractNumId w:val="32"/>
  </w:num>
  <w:num w:numId="8">
    <w:abstractNumId w:val="23"/>
  </w:num>
  <w:num w:numId="9">
    <w:abstractNumId w:val="51"/>
  </w:num>
  <w:num w:numId="10">
    <w:abstractNumId w:val="8"/>
  </w:num>
  <w:num w:numId="11">
    <w:abstractNumId w:val="31"/>
  </w:num>
  <w:num w:numId="12">
    <w:abstractNumId w:val="0"/>
  </w:num>
  <w:num w:numId="13">
    <w:abstractNumId w:val="2"/>
  </w:num>
  <w:num w:numId="14">
    <w:abstractNumId w:val="40"/>
  </w:num>
  <w:num w:numId="15">
    <w:abstractNumId w:val="46"/>
  </w:num>
  <w:num w:numId="16">
    <w:abstractNumId w:val="11"/>
  </w:num>
  <w:num w:numId="17">
    <w:abstractNumId w:val="38"/>
  </w:num>
  <w:num w:numId="18">
    <w:abstractNumId w:val="43"/>
  </w:num>
  <w:num w:numId="19">
    <w:abstractNumId w:val="49"/>
  </w:num>
  <w:num w:numId="20">
    <w:abstractNumId w:val="20"/>
  </w:num>
  <w:num w:numId="21">
    <w:abstractNumId w:val="42"/>
  </w:num>
  <w:num w:numId="22">
    <w:abstractNumId w:val="6"/>
  </w:num>
  <w:num w:numId="23">
    <w:abstractNumId w:val="5"/>
  </w:num>
  <w:num w:numId="24">
    <w:abstractNumId w:val="34"/>
  </w:num>
  <w:num w:numId="25">
    <w:abstractNumId w:val="36"/>
  </w:num>
  <w:num w:numId="26">
    <w:abstractNumId w:val="22"/>
  </w:num>
  <w:num w:numId="27">
    <w:abstractNumId w:val="12"/>
  </w:num>
  <w:num w:numId="28">
    <w:abstractNumId w:val="45"/>
  </w:num>
  <w:num w:numId="29">
    <w:abstractNumId w:val="15"/>
  </w:num>
  <w:num w:numId="30">
    <w:abstractNumId w:val="7"/>
  </w:num>
  <w:num w:numId="31">
    <w:abstractNumId w:val="1"/>
  </w:num>
  <w:num w:numId="32">
    <w:abstractNumId w:val="13"/>
  </w:num>
  <w:num w:numId="33">
    <w:abstractNumId w:val="10"/>
  </w:num>
  <w:num w:numId="34">
    <w:abstractNumId w:val="37"/>
  </w:num>
  <w:num w:numId="35">
    <w:abstractNumId w:val="14"/>
  </w:num>
  <w:num w:numId="36">
    <w:abstractNumId w:val="26"/>
  </w:num>
  <w:num w:numId="37">
    <w:abstractNumId w:val="52"/>
  </w:num>
  <w:num w:numId="38">
    <w:abstractNumId w:val="27"/>
  </w:num>
  <w:num w:numId="39">
    <w:abstractNumId w:val="24"/>
  </w:num>
  <w:num w:numId="40">
    <w:abstractNumId w:val="4"/>
  </w:num>
  <w:num w:numId="41">
    <w:abstractNumId w:val="47"/>
  </w:num>
  <w:num w:numId="42">
    <w:abstractNumId w:val="21"/>
  </w:num>
  <w:num w:numId="43">
    <w:abstractNumId w:val="25"/>
  </w:num>
  <w:num w:numId="44">
    <w:abstractNumId w:val="17"/>
  </w:num>
  <w:num w:numId="45">
    <w:abstractNumId w:val="28"/>
  </w:num>
  <w:num w:numId="46">
    <w:abstractNumId w:val="41"/>
  </w:num>
  <w:num w:numId="47">
    <w:abstractNumId w:val="16"/>
  </w:num>
  <w:num w:numId="48">
    <w:abstractNumId w:val="33"/>
  </w:num>
  <w:num w:numId="49">
    <w:abstractNumId w:val="35"/>
  </w:num>
  <w:num w:numId="50">
    <w:abstractNumId w:val="50"/>
  </w:num>
  <w:num w:numId="51">
    <w:abstractNumId w:val="3"/>
  </w:num>
  <w:num w:numId="52">
    <w:abstractNumId w:val="48"/>
  </w:num>
  <w:num w:numId="53">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DA"/>
    <w:rsid w:val="00010036"/>
    <w:rsid w:val="000347A1"/>
    <w:rsid w:val="000405B5"/>
    <w:rsid w:val="0004541B"/>
    <w:rsid w:val="00046609"/>
    <w:rsid w:val="00054196"/>
    <w:rsid w:val="00062941"/>
    <w:rsid w:val="000649AC"/>
    <w:rsid w:val="00076639"/>
    <w:rsid w:val="00085741"/>
    <w:rsid w:val="000B01BC"/>
    <w:rsid w:val="000B19A7"/>
    <w:rsid w:val="000C1849"/>
    <w:rsid w:val="000E1597"/>
    <w:rsid w:val="000F0118"/>
    <w:rsid w:val="000F126F"/>
    <w:rsid w:val="000F4A9D"/>
    <w:rsid w:val="000F6964"/>
    <w:rsid w:val="001000E0"/>
    <w:rsid w:val="00102977"/>
    <w:rsid w:val="00102A09"/>
    <w:rsid w:val="00104AD1"/>
    <w:rsid w:val="00105D1A"/>
    <w:rsid w:val="001168EB"/>
    <w:rsid w:val="001249F8"/>
    <w:rsid w:val="001400BC"/>
    <w:rsid w:val="00140689"/>
    <w:rsid w:val="00155911"/>
    <w:rsid w:val="0016067F"/>
    <w:rsid w:val="0016592F"/>
    <w:rsid w:val="001746E0"/>
    <w:rsid w:val="00176E02"/>
    <w:rsid w:val="00180334"/>
    <w:rsid w:val="0018064C"/>
    <w:rsid w:val="00187091"/>
    <w:rsid w:val="00192ADF"/>
    <w:rsid w:val="00192FA5"/>
    <w:rsid w:val="00197432"/>
    <w:rsid w:val="001B0F63"/>
    <w:rsid w:val="001B1E4C"/>
    <w:rsid w:val="001B543D"/>
    <w:rsid w:val="001B6BE9"/>
    <w:rsid w:val="001C3C2E"/>
    <w:rsid w:val="001C7234"/>
    <w:rsid w:val="001C76C4"/>
    <w:rsid w:val="001C7B19"/>
    <w:rsid w:val="001D09D2"/>
    <w:rsid w:val="001D6A6A"/>
    <w:rsid w:val="001E64C6"/>
    <w:rsid w:val="001E76BA"/>
    <w:rsid w:val="001F2641"/>
    <w:rsid w:val="001F7F0E"/>
    <w:rsid w:val="0020660C"/>
    <w:rsid w:val="00207676"/>
    <w:rsid w:val="00213C38"/>
    <w:rsid w:val="00220AA0"/>
    <w:rsid w:val="00226791"/>
    <w:rsid w:val="00226C59"/>
    <w:rsid w:val="0023149B"/>
    <w:rsid w:val="0024141C"/>
    <w:rsid w:val="00245B83"/>
    <w:rsid w:val="0024729E"/>
    <w:rsid w:val="002516D7"/>
    <w:rsid w:val="00253DA5"/>
    <w:rsid w:val="00261235"/>
    <w:rsid w:val="00264F79"/>
    <w:rsid w:val="00273BD3"/>
    <w:rsid w:val="002762B4"/>
    <w:rsid w:val="00284683"/>
    <w:rsid w:val="002846E6"/>
    <w:rsid w:val="00284AD2"/>
    <w:rsid w:val="00284B4C"/>
    <w:rsid w:val="0029033B"/>
    <w:rsid w:val="00292E65"/>
    <w:rsid w:val="002941D9"/>
    <w:rsid w:val="00295CC3"/>
    <w:rsid w:val="002A1F0B"/>
    <w:rsid w:val="002A34AE"/>
    <w:rsid w:val="002B22EB"/>
    <w:rsid w:val="002B242E"/>
    <w:rsid w:val="002B2C93"/>
    <w:rsid w:val="002B5C3D"/>
    <w:rsid w:val="002B6D44"/>
    <w:rsid w:val="002C2AE0"/>
    <w:rsid w:val="002C7604"/>
    <w:rsid w:val="002D3B17"/>
    <w:rsid w:val="002D4067"/>
    <w:rsid w:val="002D47ED"/>
    <w:rsid w:val="002D59CD"/>
    <w:rsid w:val="002D6610"/>
    <w:rsid w:val="002D661B"/>
    <w:rsid w:val="002D7E4E"/>
    <w:rsid w:val="0030758A"/>
    <w:rsid w:val="0031228F"/>
    <w:rsid w:val="00316D42"/>
    <w:rsid w:val="0032219F"/>
    <w:rsid w:val="0032234C"/>
    <w:rsid w:val="003265F9"/>
    <w:rsid w:val="0033255E"/>
    <w:rsid w:val="003404D1"/>
    <w:rsid w:val="003421FB"/>
    <w:rsid w:val="00352A17"/>
    <w:rsid w:val="00361500"/>
    <w:rsid w:val="003738BD"/>
    <w:rsid w:val="00376D4A"/>
    <w:rsid w:val="0038509B"/>
    <w:rsid w:val="003862A0"/>
    <w:rsid w:val="00386B9E"/>
    <w:rsid w:val="00386CD4"/>
    <w:rsid w:val="00395954"/>
    <w:rsid w:val="00396752"/>
    <w:rsid w:val="003A1433"/>
    <w:rsid w:val="003C40C1"/>
    <w:rsid w:val="003C4E30"/>
    <w:rsid w:val="003C7B71"/>
    <w:rsid w:val="003D3AE0"/>
    <w:rsid w:val="003E4385"/>
    <w:rsid w:val="003F0C0F"/>
    <w:rsid w:val="003F622F"/>
    <w:rsid w:val="003F7FBA"/>
    <w:rsid w:val="0040117F"/>
    <w:rsid w:val="00405F40"/>
    <w:rsid w:val="004063BF"/>
    <w:rsid w:val="00411B5F"/>
    <w:rsid w:val="00411BBF"/>
    <w:rsid w:val="00411BDC"/>
    <w:rsid w:val="00415ED9"/>
    <w:rsid w:val="0042236B"/>
    <w:rsid w:val="00442875"/>
    <w:rsid w:val="00460FE1"/>
    <w:rsid w:val="004A2ADB"/>
    <w:rsid w:val="004A33BD"/>
    <w:rsid w:val="004A372D"/>
    <w:rsid w:val="004A593B"/>
    <w:rsid w:val="004B23BB"/>
    <w:rsid w:val="004B57D8"/>
    <w:rsid w:val="004B6D9D"/>
    <w:rsid w:val="004C04DD"/>
    <w:rsid w:val="004D3EFF"/>
    <w:rsid w:val="004D64EE"/>
    <w:rsid w:val="004E43A2"/>
    <w:rsid w:val="004E6952"/>
    <w:rsid w:val="004E7F57"/>
    <w:rsid w:val="004F517B"/>
    <w:rsid w:val="004F6FF3"/>
    <w:rsid w:val="005012A4"/>
    <w:rsid w:val="0050200A"/>
    <w:rsid w:val="005117E2"/>
    <w:rsid w:val="0051311A"/>
    <w:rsid w:val="00514776"/>
    <w:rsid w:val="005168BE"/>
    <w:rsid w:val="0052078B"/>
    <w:rsid w:val="00525E9C"/>
    <w:rsid w:val="00533B6F"/>
    <w:rsid w:val="0053414D"/>
    <w:rsid w:val="00541F33"/>
    <w:rsid w:val="00552E9A"/>
    <w:rsid w:val="0055521A"/>
    <w:rsid w:val="00555B23"/>
    <w:rsid w:val="00556434"/>
    <w:rsid w:val="00560467"/>
    <w:rsid w:val="005666EE"/>
    <w:rsid w:val="00566AFD"/>
    <w:rsid w:val="0057260B"/>
    <w:rsid w:val="0057347E"/>
    <w:rsid w:val="00585805"/>
    <w:rsid w:val="00586F06"/>
    <w:rsid w:val="00590AD9"/>
    <w:rsid w:val="00592093"/>
    <w:rsid w:val="00595CBD"/>
    <w:rsid w:val="005A151F"/>
    <w:rsid w:val="005A2D1B"/>
    <w:rsid w:val="005A3F13"/>
    <w:rsid w:val="005A5B79"/>
    <w:rsid w:val="005A6801"/>
    <w:rsid w:val="005C025E"/>
    <w:rsid w:val="005D4F35"/>
    <w:rsid w:val="005D6939"/>
    <w:rsid w:val="005E3026"/>
    <w:rsid w:val="005E78F7"/>
    <w:rsid w:val="005F15A4"/>
    <w:rsid w:val="005F334A"/>
    <w:rsid w:val="005F34A5"/>
    <w:rsid w:val="005F39C4"/>
    <w:rsid w:val="005F5660"/>
    <w:rsid w:val="005F7E68"/>
    <w:rsid w:val="00602978"/>
    <w:rsid w:val="00613A4F"/>
    <w:rsid w:val="00616650"/>
    <w:rsid w:val="00627EA0"/>
    <w:rsid w:val="00631A2C"/>
    <w:rsid w:val="00641373"/>
    <w:rsid w:val="006437B0"/>
    <w:rsid w:val="006453DE"/>
    <w:rsid w:val="00646C47"/>
    <w:rsid w:val="0066013F"/>
    <w:rsid w:val="00665E65"/>
    <w:rsid w:val="00670A88"/>
    <w:rsid w:val="00672992"/>
    <w:rsid w:val="0067533B"/>
    <w:rsid w:val="0067767E"/>
    <w:rsid w:val="0068200A"/>
    <w:rsid w:val="00686D44"/>
    <w:rsid w:val="00690DBE"/>
    <w:rsid w:val="00690DBF"/>
    <w:rsid w:val="006A0384"/>
    <w:rsid w:val="006A35BC"/>
    <w:rsid w:val="006A55FF"/>
    <w:rsid w:val="006A5934"/>
    <w:rsid w:val="006A761D"/>
    <w:rsid w:val="006B0026"/>
    <w:rsid w:val="006B2FCC"/>
    <w:rsid w:val="006B4661"/>
    <w:rsid w:val="006B7EEB"/>
    <w:rsid w:val="006C18B3"/>
    <w:rsid w:val="006C5135"/>
    <w:rsid w:val="006C5275"/>
    <w:rsid w:val="006D0B3A"/>
    <w:rsid w:val="006E2BCF"/>
    <w:rsid w:val="006F01C4"/>
    <w:rsid w:val="006F0331"/>
    <w:rsid w:val="006F67D5"/>
    <w:rsid w:val="00704D1E"/>
    <w:rsid w:val="00707BD4"/>
    <w:rsid w:val="00714EC7"/>
    <w:rsid w:val="00716147"/>
    <w:rsid w:val="00716400"/>
    <w:rsid w:val="00724624"/>
    <w:rsid w:val="0073101D"/>
    <w:rsid w:val="00731700"/>
    <w:rsid w:val="0074040A"/>
    <w:rsid w:val="0074420C"/>
    <w:rsid w:val="007453A2"/>
    <w:rsid w:val="00746B78"/>
    <w:rsid w:val="00760BDD"/>
    <w:rsid w:val="00762170"/>
    <w:rsid w:val="00765237"/>
    <w:rsid w:val="00765491"/>
    <w:rsid w:val="007734FF"/>
    <w:rsid w:val="00775995"/>
    <w:rsid w:val="00787B60"/>
    <w:rsid w:val="00794D40"/>
    <w:rsid w:val="00797046"/>
    <w:rsid w:val="007A3F4D"/>
    <w:rsid w:val="007B0AE4"/>
    <w:rsid w:val="007B692C"/>
    <w:rsid w:val="007B7962"/>
    <w:rsid w:val="007B7CB3"/>
    <w:rsid w:val="007C4024"/>
    <w:rsid w:val="007C559F"/>
    <w:rsid w:val="007C699A"/>
    <w:rsid w:val="007D2708"/>
    <w:rsid w:val="007D2777"/>
    <w:rsid w:val="007E39A4"/>
    <w:rsid w:val="007E5171"/>
    <w:rsid w:val="007E5B46"/>
    <w:rsid w:val="007F00A7"/>
    <w:rsid w:val="007F73A3"/>
    <w:rsid w:val="007F7451"/>
    <w:rsid w:val="007F76BA"/>
    <w:rsid w:val="00804ACD"/>
    <w:rsid w:val="00806D20"/>
    <w:rsid w:val="008114D3"/>
    <w:rsid w:val="00812677"/>
    <w:rsid w:val="00812A2B"/>
    <w:rsid w:val="00824834"/>
    <w:rsid w:val="008271C1"/>
    <w:rsid w:val="00832D71"/>
    <w:rsid w:val="00843102"/>
    <w:rsid w:val="00844AC2"/>
    <w:rsid w:val="008500A0"/>
    <w:rsid w:val="00856B32"/>
    <w:rsid w:val="008623E2"/>
    <w:rsid w:val="00872BBA"/>
    <w:rsid w:val="00874103"/>
    <w:rsid w:val="008767A1"/>
    <w:rsid w:val="00877447"/>
    <w:rsid w:val="00880CD3"/>
    <w:rsid w:val="0088241D"/>
    <w:rsid w:val="00884CEC"/>
    <w:rsid w:val="008861ED"/>
    <w:rsid w:val="00893109"/>
    <w:rsid w:val="0089363A"/>
    <w:rsid w:val="008A5298"/>
    <w:rsid w:val="008A53FD"/>
    <w:rsid w:val="008A64A0"/>
    <w:rsid w:val="008B46C8"/>
    <w:rsid w:val="008B4DC7"/>
    <w:rsid w:val="008B7CD4"/>
    <w:rsid w:val="008C2837"/>
    <w:rsid w:val="008C6AB0"/>
    <w:rsid w:val="008D5091"/>
    <w:rsid w:val="008D6F42"/>
    <w:rsid w:val="008D75F9"/>
    <w:rsid w:val="008E04BD"/>
    <w:rsid w:val="008E1C33"/>
    <w:rsid w:val="008E2CAB"/>
    <w:rsid w:val="00901358"/>
    <w:rsid w:val="00907DA3"/>
    <w:rsid w:val="00916251"/>
    <w:rsid w:val="00921859"/>
    <w:rsid w:val="00922BB1"/>
    <w:rsid w:val="00930B01"/>
    <w:rsid w:val="009369D6"/>
    <w:rsid w:val="00942529"/>
    <w:rsid w:val="0095205B"/>
    <w:rsid w:val="00956FD4"/>
    <w:rsid w:val="00960554"/>
    <w:rsid w:val="00963DD5"/>
    <w:rsid w:val="00963FA3"/>
    <w:rsid w:val="009773BF"/>
    <w:rsid w:val="009773D4"/>
    <w:rsid w:val="00984729"/>
    <w:rsid w:val="00991CA9"/>
    <w:rsid w:val="00997957"/>
    <w:rsid w:val="009A0157"/>
    <w:rsid w:val="009A0B47"/>
    <w:rsid w:val="009A0CE6"/>
    <w:rsid w:val="009A1B68"/>
    <w:rsid w:val="009A21CD"/>
    <w:rsid w:val="009A307A"/>
    <w:rsid w:val="009B6C84"/>
    <w:rsid w:val="009C49D4"/>
    <w:rsid w:val="009C690E"/>
    <w:rsid w:val="009C75E6"/>
    <w:rsid w:val="009E014B"/>
    <w:rsid w:val="009E0AC8"/>
    <w:rsid w:val="009E285D"/>
    <w:rsid w:val="009F3788"/>
    <w:rsid w:val="009F4B62"/>
    <w:rsid w:val="009F557F"/>
    <w:rsid w:val="009F6111"/>
    <w:rsid w:val="009F7062"/>
    <w:rsid w:val="00A007EE"/>
    <w:rsid w:val="00A07DF1"/>
    <w:rsid w:val="00A1112C"/>
    <w:rsid w:val="00A12773"/>
    <w:rsid w:val="00A16563"/>
    <w:rsid w:val="00A2684D"/>
    <w:rsid w:val="00A32EDC"/>
    <w:rsid w:val="00A34E5E"/>
    <w:rsid w:val="00A35AB0"/>
    <w:rsid w:val="00A418C4"/>
    <w:rsid w:val="00A67DCC"/>
    <w:rsid w:val="00A7315B"/>
    <w:rsid w:val="00A73436"/>
    <w:rsid w:val="00A77CA0"/>
    <w:rsid w:val="00A86D5E"/>
    <w:rsid w:val="00AB12A9"/>
    <w:rsid w:val="00AB13AE"/>
    <w:rsid w:val="00AB1894"/>
    <w:rsid w:val="00AC013B"/>
    <w:rsid w:val="00AC2E8F"/>
    <w:rsid w:val="00AC4572"/>
    <w:rsid w:val="00AC5EF7"/>
    <w:rsid w:val="00AD02E8"/>
    <w:rsid w:val="00AD234B"/>
    <w:rsid w:val="00AD564A"/>
    <w:rsid w:val="00AE6379"/>
    <w:rsid w:val="00AE656C"/>
    <w:rsid w:val="00AE680A"/>
    <w:rsid w:val="00AF0077"/>
    <w:rsid w:val="00AF16E4"/>
    <w:rsid w:val="00AF3A9B"/>
    <w:rsid w:val="00AF77AA"/>
    <w:rsid w:val="00B04064"/>
    <w:rsid w:val="00B0771B"/>
    <w:rsid w:val="00B114BD"/>
    <w:rsid w:val="00B1482A"/>
    <w:rsid w:val="00B20D55"/>
    <w:rsid w:val="00B30078"/>
    <w:rsid w:val="00B347CC"/>
    <w:rsid w:val="00B535AE"/>
    <w:rsid w:val="00B53850"/>
    <w:rsid w:val="00B61D3E"/>
    <w:rsid w:val="00B6371A"/>
    <w:rsid w:val="00B63FCA"/>
    <w:rsid w:val="00B6762B"/>
    <w:rsid w:val="00B72BB2"/>
    <w:rsid w:val="00B75BEA"/>
    <w:rsid w:val="00B81FCD"/>
    <w:rsid w:val="00B90BB1"/>
    <w:rsid w:val="00B976B6"/>
    <w:rsid w:val="00BA15EF"/>
    <w:rsid w:val="00BA1944"/>
    <w:rsid w:val="00BA6244"/>
    <w:rsid w:val="00BB780B"/>
    <w:rsid w:val="00BC1EEF"/>
    <w:rsid w:val="00BC384C"/>
    <w:rsid w:val="00BC68A0"/>
    <w:rsid w:val="00BC6ADC"/>
    <w:rsid w:val="00BD07E5"/>
    <w:rsid w:val="00BD319C"/>
    <w:rsid w:val="00BD36AA"/>
    <w:rsid w:val="00BF545C"/>
    <w:rsid w:val="00C03A02"/>
    <w:rsid w:val="00C12B93"/>
    <w:rsid w:val="00C13E7B"/>
    <w:rsid w:val="00C15FAD"/>
    <w:rsid w:val="00C172EF"/>
    <w:rsid w:val="00C20CC5"/>
    <w:rsid w:val="00C2154D"/>
    <w:rsid w:val="00C21676"/>
    <w:rsid w:val="00C3467B"/>
    <w:rsid w:val="00C3567D"/>
    <w:rsid w:val="00C40C21"/>
    <w:rsid w:val="00C45635"/>
    <w:rsid w:val="00C47D07"/>
    <w:rsid w:val="00C52A55"/>
    <w:rsid w:val="00C5690E"/>
    <w:rsid w:val="00C700E2"/>
    <w:rsid w:val="00C768E2"/>
    <w:rsid w:val="00C76FCB"/>
    <w:rsid w:val="00C80D0D"/>
    <w:rsid w:val="00C84DF6"/>
    <w:rsid w:val="00C86F0A"/>
    <w:rsid w:val="00C9012D"/>
    <w:rsid w:val="00C958CA"/>
    <w:rsid w:val="00C971FF"/>
    <w:rsid w:val="00CA132E"/>
    <w:rsid w:val="00CB4EAD"/>
    <w:rsid w:val="00CB52D3"/>
    <w:rsid w:val="00CB5F9C"/>
    <w:rsid w:val="00CC0608"/>
    <w:rsid w:val="00CC0622"/>
    <w:rsid w:val="00CC116B"/>
    <w:rsid w:val="00CC47B0"/>
    <w:rsid w:val="00CC713E"/>
    <w:rsid w:val="00CD216C"/>
    <w:rsid w:val="00CD439E"/>
    <w:rsid w:val="00CE59CF"/>
    <w:rsid w:val="00CF2C30"/>
    <w:rsid w:val="00CF2EEA"/>
    <w:rsid w:val="00D0010A"/>
    <w:rsid w:val="00D121B5"/>
    <w:rsid w:val="00D25765"/>
    <w:rsid w:val="00D314EA"/>
    <w:rsid w:val="00D43950"/>
    <w:rsid w:val="00D45334"/>
    <w:rsid w:val="00D51EEA"/>
    <w:rsid w:val="00D527D6"/>
    <w:rsid w:val="00D5457C"/>
    <w:rsid w:val="00D55310"/>
    <w:rsid w:val="00D5747C"/>
    <w:rsid w:val="00D6271A"/>
    <w:rsid w:val="00D7363A"/>
    <w:rsid w:val="00D76012"/>
    <w:rsid w:val="00D81B33"/>
    <w:rsid w:val="00D90939"/>
    <w:rsid w:val="00D90A93"/>
    <w:rsid w:val="00D973D5"/>
    <w:rsid w:val="00DA1796"/>
    <w:rsid w:val="00DB1D56"/>
    <w:rsid w:val="00DB2B00"/>
    <w:rsid w:val="00DB3813"/>
    <w:rsid w:val="00DB4AB4"/>
    <w:rsid w:val="00DD131E"/>
    <w:rsid w:val="00DF7B2A"/>
    <w:rsid w:val="00E0292B"/>
    <w:rsid w:val="00E0321B"/>
    <w:rsid w:val="00E046A9"/>
    <w:rsid w:val="00E1381F"/>
    <w:rsid w:val="00E141BA"/>
    <w:rsid w:val="00E1774C"/>
    <w:rsid w:val="00E20BE5"/>
    <w:rsid w:val="00E24D1B"/>
    <w:rsid w:val="00E35B99"/>
    <w:rsid w:val="00E421E5"/>
    <w:rsid w:val="00E4404E"/>
    <w:rsid w:val="00E46F73"/>
    <w:rsid w:val="00E47A17"/>
    <w:rsid w:val="00E500A6"/>
    <w:rsid w:val="00E518CA"/>
    <w:rsid w:val="00E555C6"/>
    <w:rsid w:val="00E66448"/>
    <w:rsid w:val="00E66B36"/>
    <w:rsid w:val="00E8318D"/>
    <w:rsid w:val="00E83784"/>
    <w:rsid w:val="00E84ACF"/>
    <w:rsid w:val="00E9127C"/>
    <w:rsid w:val="00E93A49"/>
    <w:rsid w:val="00EB17E1"/>
    <w:rsid w:val="00EB2A8B"/>
    <w:rsid w:val="00EB2BB1"/>
    <w:rsid w:val="00EB428F"/>
    <w:rsid w:val="00EB725D"/>
    <w:rsid w:val="00EC0D5B"/>
    <w:rsid w:val="00EC6DCD"/>
    <w:rsid w:val="00EC6E24"/>
    <w:rsid w:val="00EC70C3"/>
    <w:rsid w:val="00ED1342"/>
    <w:rsid w:val="00ED3318"/>
    <w:rsid w:val="00ED5A2E"/>
    <w:rsid w:val="00ED6A32"/>
    <w:rsid w:val="00EF4627"/>
    <w:rsid w:val="00F02D59"/>
    <w:rsid w:val="00F14D45"/>
    <w:rsid w:val="00F15E5A"/>
    <w:rsid w:val="00F25C1A"/>
    <w:rsid w:val="00F35722"/>
    <w:rsid w:val="00F36543"/>
    <w:rsid w:val="00F40D66"/>
    <w:rsid w:val="00F41497"/>
    <w:rsid w:val="00F42850"/>
    <w:rsid w:val="00F43572"/>
    <w:rsid w:val="00F50D32"/>
    <w:rsid w:val="00F54AF4"/>
    <w:rsid w:val="00F61356"/>
    <w:rsid w:val="00F62443"/>
    <w:rsid w:val="00F63D42"/>
    <w:rsid w:val="00F64332"/>
    <w:rsid w:val="00F7315A"/>
    <w:rsid w:val="00F93FBE"/>
    <w:rsid w:val="00F95D83"/>
    <w:rsid w:val="00FA2107"/>
    <w:rsid w:val="00FA2D8A"/>
    <w:rsid w:val="00FA53E8"/>
    <w:rsid w:val="00FA5BF4"/>
    <w:rsid w:val="00FB641E"/>
    <w:rsid w:val="00FB6EEE"/>
    <w:rsid w:val="00FB7CF2"/>
    <w:rsid w:val="00FC0802"/>
    <w:rsid w:val="00FC3E2D"/>
    <w:rsid w:val="00FE2B7D"/>
    <w:rsid w:val="00FE34EA"/>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0F63"/>
    <w:rPr>
      <w:rFonts w:ascii="Calibri" w:eastAsia="Calibri" w:hAnsi="Calibri" w:cs="Arial"/>
    </w:rPr>
  </w:style>
  <w:style w:type="character" w:styleId="Hyperlink">
    <w:name w:val="Hyperlink"/>
    <w:uiPriority w:val="99"/>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5"/>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rsid w:val="00FE2B7D"/>
    <w:pPr>
      <w:keepLines/>
      <w:spacing w:before="40" w:after="40"/>
      <w:jc w:val="center"/>
    </w:pPr>
    <w:rPr>
      <w:rFonts w:eastAsia="SimSun"/>
      <w:lang w:eastAsia="x-none"/>
    </w:rPr>
  </w:style>
  <w:style w:type="paragraph" w:customStyle="1" w:styleId="TAH">
    <w:name w:val="TAH"/>
    <w:basedOn w:val="TAC"/>
    <w:link w:val="TAHCar"/>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qFormat/>
    <w:rsid w:val="00FE2B7D"/>
    <w:rPr>
      <w:i/>
      <w:iCs/>
    </w:rPr>
  </w:style>
  <w:style w:type="character" w:customStyle="1" w:styleId="TAHCar">
    <w:name w:val="TAH Car"/>
    <w:link w:val="TAH"/>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4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3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3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3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4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42"/>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43"/>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44"/>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8C41D-450C-47FC-89C8-8B7F5C8D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2858</Words>
  <Characters>16294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2018-02-17T08:38:00Z</dcterms:created>
  <dcterms:modified xsi:type="dcterms:W3CDTF">2018-02-17T08:39:00Z</dcterms:modified>
</cp:coreProperties>
</file>