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825E63" w:rsidRDefault="00F7039A" w:rsidP="00F7039A">
      <w:pPr>
        <w:pStyle w:val="Header"/>
        <w:tabs>
          <w:tab w:val="right" w:pos="9639"/>
        </w:tabs>
        <w:rPr>
          <w:bCs/>
          <w:i/>
          <w:noProof w:val="0"/>
          <w:sz w:val="32"/>
          <w:lang w:eastAsia="zh-CN"/>
        </w:rPr>
      </w:pPr>
      <w:bookmarkStart w:id="0" w:name="OLE_LINK5"/>
      <w:bookmarkStart w:id="1" w:name="OLE_LINK6"/>
      <w:r w:rsidRPr="00825E63">
        <w:rPr>
          <w:bCs/>
          <w:noProof w:val="0"/>
          <w:sz w:val="24"/>
        </w:rPr>
        <w:t>3GPP T</w:t>
      </w:r>
      <w:bookmarkStart w:id="2" w:name="_Ref452454252"/>
      <w:bookmarkEnd w:id="2"/>
      <w:r w:rsidRPr="00825E63">
        <w:rPr>
          <w:bCs/>
          <w:noProof w:val="0"/>
          <w:sz w:val="24"/>
        </w:rPr>
        <w:t xml:space="preserve">SG-RAN </w:t>
      </w:r>
      <w:r w:rsidRPr="00825E63">
        <w:rPr>
          <w:noProof w:val="0"/>
          <w:sz w:val="24"/>
        </w:rPr>
        <w:t>WG1</w:t>
      </w:r>
      <w:r w:rsidR="00C638E9" w:rsidRPr="00825E63">
        <w:rPr>
          <w:noProof w:val="0"/>
          <w:sz w:val="24"/>
        </w:rPr>
        <w:t xml:space="preserve"> </w:t>
      </w:r>
      <w:r w:rsidR="00EC166D">
        <w:rPr>
          <w:noProof w:val="0"/>
          <w:sz w:val="24"/>
        </w:rPr>
        <w:t>Meeting</w:t>
      </w:r>
      <w:r w:rsidR="00DE7F5F">
        <w:rPr>
          <w:noProof w:val="0"/>
          <w:sz w:val="24"/>
        </w:rPr>
        <w:t xml:space="preserve"> </w:t>
      </w:r>
      <w:bookmarkStart w:id="3" w:name="_GoBack"/>
      <w:bookmarkEnd w:id="3"/>
      <w:r w:rsidR="003B0815">
        <w:rPr>
          <w:noProof w:val="0"/>
          <w:sz w:val="24"/>
        </w:rPr>
        <w:t>#92</w:t>
      </w:r>
      <w:r w:rsidRPr="00825E63">
        <w:rPr>
          <w:bCs/>
          <w:noProof w:val="0"/>
          <w:sz w:val="24"/>
        </w:rPr>
        <w:tab/>
      </w:r>
      <w:r w:rsidR="0092428D" w:rsidRPr="0092428D">
        <w:rPr>
          <w:bCs/>
          <w:noProof w:val="0"/>
          <w:sz w:val="24"/>
          <w:lang w:eastAsia="ja-JP"/>
        </w:rPr>
        <w:t>R1-</w:t>
      </w:r>
      <w:r w:rsidR="00F254C9" w:rsidRPr="0092428D">
        <w:rPr>
          <w:bCs/>
          <w:noProof w:val="0"/>
          <w:sz w:val="24"/>
          <w:lang w:eastAsia="ja-JP"/>
        </w:rPr>
        <w:t>180</w:t>
      </w:r>
      <w:r w:rsidR="00F254C9">
        <w:rPr>
          <w:bCs/>
          <w:noProof w:val="0"/>
          <w:sz w:val="24"/>
          <w:lang w:eastAsia="ja-JP"/>
        </w:rPr>
        <w:t>2550</w:t>
      </w:r>
    </w:p>
    <w:p w:rsidR="00787640" w:rsidRPr="00825E63" w:rsidRDefault="00D0513A" w:rsidP="00F7039A">
      <w:pPr>
        <w:pStyle w:val="Header"/>
        <w:tabs>
          <w:tab w:val="right" w:pos="9639"/>
        </w:tabs>
        <w:rPr>
          <w:bCs/>
          <w:noProof w:val="0"/>
          <w:sz w:val="24"/>
        </w:rPr>
      </w:pPr>
      <w:r w:rsidRPr="00D0513A">
        <w:rPr>
          <w:noProof w:val="0"/>
          <w:sz w:val="24"/>
        </w:rPr>
        <w:t>Athens, Greece, February 26th – March 2nd, 2018</w:t>
      </w:r>
      <w:r w:rsidR="007A33FC" w:rsidRPr="00825E63">
        <w:rPr>
          <w:bCs/>
          <w:noProof w:val="0"/>
          <w:sz w:val="24"/>
        </w:rPr>
        <w:tab/>
      </w:r>
    </w:p>
    <w:bookmarkEnd w:id="0"/>
    <w:bookmarkEnd w:id="1"/>
    <w:p w:rsidR="00787640" w:rsidRPr="00825E63" w:rsidRDefault="00787640" w:rsidP="00787640">
      <w:pPr>
        <w:pStyle w:val="Header"/>
        <w:rPr>
          <w:bCs/>
          <w:noProof w:val="0"/>
          <w:sz w:val="24"/>
          <w:lang w:eastAsia="ja-JP"/>
        </w:rPr>
      </w:pPr>
    </w:p>
    <w:p w:rsidR="00787640" w:rsidRPr="00825E63" w:rsidRDefault="00787640" w:rsidP="00787640">
      <w:pPr>
        <w:pStyle w:val="CRCoverPage"/>
        <w:rPr>
          <w:rFonts w:cs="Arial"/>
          <w:b/>
          <w:bCs/>
          <w:sz w:val="24"/>
          <w:lang w:val="en-US" w:eastAsia="ja-JP"/>
        </w:rPr>
      </w:pPr>
      <w:r w:rsidRPr="00825E63">
        <w:rPr>
          <w:rFonts w:cs="Arial"/>
          <w:b/>
          <w:bCs/>
          <w:sz w:val="24"/>
          <w:lang w:val="en-US"/>
        </w:rPr>
        <w:t>Agenda item:</w:t>
      </w:r>
      <w:r w:rsidRPr="00825E63">
        <w:rPr>
          <w:rFonts w:cs="Arial"/>
          <w:b/>
          <w:bCs/>
          <w:sz w:val="24"/>
          <w:lang w:val="en-US"/>
        </w:rPr>
        <w:tab/>
      </w:r>
      <w:r w:rsidRPr="00825E63">
        <w:rPr>
          <w:rFonts w:cs="Arial"/>
          <w:b/>
          <w:bCs/>
          <w:sz w:val="24"/>
          <w:lang w:val="en-US"/>
        </w:rPr>
        <w:tab/>
      </w:r>
      <w:r w:rsidR="00183A08" w:rsidRPr="00825E63">
        <w:rPr>
          <w:rFonts w:cs="Arial"/>
          <w:b/>
          <w:bCs/>
          <w:sz w:val="24"/>
          <w:lang w:val="en-US"/>
        </w:rPr>
        <w:t>7.</w:t>
      </w:r>
      <w:r w:rsidR="002C5450" w:rsidRPr="00825E63">
        <w:rPr>
          <w:rFonts w:cs="Arial"/>
          <w:b/>
          <w:bCs/>
          <w:sz w:val="24"/>
          <w:lang w:val="en-US"/>
        </w:rPr>
        <w:t>2</w:t>
      </w:r>
      <w:r w:rsidR="00183A08" w:rsidRPr="00825E63">
        <w:rPr>
          <w:rFonts w:cs="Arial"/>
          <w:b/>
          <w:bCs/>
          <w:sz w:val="24"/>
          <w:lang w:val="en-US"/>
        </w:rPr>
        <w:t>.5</w:t>
      </w:r>
    </w:p>
    <w:p w:rsidR="00787640" w:rsidRPr="00825E63" w:rsidRDefault="00787640" w:rsidP="00787640">
      <w:pPr>
        <w:tabs>
          <w:tab w:val="left" w:pos="1985"/>
        </w:tabs>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4" w:name="OLE_LINK1"/>
      <w:bookmarkStart w:id="5" w:name="OLE_LINK2"/>
      <w:r w:rsidRPr="00825E63">
        <w:rPr>
          <w:rFonts w:ascii="Arial" w:hAnsi="Arial" w:cs="Arial"/>
          <w:b/>
          <w:bCs/>
          <w:sz w:val="24"/>
        </w:rPr>
        <w:t>Nokia</w:t>
      </w:r>
      <w:bookmarkEnd w:id="4"/>
      <w:bookmarkEnd w:id="5"/>
      <w:r w:rsidR="00F80DB5" w:rsidRPr="00825E63">
        <w:rPr>
          <w:rFonts w:ascii="Arial" w:hAnsi="Arial" w:cs="Arial"/>
          <w:b/>
          <w:bCs/>
          <w:sz w:val="24"/>
        </w:rPr>
        <w:t xml:space="preserve">, </w:t>
      </w:r>
      <w:r w:rsidR="00D2771C" w:rsidRPr="00825E63">
        <w:rPr>
          <w:rFonts w:ascii="Arial" w:hAnsi="Arial" w:cs="Arial"/>
          <w:b/>
          <w:bCs/>
          <w:sz w:val="24"/>
        </w:rPr>
        <w:t>Nokia Shanghai Bell</w:t>
      </w:r>
    </w:p>
    <w:p w:rsidR="00787640" w:rsidRPr="00825E63" w:rsidRDefault="00787640" w:rsidP="00787640">
      <w:pPr>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0107C9">
        <w:rPr>
          <w:rFonts w:ascii="Arial" w:hAnsi="Arial" w:cs="Arial"/>
          <w:b/>
          <w:bCs/>
          <w:sz w:val="24"/>
        </w:rPr>
        <w:t>Simultaneous configuration of grant and grant-free based UL transmission for URLLC UEs</w:t>
      </w:r>
    </w:p>
    <w:p w:rsidR="0034111C" w:rsidRPr="00825E63" w:rsidRDefault="00787640" w:rsidP="00787640">
      <w:pPr>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rsidR="0034111C" w:rsidRPr="00825E63" w:rsidRDefault="00EE7FA7" w:rsidP="00F12F85">
      <w:pPr>
        <w:pStyle w:val="Heading1"/>
        <w:rPr>
          <w:lang w:val="en-US"/>
        </w:rPr>
      </w:pPr>
      <w:r w:rsidRPr="00825E63">
        <w:rPr>
          <w:lang w:val="en-US"/>
        </w:rPr>
        <w:t>Introduction</w:t>
      </w:r>
    </w:p>
    <w:p w:rsidR="00D0513A" w:rsidRDefault="00D0513A" w:rsidP="00D0513A">
      <w:pPr>
        <w:jc w:val="both"/>
        <w:rPr>
          <w:rFonts w:ascii="Times New Roman" w:hAnsi="Times New Roman"/>
          <w:sz w:val="20"/>
          <w:szCs w:val="20"/>
        </w:rPr>
      </w:pPr>
      <w:bookmarkStart w:id="6" w:name="OLE_LINK13"/>
      <w:bookmarkStart w:id="7" w:name="OLE_LINK14"/>
      <w:r w:rsidRPr="0071399A">
        <w:rPr>
          <w:rFonts w:ascii="Times New Roman" w:hAnsi="Times New Roman"/>
          <w:sz w:val="20"/>
          <w:szCs w:val="20"/>
        </w:rPr>
        <w:t xml:space="preserve">URLLC is one of the three usage scenarios for future 5G and has been envisioned as one of the enablers for future vertical applications such as industrial automation, e-health, autonomous driving and so on. TR38.913 </w:t>
      </w:r>
      <w:r>
        <w:rPr>
          <w:rFonts w:ascii="Times New Roman" w:hAnsi="Times New Roman"/>
          <w:sz w:val="20"/>
          <w:szCs w:val="20"/>
        </w:rPr>
        <w:fldChar w:fldCharType="begin"/>
      </w:r>
      <w:r w:rsidRPr="0071399A">
        <w:rPr>
          <w:rFonts w:ascii="Times New Roman" w:hAnsi="Times New Roman"/>
          <w:sz w:val="20"/>
          <w:szCs w:val="20"/>
        </w:rPr>
        <w:instrText xml:space="preserve"> REF _Ref471379769 \r \h </w:instrText>
      </w:r>
      <w:r>
        <w:rPr>
          <w:rFonts w:ascii="Times New Roman" w:hAnsi="Times New Roman"/>
          <w:sz w:val="20"/>
          <w:szCs w:val="20"/>
        </w:rPr>
      </w:r>
      <w:r>
        <w:rPr>
          <w:rFonts w:ascii="Times New Roman" w:hAnsi="Times New Roman"/>
          <w:sz w:val="20"/>
          <w:szCs w:val="20"/>
        </w:rPr>
        <w:fldChar w:fldCharType="separate"/>
      </w:r>
      <w:r w:rsidRPr="0071399A">
        <w:rPr>
          <w:rFonts w:ascii="Times New Roman" w:hAnsi="Times New Roman"/>
          <w:sz w:val="20"/>
          <w:szCs w:val="20"/>
        </w:rPr>
        <w:t>[1]</w:t>
      </w:r>
      <w:r>
        <w:rPr>
          <w:rFonts w:ascii="Times New Roman" w:hAnsi="Times New Roman"/>
          <w:sz w:val="20"/>
          <w:szCs w:val="20"/>
        </w:rPr>
        <w:fldChar w:fldCharType="end"/>
      </w:r>
      <w:r w:rsidRPr="0071399A">
        <w:rPr>
          <w:rFonts w:ascii="Times New Roman" w:hAnsi="Times New Roman"/>
          <w:sz w:val="20"/>
          <w:szCs w:val="20"/>
        </w:rPr>
        <w:t xml:space="preserve"> defines </w:t>
      </w:r>
      <w:r>
        <w:rPr>
          <w:rFonts w:ascii="Times New Roman" w:hAnsi="Times New Roman"/>
          <w:sz w:val="20"/>
          <w:szCs w:val="20"/>
        </w:rPr>
        <w:t>the</w:t>
      </w:r>
      <w:r w:rsidRPr="0071399A">
        <w:rPr>
          <w:rFonts w:ascii="Times New Roman" w:hAnsi="Times New Roman"/>
          <w:sz w:val="20"/>
          <w:szCs w:val="20"/>
        </w:rPr>
        <w:t xml:space="preserve"> general requirements for URLLC, such as a target U-plane average latency of 0.5 ms, and a reliability of 1-10</w:t>
      </w:r>
      <w:r w:rsidRPr="0071399A">
        <w:rPr>
          <w:rFonts w:ascii="Times New Roman" w:hAnsi="Times New Roman"/>
          <w:sz w:val="20"/>
          <w:szCs w:val="20"/>
          <w:vertAlign w:val="superscript"/>
        </w:rPr>
        <w:t>-5</w:t>
      </w:r>
      <w:r w:rsidRPr="0071399A">
        <w:rPr>
          <w:rFonts w:ascii="Times New Roman" w:hAnsi="Times New Roman"/>
          <w:sz w:val="20"/>
          <w:szCs w:val="20"/>
        </w:rPr>
        <w:t xml:space="preserve"> to transmit a 32 bytes packet within 1 ms.</w:t>
      </w:r>
    </w:p>
    <w:p w:rsidR="00CA27C0" w:rsidRDefault="00A26603" w:rsidP="00D0513A">
      <w:pPr>
        <w:jc w:val="both"/>
        <w:rPr>
          <w:rFonts w:ascii="Times New Roman" w:hAnsi="Times New Roman"/>
          <w:sz w:val="20"/>
          <w:szCs w:val="20"/>
        </w:rPr>
      </w:pPr>
      <w:r>
        <w:rPr>
          <w:rFonts w:ascii="Times New Roman" w:hAnsi="Times New Roman"/>
          <w:sz w:val="20"/>
          <w:szCs w:val="20"/>
        </w:rPr>
        <w:t xml:space="preserve">In NR, </w:t>
      </w:r>
      <w:r w:rsidR="001A6F50" w:rsidRPr="001A6F50">
        <w:rPr>
          <w:rFonts w:ascii="Times New Roman" w:hAnsi="Times New Roman"/>
          <w:sz w:val="20"/>
          <w:szCs w:val="20"/>
        </w:rPr>
        <w:t xml:space="preserve">scheduling based transmission </w:t>
      </w:r>
      <w:r w:rsidR="001A6F50">
        <w:rPr>
          <w:rFonts w:ascii="Times New Roman" w:hAnsi="Times New Roman"/>
          <w:sz w:val="20"/>
          <w:szCs w:val="20"/>
        </w:rPr>
        <w:t>is</w:t>
      </w:r>
      <w:r w:rsidR="001A6F50" w:rsidRPr="001A6F50">
        <w:rPr>
          <w:rFonts w:ascii="Times New Roman" w:hAnsi="Times New Roman"/>
          <w:sz w:val="20"/>
          <w:szCs w:val="20"/>
        </w:rPr>
        <w:t xml:space="preserve"> supported in both DL and UL. With dynamic scheduling, the network can assign the resources to the UE in a very flexible manner according to the amount of data in the buffer and hence optimize the resource utilization.</w:t>
      </w:r>
      <w:r w:rsidR="001A6F50">
        <w:rPr>
          <w:rFonts w:ascii="Times New Roman" w:hAnsi="Times New Roman"/>
          <w:sz w:val="20"/>
          <w:szCs w:val="20"/>
        </w:rPr>
        <w:t xml:space="preserve"> On the other hand, a</w:t>
      </w:r>
      <w:r w:rsidR="00CA27C0">
        <w:rPr>
          <w:rFonts w:ascii="Times New Roman" w:hAnsi="Times New Roman"/>
          <w:sz w:val="20"/>
          <w:szCs w:val="20"/>
        </w:rPr>
        <w:t xml:space="preserve">s already supported in </w:t>
      </w:r>
      <w:r w:rsidR="00C5217C">
        <w:rPr>
          <w:rFonts w:ascii="Times New Roman" w:hAnsi="Times New Roman"/>
          <w:sz w:val="20"/>
          <w:szCs w:val="20"/>
        </w:rPr>
        <w:t>Rel-15, UL grant free transmission is one way to reduce latency for URLLC services. According to 38.331 [2], there are two types of UL grant free transmission.</w:t>
      </w:r>
    </w:p>
    <w:p w:rsidR="00CA27C0" w:rsidRPr="00CA27C0" w:rsidRDefault="00C5217C" w:rsidP="00CA27C0">
      <w:pPr>
        <w:rPr>
          <w:i/>
        </w:rPr>
      </w:pPr>
      <w:r w:rsidRPr="00C5217C">
        <w:rPr>
          <w:rFonts w:ascii="Times New Roman" w:hAnsi="Times New Roman"/>
          <w:i/>
          <w:sz w:val="20"/>
          <w:szCs w:val="20"/>
        </w:rPr>
        <w:t>“</w:t>
      </w:r>
      <w:r w:rsidR="00CA27C0" w:rsidRPr="00C5217C">
        <w:rPr>
          <w:rFonts w:ascii="Times New Roman" w:hAnsi="Times New Roman"/>
          <w:i/>
          <w:sz w:val="20"/>
          <w:szCs w:val="20"/>
        </w:rPr>
        <w:t>The SPS-Config IE is used to configure semi-persistent transmission according to two possible schemes. The actual uplink grant may either be configured via RRC (type1) or provided via the PDCCH (addressed to SPS-RNTI) (type2).</w:t>
      </w:r>
      <w:r w:rsidRPr="00C5217C">
        <w:rPr>
          <w:rFonts w:ascii="Times New Roman" w:hAnsi="Times New Roman"/>
          <w:i/>
          <w:sz w:val="20"/>
          <w:szCs w:val="20"/>
        </w:rPr>
        <w:t>”</w:t>
      </w:r>
    </w:p>
    <w:p w:rsidR="00D0513A" w:rsidRPr="0071399A" w:rsidRDefault="00D0513A" w:rsidP="00D0513A">
      <w:pPr>
        <w:spacing w:before="120" w:after="120"/>
        <w:jc w:val="both"/>
        <w:rPr>
          <w:rFonts w:ascii="Times New Roman" w:eastAsia="Times New Roman" w:hAnsi="Times New Roman"/>
          <w:sz w:val="20"/>
        </w:rPr>
      </w:pPr>
      <w:r w:rsidRPr="0071399A">
        <w:rPr>
          <w:rFonts w:ascii="Times New Roman" w:hAnsi="Times New Roman"/>
          <w:sz w:val="20"/>
          <w:szCs w:val="20"/>
        </w:rPr>
        <w:t xml:space="preserve">Based on the </w:t>
      </w:r>
      <w:r w:rsidR="001A6F50">
        <w:rPr>
          <w:rFonts w:ascii="Times New Roman" w:hAnsi="Times New Roman"/>
          <w:sz w:val="20"/>
          <w:szCs w:val="20"/>
        </w:rPr>
        <w:t>outcome from RAN1</w:t>
      </w:r>
      <w:r w:rsidRPr="0071399A">
        <w:rPr>
          <w:rFonts w:ascii="Times New Roman" w:hAnsi="Times New Roman"/>
          <w:sz w:val="20"/>
          <w:szCs w:val="20"/>
        </w:rPr>
        <w:t xml:space="preserve">, </w:t>
      </w:r>
      <w:r w:rsidR="001A6F50">
        <w:rPr>
          <w:rFonts w:ascii="Times New Roman" w:hAnsi="Times New Roman"/>
          <w:sz w:val="20"/>
          <w:szCs w:val="20"/>
        </w:rPr>
        <w:t xml:space="preserve">in this contribution </w:t>
      </w:r>
      <w:r w:rsidRPr="0071399A">
        <w:rPr>
          <w:rFonts w:ascii="Times New Roman" w:hAnsi="Times New Roman"/>
          <w:sz w:val="20"/>
          <w:szCs w:val="20"/>
        </w:rPr>
        <w:t xml:space="preserve">we discuss the </w:t>
      </w:r>
      <w:r w:rsidR="001A6F50">
        <w:rPr>
          <w:rFonts w:ascii="Times New Roman" w:hAnsi="Times New Roman"/>
          <w:sz w:val="20"/>
          <w:szCs w:val="20"/>
        </w:rPr>
        <w:t>way to increase the reliability while keeping latency reduction in mind specially for URLLC UEs</w:t>
      </w:r>
      <w:r w:rsidRPr="0071399A">
        <w:rPr>
          <w:rFonts w:ascii="Times New Roman" w:hAnsi="Times New Roman"/>
          <w:sz w:val="20"/>
        </w:rPr>
        <w:t>.</w:t>
      </w:r>
    </w:p>
    <w:p w:rsidR="00DC0CC5" w:rsidRPr="00825E63" w:rsidRDefault="00DC0CC5" w:rsidP="00996919">
      <w:pPr>
        <w:spacing w:after="120"/>
        <w:jc w:val="both"/>
        <w:rPr>
          <w:rFonts w:ascii="Times New Roman" w:hAnsi="Times New Roman"/>
          <w:bCs/>
          <w:sz w:val="20"/>
          <w:szCs w:val="20"/>
        </w:rPr>
      </w:pPr>
    </w:p>
    <w:p w:rsidR="00825E63" w:rsidRDefault="00825E63" w:rsidP="00825E63">
      <w:pPr>
        <w:pStyle w:val="Heading1"/>
        <w:rPr>
          <w:lang w:val="en-US"/>
        </w:rPr>
      </w:pPr>
      <w:r>
        <w:rPr>
          <w:lang w:val="en-US"/>
        </w:rPr>
        <w:tab/>
      </w:r>
      <w:r w:rsidR="00A34C67" w:rsidRPr="00825E63">
        <w:rPr>
          <w:lang w:val="en-US"/>
        </w:rPr>
        <w:t>Discussion</w:t>
      </w:r>
    </w:p>
    <w:p w:rsidR="00BD4491" w:rsidRDefault="00BD4491" w:rsidP="006764DC">
      <w:pPr>
        <w:overflowPunct w:val="0"/>
        <w:autoSpaceDE w:val="0"/>
        <w:autoSpaceDN w:val="0"/>
        <w:adjustRightInd w:val="0"/>
        <w:spacing w:after="180" w:line="240" w:lineRule="auto"/>
        <w:jc w:val="both"/>
        <w:textAlignment w:val="baseline"/>
        <w:rPr>
          <w:rFonts w:ascii="Times New Roman" w:hAnsi="Times New Roman"/>
          <w:sz w:val="20"/>
        </w:rPr>
      </w:pPr>
      <w:r>
        <w:rPr>
          <w:rFonts w:ascii="Arial" w:hAnsi="Arial" w:cs="Arial"/>
          <w:sz w:val="32"/>
          <w:szCs w:val="32"/>
        </w:rPr>
        <w:t>2.1 Multiple transmission</w:t>
      </w:r>
      <w:r w:rsidRPr="00D532C2">
        <w:rPr>
          <w:rFonts w:ascii="Arial" w:hAnsi="Arial" w:cs="Arial"/>
          <w:sz w:val="32"/>
          <w:szCs w:val="32"/>
        </w:rPr>
        <w:t xml:space="preserve"> </w:t>
      </w:r>
      <w:r>
        <w:rPr>
          <w:rFonts w:ascii="Arial" w:hAnsi="Arial" w:cs="Arial"/>
          <w:sz w:val="32"/>
          <w:szCs w:val="32"/>
        </w:rPr>
        <w:t xml:space="preserve">mode </w:t>
      </w:r>
      <w:r w:rsidRPr="00D532C2">
        <w:rPr>
          <w:rFonts w:ascii="Arial" w:hAnsi="Arial" w:cs="Arial"/>
          <w:sz w:val="32"/>
          <w:szCs w:val="32"/>
        </w:rPr>
        <w:t>configurations</w:t>
      </w:r>
    </w:p>
    <w:p w:rsidR="00197D4A" w:rsidRPr="00067297" w:rsidRDefault="006764DC" w:rsidP="006764DC">
      <w:pPr>
        <w:overflowPunct w:val="0"/>
        <w:autoSpaceDE w:val="0"/>
        <w:autoSpaceDN w:val="0"/>
        <w:adjustRightInd w:val="0"/>
        <w:spacing w:after="180" w:line="240" w:lineRule="auto"/>
        <w:jc w:val="both"/>
        <w:textAlignment w:val="baseline"/>
        <w:rPr>
          <w:rFonts w:ascii="Times New Roman" w:hAnsi="Times New Roman"/>
          <w:sz w:val="20"/>
          <w:lang w:val="en-GB"/>
        </w:rPr>
      </w:pPr>
      <w:r>
        <w:rPr>
          <w:rFonts w:ascii="Times New Roman" w:hAnsi="Times New Roman"/>
          <w:sz w:val="20"/>
        </w:rPr>
        <w:t>Similar as in LTE,</w:t>
      </w:r>
      <w:r w:rsidR="000107C9">
        <w:rPr>
          <w:rFonts w:ascii="Times New Roman" w:hAnsi="Times New Roman"/>
          <w:sz w:val="20"/>
        </w:rPr>
        <w:t xml:space="preserve"> </w:t>
      </w:r>
      <w:r w:rsidR="00F30E03" w:rsidRPr="00067297">
        <w:rPr>
          <w:rFonts w:ascii="Times New Roman" w:hAnsi="Times New Roman"/>
          <w:sz w:val="20"/>
          <w:lang w:val="en-GB"/>
        </w:rPr>
        <w:t xml:space="preserve">grant-based </w:t>
      </w:r>
      <w:r w:rsidRPr="00067297">
        <w:rPr>
          <w:rFonts w:ascii="Times New Roman" w:hAnsi="Times New Roman"/>
          <w:sz w:val="20"/>
          <w:lang w:val="en-GB"/>
        </w:rPr>
        <w:t xml:space="preserve">uplink data transmission </w:t>
      </w:r>
      <w:r w:rsidR="000107C9" w:rsidRPr="00067297">
        <w:rPr>
          <w:rFonts w:ascii="Times New Roman" w:hAnsi="Times New Roman"/>
          <w:sz w:val="20"/>
          <w:lang w:val="en-GB"/>
        </w:rPr>
        <w:t>takes place after</w:t>
      </w:r>
      <w:r w:rsidRPr="00067297">
        <w:rPr>
          <w:rFonts w:ascii="Times New Roman" w:hAnsi="Times New Roman"/>
          <w:sz w:val="20"/>
          <w:lang w:val="en-GB"/>
        </w:rPr>
        <w:t xml:space="preserve"> </w:t>
      </w:r>
      <w:r w:rsidR="000107C9" w:rsidRPr="00067297">
        <w:rPr>
          <w:rFonts w:ascii="Times New Roman" w:hAnsi="Times New Roman"/>
          <w:sz w:val="20"/>
          <w:lang w:val="en-GB"/>
        </w:rPr>
        <w:t xml:space="preserve">sending </w:t>
      </w:r>
      <w:r w:rsidRPr="00067297">
        <w:rPr>
          <w:rFonts w:ascii="Times New Roman" w:hAnsi="Times New Roman"/>
          <w:sz w:val="20"/>
          <w:lang w:val="en-GB"/>
        </w:rPr>
        <w:t xml:space="preserve">a scheduling request (SR) from the UE and </w:t>
      </w:r>
      <w:r w:rsidR="000107C9" w:rsidRPr="00067297">
        <w:rPr>
          <w:rFonts w:ascii="Times New Roman" w:hAnsi="Times New Roman"/>
          <w:sz w:val="20"/>
          <w:lang w:val="en-GB"/>
        </w:rPr>
        <w:t xml:space="preserve">receiving </w:t>
      </w:r>
      <w:r w:rsidRPr="00067297">
        <w:rPr>
          <w:rFonts w:ascii="Times New Roman" w:hAnsi="Times New Roman"/>
          <w:sz w:val="20"/>
          <w:lang w:val="en-GB"/>
        </w:rPr>
        <w:t xml:space="preserve">an uplink grant signalled back from </w:t>
      </w:r>
      <w:r w:rsidR="000107C9" w:rsidRPr="00067297">
        <w:rPr>
          <w:rFonts w:ascii="Times New Roman" w:hAnsi="Times New Roman"/>
          <w:sz w:val="20"/>
          <w:lang w:val="en-GB"/>
        </w:rPr>
        <w:t>g</w:t>
      </w:r>
      <w:r w:rsidRPr="00067297">
        <w:rPr>
          <w:rFonts w:ascii="Times New Roman" w:hAnsi="Times New Roman"/>
          <w:sz w:val="20"/>
          <w:lang w:val="en-GB"/>
        </w:rPr>
        <w:t xml:space="preserve">NB after </w:t>
      </w:r>
      <w:r w:rsidR="000107C9" w:rsidRPr="00067297">
        <w:rPr>
          <w:rFonts w:ascii="Times New Roman" w:hAnsi="Times New Roman"/>
          <w:sz w:val="20"/>
          <w:lang w:val="en-GB"/>
        </w:rPr>
        <w:t>SR is successfully received</w:t>
      </w:r>
      <w:r w:rsidRPr="00067297">
        <w:rPr>
          <w:rFonts w:ascii="Times New Roman" w:hAnsi="Times New Roman"/>
          <w:sz w:val="20"/>
          <w:lang w:val="en-GB"/>
        </w:rPr>
        <w:t xml:space="preserve">. </w:t>
      </w:r>
      <w:r w:rsidR="00197D4A" w:rsidRPr="00067297">
        <w:rPr>
          <w:rFonts w:ascii="Times New Roman" w:hAnsi="Times New Roman"/>
          <w:sz w:val="20"/>
          <w:lang w:val="en-GB"/>
        </w:rPr>
        <w:t>Clearly this procedure adds at least one round-trip latency in the UL data transmission</w:t>
      </w:r>
      <w:r w:rsidR="0000303F" w:rsidRPr="00067297">
        <w:rPr>
          <w:rFonts w:ascii="Times New Roman" w:hAnsi="Times New Roman"/>
          <w:sz w:val="20"/>
          <w:lang w:val="en-GB"/>
        </w:rPr>
        <w:t xml:space="preserve"> which finally will result in increased E2E latency</w:t>
      </w:r>
      <w:r w:rsidR="00197D4A" w:rsidRPr="00067297">
        <w:rPr>
          <w:rFonts w:ascii="Times New Roman" w:hAnsi="Times New Roman"/>
          <w:sz w:val="20"/>
          <w:lang w:val="en-GB"/>
        </w:rPr>
        <w:t>.</w:t>
      </w:r>
      <w:r w:rsidR="00BD4491">
        <w:rPr>
          <w:rFonts w:ascii="Times New Roman" w:hAnsi="Times New Roman"/>
          <w:sz w:val="20"/>
          <w:lang w:val="en-GB"/>
        </w:rPr>
        <w:t xml:space="preserve"> </w:t>
      </w:r>
      <w:r w:rsidR="00BD4491">
        <w:rPr>
          <w:rFonts w:ascii="Times New Roman" w:hAnsi="Times New Roman"/>
          <w:sz w:val="20"/>
        </w:rPr>
        <w:t>Moreover, with grant based UL transmission, high reliability requirements apply to control information as well including SR and resource assignment.</w:t>
      </w:r>
    </w:p>
    <w:p w:rsidR="00A42145" w:rsidRDefault="0000303F" w:rsidP="00BD4491">
      <w:pPr>
        <w:overflowPunct w:val="0"/>
        <w:autoSpaceDE w:val="0"/>
        <w:autoSpaceDN w:val="0"/>
        <w:adjustRightInd w:val="0"/>
        <w:spacing w:after="180" w:line="240" w:lineRule="auto"/>
        <w:jc w:val="both"/>
        <w:textAlignment w:val="baseline"/>
        <w:rPr>
          <w:rFonts w:ascii="Times New Roman" w:hAnsi="Times New Roman"/>
          <w:sz w:val="20"/>
        </w:rPr>
      </w:pPr>
      <w:r w:rsidRPr="00067297">
        <w:rPr>
          <w:rFonts w:ascii="Times New Roman" w:hAnsi="Times New Roman"/>
          <w:sz w:val="20"/>
          <w:lang w:val="en-GB"/>
        </w:rPr>
        <w:t>As another alternative, UL grant free transmission</w:t>
      </w:r>
      <w:r>
        <w:rPr>
          <w:rFonts w:ascii="Times New Roman" w:hAnsi="Times New Roman"/>
          <w:sz w:val="20"/>
        </w:rPr>
        <w:t xml:space="preserve"> can be utilized to </w:t>
      </w:r>
      <w:r w:rsidR="00BD4491">
        <w:rPr>
          <w:rFonts w:ascii="Times New Roman" w:hAnsi="Times New Roman"/>
          <w:sz w:val="20"/>
        </w:rPr>
        <w:t>remove</w:t>
      </w:r>
      <w:r>
        <w:rPr>
          <w:rFonts w:ascii="Times New Roman" w:hAnsi="Times New Roman"/>
          <w:sz w:val="20"/>
        </w:rPr>
        <w:t xml:space="preserve"> the scheduling latency where gNB can pre-configure the resource for UL grant free usage. Two types of UL grant free operation have been agreed in RAN1. </w:t>
      </w:r>
      <w:r w:rsidR="00BD4491">
        <w:rPr>
          <w:rFonts w:ascii="Times New Roman" w:hAnsi="Times New Roman"/>
          <w:sz w:val="20"/>
        </w:rPr>
        <w:t xml:space="preserve">In addition, </w:t>
      </w:r>
      <w:r w:rsidR="004D3D0F" w:rsidRPr="0071399A">
        <w:rPr>
          <w:rFonts w:ascii="Times New Roman" w:hAnsi="Times New Roman"/>
          <w:sz w:val="20"/>
        </w:rPr>
        <w:t>UL g</w:t>
      </w:r>
      <w:r w:rsidR="004D3D0F" w:rsidRPr="0071399A">
        <w:rPr>
          <w:rFonts w:ascii="Times New Roman" w:hAnsi="Times New Roman" w:hint="eastAsia"/>
          <w:sz w:val="20"/>
        </w:rPr>
        <w:t>rant</w:t>
      </w:r>
      <w:r w:rsidR="00BD4491">
        <w:rPr>
          <w:rFonts w:ascii="Times New Roman" w:hAnsi="Times New Roman"/>
          <w:sz w:val="20"/>
        </w:rPr>
        <w:t xml:space="preserve"> </w:t>
      </w:r>
      <w:r w:rsidR="004D3D0F" w:rsidRPr="0071399A">
        <w:rPr>
          <w:rFonts w:ascii="Times New Roman" w:hAnsi="Times New Roman" w:hint="eastAsia"/>
          <w:sz w:val="20"/>
        </w:rPr>
        <w:t xml:space="preserve">free </w:t>
      </w:r>
      <w:r w:rsidR="004D3D0F" w:rsidRPr="0071399A">
        <w:rPr>
          <w:rFonts w:ascii="Times New Roman" w:hAnsi="Times New Roman"/>
          <w:sz w:val="20"/>
        </w:rPr>
        <w:t xml:space="preserve">transmission can </w:t>
      </w:r>
      <w:r w:rsidR="00BD4491">
        <w:rPr>
          <w:rFonts w:ascii="Times New Roman" w:hAnsi="Times New Roman"/>
          <w:sz w:val="20"/>
        </w:rPr>
        <w:t>reduce</w:t>
      </w:r>
      <w:r w:rsidR="004D3D0F" w:rsidRPr="0071399A">
        <w:rPr>
          <w:rFonts w:ascii="Times New Roman" w:hAnsi="Times New Roman" w:hint="eastAsia"/>
          <w:sz w:val="20"/>
        </w:rPr>
        <w:t xml:space="preserve"> </w:t>
      </w:r>
      <w:r w:rsidR="004D3D0F" w:rsidRPr="0071399A">
        <w:rPr>
          <w:rFonts w:ascii="Times New Roman" w:hAnsi="Times New Roman"/>
          <w:sz w:val="20"/>
        </w:rPr>
        <w:t xml:space="preserve">signaling </w:t>
      </w:r>
      <w:r w:rsidR="004D3D0F" w:rsidRPr="0071399A">
        <w:rPr>
          <w:rFonts w:ascii="Times New Roman" w:hAnsi="Times New Roman" w:hint="eastAsia"/>
          <w:sz w:val="20"/>
        </w:rPr>
        <w:t xml:space="preserve">overhead </w:t>
      </w:r>
      <w:r w:rsidR="00BD4491">
        <w:rPr>
          <w:rFonts w:ascii="Times New Roman" w:hAnsi="Times New Roman"/>
          <w:sz w:val="20"/>
        </w:rPr>
        <w:t xml:space="preserve">comparing to </w:t>
      </w:r>
      <w:r w:rsidR="004D3D0F" w:rsidRPr="0071399A">
        <w:rPr>
          <w:rFonts w:ascii="Times New Roman" w:hAnsi="Times New Roman"/>
          <w:sz w:val="20"/>
        </w:rPr>
        <w:t>than grant</w:t>
      </w:r>
      <w:r w:rsidR="00BD4491">
        <w:rPr>
          <w:rFonts w:ascii="Times New Roman" w:hAnsi="Times New Roman"/>
          <w:sz w:val="20"/>
        </w:rPr>
        <w:t xml:space="preserve"> </w:t>
      </w:r>
      <w:r w:rsidR="004D3D0F" w:rsidRPr="0071399A">
        <w:rPr>
          <w:rFonts w:ascii="Times New Roman" w:hAnsi="Times New Roman"/>
          <w:sz w:val="20"/>
        </w:rPr>
        <w:t xml:space="preserve">based </w:t>
      </w:r>
      <w:r w:rsidR="00BD4491">
        <w:rPr>
          <w:rFonts w:ascii="Times New Roman" w:hAnsi="Times New Roman"/>
          <w:sz w:val="20"/>
        </w:rPr>
        <w:t xml:space="preserve">UL </w:t>
      </w:r>
      <w:r w:rsidR="004D3D0F" w:rsidRPr="0071399A">
        <w:rPr>
          <w:rFonts w:ascii="Times New Roman" w:hAnsi="Times New Roman"/>
          <w:sz w:val="20"/>
        </w:rPr>
        <w:t>transmission</w:t>
      </w:r>
      <w:r w:rsidR="00BD4491">
        <w:rPr>
          <w:rFonts w:ascii="Times New Roman" w:hAnsi="Times New Roman"/>
          <w:sz w:val="20"/>
        </w:rPr>
        <w:t xml:space="preserve">. </w:t>
      </w:r>
      <w:r w:rsidR="004D3D0F">
        <w:rPr>
          <w:rFonts w:ascii="Times New Roman" w:hAnsi="Times New Roman"/>
          <w:sz w:val="20"/>
        </w:rPr>
        <w:t>However, grant</w:t>
      </w:r>
      <w:r w:rsidR="00BD4491">
        <w:rPr>
          <w:rFonts w:ascii="Times New Roman" w:hAnsi="Times New Roman"/>
          <w:sz w:val="20"/>
        </w:rPr>
        <w:t xml:space="preserve"> </w:t>
      </w:r>
      <w:r w:rsidR="004D3D0F">
        <w:rPr>
          <w:rFonts w:ascii="Times New Roman" w:hAnsi="Times New Roman"/>
          <w:sz w:val="20"/>
        </w:rPr>
        <w:t xml:space="preserve">free </w:t>
      </w:r>
      <w:r w:rsidR="00BD4491">
        <w:rPr>
          <w:rFonts w:ascii="Times New Roman" w:hAnsi="Times New Roman"/>
          <w:sz w:val="20"/>
        </w:rPr>
        <w:t xml:space="preserve">transmission </w:t>
      </w:r>
      <w:r w:rsidR="004D3D0F">
        <w:rPr>
          <w:rFonts w:ascii="Times New Roman" w:hAnsi="Times New Roman"/>
          <w:sz w:val="20"/>
        </w:rPr>
        <w:t xml:space="preserve">is not always the </w:t>
      </w:r>
      <w:r w:rsidR="00BD4491">
        <w:rPr>
          <w:rFonts w:ascii="Times New Roman" w:hAnsi="Times New Roman"/>
          <w:sz w:val="20"/>
        </w:rPr>
        <w:t>best</w:t>
      </w:r>
      <w:r w:rsidR="004D3D0F">
        <w:rPr>
          <w:rFonts w:ascii="Times New Roman" w:hAnsi="Times New Roman"/>
          <w:sz w:val="20"/>
        </w:rPr>
        <w:t xml:space="preserve"> choice as the shared resource might be populated with grant</w:t>
      </w:r>
      <w:r w:rsidR="00BD4491">
        <w:rPr>
          <w:rFonts w:ascii="Times New Roman" w:hAnsi="Times New Roman"/>
          <w:sz w:val="20"/>
        </w:rPr>
        <w:t xml:space="preserve"> </w:t>
      </w:r>
      <w:r w:rsidR="004D3D0F">
        <w:rPr>
          <w:rFonts w:ascii="Times New Roman" w:hAnsi="Times New Roman"/>
          <w:sz w:val="20"/>
        </w:rPr>
        <w:t>free UEs, and collisions become noticeable</w:t>
      </w:r>
      <w:r w:rsidR="00BD4491">
        <w:rPr>
          <w:rFonts w:ascii="Times New Roman" w:hAnsi="Times New Roman"/>
          <w:sz w:val="20"/>
        </w:rPr>
        <w:t xml:space="preserve"> at high load scenario. This will result in not only URLLC capacity degradation, but also performance degradation in terms of reliability. </w:t>
      </w:r>
    </w:p>
    <w:p w:rsidR="00631073" w:rsidRDefault="00D0513A" w:rsidP="00631073">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To guarantee the reliable reception of the URLLC transmissions, simultaneous support of both modes, i.e., </w:t>
      </w:r>
      <w:r w:rsidR="00BD4491">
        <w:rPr>
          <w:rFonts w:ascii="Times New Roman" w:eastAsia="SimSun" w:hAnsi="Times New Roman"/>
          <w:sz w:val="20"/>
          <w:szCs w:val="20"/>
        </w:rPr>
        <w:t>grant-based</w:t>
      </w:r>
      <w:r>
        <w:rPr>
          <w:rFonts w:ascii="Times New Roman" w:eastAsia="SimSun" w:hAnsi="Times New Roman"/>
          <w:sz w:val="20"/>
          <w:szCs w:val="20"/>
        </w:rPr>
        <w:t xml:space="preserve"> transmission and grant-free </w:t>
      </w:r>
      <w:r w:rsidR="00BD4491">
        <w:rPr>
          <w:rFonts w:ascii="Times New Roman" w:eastAsia="SimSun" w:hAnsi="Times New Roman"/>
          <w:sz w:val="20"/>
          <w:szCs w:val="20"/>
        </w:rPr>
        <w:t xml:space="preserve">based </w:t>
      </w:r>
      <w:r>
        <w:rPr>
          <w:rFonts w:ascii="Times New Roman" w:eastAsia="SimSun" w:hAnsi="Times New Roman"/>
          <w:sz w:val="20"/>
          <w:szCs w:val="20"/>
        </w:rPr>
        <w:t xml:space="preserve">transmission for a </w:t>
      </w:r>
      <w:r w:rsidR="00BD4491">
        <w:rPr>
          <w:rFonts w:ascii="Times New Roman" w:eastAsia="SimSun" w:hAnsi="Times New Roman"/>
          <w:sz w:val="20"/>
          <w:szCs w:val="20"/>
        </w:rPr>
        <w:t xml:space="preserve">URLLC </w:t>
      </w:r>
      <w:r>
        <w:rPr>
          <w:rFonts w:ascii="Times New Roman" w:eastAsia="SimSun" w:hAnsi="Times New Roman"/>
          <w:sz w:val="20"/>
          <w:szCs w:val="20"/>
        </w:rPr>
        <w:t xml:space="preserve">UE should be considered. </w:t>
      </w:r>
      <w:r w:rsidR="00BD4491">
        <w:rPr>
          <w:rFonts w:ascii="Times New Roman" w:eastAsia="SimSun" w:hAnsi="Times New Roman"/>
          <w:sz w:val="20"/>
          <w:szCs w:val="20"/>
        </w:rPr>
        <w:t>Different transmission mode</w:t>
      </w:r>
      <w:r>
        <w:rPr>
          <w:rFonts w:ascii="Times New Roman" w:eastAsia="SimSun" w:hAnsi="Times New Roman"/>
          <w:sz w:val="20"/>
          <w:szCs w:val="20"/>
        </w:rPr>
        <w:t xml:space="preserve"> can be a part of the initial transmission and/or the </w:t>
      </w:r>
      <w:r w:rsidRPr="003D5519">
        <w:rPr>
          <w:rFonts w:ascii="Times New Roman" w:eastAsia="SimSun" w:hAnsi="Times New Roman"/>
          <w:sz w:val="20"/>
          <w:szCs w:val="20"/>
        </w:rPr>
        <w:t>retransmission</w:t>
      </w:r>
      <w:r>
        <w:rPr>
          <w:rFonts w:ascii="Times New Roman" w:eastAsia="SimSun" w:hAnsi="Times New Roman"/>
          <w:sz w:val="20"/>
          <w:szCs w:val="20"/>
        </w:rPr>
        <w:t xml:space="preserve">. </w:t>
      </w:r>
      <w:r w:rsidR="00BA407C">
        <w:rPr>
          <w:rFonts w:ascii="Times New Roman" w:eastAsia="SimSun" w:hAnsi="Times New Roman"/>
          <w:sz w:val="20"/>
          <w:szCs w:val="20"/>
        </w:rPr>
        <w:fldChar w:fldCharType="begin"/>
      </w:r>
      <w:r w:rsidR="00BA407C">
        <w:rPr>
          <w:rFonts w:ascii="Times New Roman" w:eastAsia="SimSun" w:hAnsi="Times New Roman"/>
          <w:sz w:val="20"/>
          <w:szCs w:val="20"/>
        </w:rPr>
        <w:instrText xml:space="preserve"> REF _Ref505789015 \h  \* MERGEFORMAT </w:instrText>
      </w:r>
      <w:r w:rsidR="00BA407C">
        <w:rPr>
          <w:rFonts w:ascii="Times New Roman" w:eastAsia="SimSun" w:hAnsi="Times New Roman"/>
          <w:sz w:val="20"/>
          <w:szCs w:val="20"/>
        </w:rPr>
      </w:r>
      <w:r w:rsidR="00BA407C">
        <w:rPr>
          <w:rFonts w:ascii="Times New Roman" w:eastAsia="SimSun" w:hAnsi="Times New Roman"/>
          <w:sz w:val="20"/>
          <w:szCs w:val="20"/>
        </w:rPr>
        <w:fldChar w:fldCharType="separate"/>
      </w:r>
      <w:r w:rsidR="00BA407C" w:rsidRPr="00BA407C">
        <w:rPr>
          <w:rFonts w:ascii="Times New Roman" w:eastAsia="SimSun" w:hAnsi="Times New Roman"/>
          <w:sz w:val="20"/>
          <w:szCs w:val="20"/>
        </w:rPr>
        <w:t>Figure 1</w:t>
      </w:r>
      <w:r w:rsidR="00BA407C">
        <w:rPr>
          <w:rFonts w:ascii="Times New Roman" w:eastAsia="SimSun" w:hAnsi="Times New Roman"/>
          <w:sz w:val="20"/>
          <w:szCs w:val="20"/>
        </w:rPr>
        <w:fldChar w:fldCharType="end"/>
      </w:r>
      <w:r w:rsidR="00BA407C">
        <w:rPr>
          <w:rFonts w:ascii="Times New Roman" w:eastAsia="SimSun" w:hAnsi="Times New Roman"/>
          <w:sz w:val="20"/>
          <w:szCs w:val="20"/>
        </w:rPr>
        <w:t xml:space="preserve"> </w:t>
      </w:r>
      <w:r w:rsidRPr="00F1271A">
        <w:rPr>
          <w:rFonts w:ascii="Times New Roman" w:eastAsia="SimSun" w:hAnsi="Times New Roman"/>
          <w:sz w:val="20"/>
          <w:szCs w:val="20"/>
        </w:rPr>
        <w:t xml:space="preserve">below shows one </w:t>
      </w:r>
      <w:r w:rsidR="00BD4491">
        <w:rPr>
          <w:rFonts w:ascii="Times New Roman" w:eastAsia="SimSun" w:hAnsi="Times New Roman"/>
          <w:sz w:val="20"/>
          <w:szCs w:val="20"/>
        </w:rPr>
        <w:t>example case where URLLC UEs are configured with both transmission modes</w:t>
      </w:r>
      <w:r>
        <w:rPr>
          <w:rFonts w:ascii="Times New Roman" w:eastAsia="SimSun" w:hAnsi="Times New Roman"/>
          <w:sz w:val="20"/>
          <w:szCs w:val="20"/>
        </w:rPr>
        <w:t>.</w:t>
      </w:r>
      <w:r w:rsidR="00BD4491">
        <w:rPr>
          <w:rFonts w:ascii="Times New Roman" w:eastAsia="SimSun" w:hAnsi="Times New Roman"/>
          <w:sz w:val="20"/>
          <w:szCs w:val="20"/>
        </w:rPr>
        <w:t xml:space="preserve"> Depending on the resource allocation, </w:t>
      </w:r>
      <w:r w:rsidR="00C64D86">
        <w:rPr>
          <w:rFonts w:ascii="Times New Roman" w:eastAsia="SimSun" w:hAnsi="Times New Roman"/>
          <w:sz w:val="20"/>
          <w:szCs w:val="20"/>
        </w:rPr>
        <w:t>the same TB could be potentially transmitted with two modes.</w:t>
      </w:r>
      <w:r w:rsidR="00631073">
        <w:rPr>
          <w:rFonts w:ascii="Times New Roman" w:eastAsia="SimSun" w:hAnsi="Times New Roman"/>
          <w:sz w:val="20"/>
          <w:szCs w:val="20"/>
        </w:rPr>
        <w:t xml:space="preserve"> Either resource for SR transmission or resource for UL GF transmission can take place first when the packet is coming.</w:t>
      </w:r>
      <w:r w:rsidR="00D369A8">
        <w:rPr>
          <w:rFonts w:ascii="Times New Roman" w:eastAsia="SimSun" w:hAnsi="Times New Roman"/>
          <w:sz w:val="20"/>
          <w:szCs w:val="20"/>
        </w:rPr>
        <w:t xml:space="preserve"> In the example show</w:t>
      </w:r>
      <w:r w:rsidR="00C932F4">
        <w:rPr>
          <w:rFonts w:ascii="Times New Roman" w:eastAsia="SimSun" w:hAnsi="Times New Roman"/>
          <w:sz w:val="20"/>
          <w:szCs w:val="20"/>
        </w:rPr>
        <w:t>n</w:t>
      </w:r>
      <w:r w:rsidR="00D369A8">
        <w:rPr>
          <w:rFonts w:ascii="Times New Roman" w:eastAsia="SimSun" w:hAnsi="Times New Roman"/>
          <w:sz w:val="20"/>
          <w:szCs w:val="20"/>
        </w:rPr>
        <w:t xml:space="preserve"> in Figure 1, UE#1 </w:t>
      </w:r>
      <w:r w:rsidR="00B32523">
        <w:rPr>
          <w:rFonts w:ascii="Times New Roman" w:eastAsia="SimSun" w:hAnsi="Times New Roman"/>
          <w:sz w:val="20"/>
          <w:szCs w:val="20"/>
        </w:rPr>
        <w:t xml:space="preserve">is transmitting </w:t>
      </w:r>
      <w:r w:rsidR="006B5180">
        <w:rPr>
          <w:rFonts w:ascii="Times New Roman" w:eastAsia="SimSun" w:hAnsi="Times New Roman"/>
          <w:sz w:val="20"/>
          <w:szCs w:val="20"/>
        </w:rPr>
        <w:t xml:space="preserve">UL grant free data </w:t>
      </w:r>
      <w:r w:rsidR="00B32523">
        <w:rPr>
          <w:rFonts w:ascii="Times New Roman" w:eastAsia="SimSun" w:hAnsi="Times New Roman"/>
          <w:sz w:val="20"/>
          <w:szCs w:val="20"/>
        </w:rPr>
        <w:t>first then SR</w:t>
      </w:r>
      <w:r w:rsidR="006B5180">
        <w:rPr>
          <w:rFonts w:ascii="Times New Roman" w:eastAsia="SimSun" w:hAnsi="Times New Roman"/>
          <w:sz w:val="20"/>
          <w:szCs w:val="20"/>
        </w:rPr>
        <w:t>. While for UE#2, SR is transmitted before UL grant free data transmission.</w:t>
      </w:r>
      <w:r w:rsidR="00EF4F31">
        <w:rPr>
          <w:rFonts w:ascii="Times New Roman" w:eastAsia="SimSun" w:hAnsi="Times New Roman"/>
          <w:sz w:val="20"/>
          <w:szCs w:val="20"/>
        </w:rPr>
        <w:t xml:space="preserve"> At </w:t>
      </w:r>
      <w:r w:rsidR="00C932F4">
        <w:rPr>
          <w:rFonts w:ascii="Times New Roman" w:eastAsia="SimSun" w:hAnsi="Times New Roman"/>
          <w:sz w:val="20"/>
          <w:szCs w:val="20"/>
        </w:rPr>
        <w:t xml:space="preserve">the </w:t>
      </w:r>
      <w:r w:rsidR="00EF4F31">
        <w:rPr>
          <w:rFonts w:ascii="Times New Roman" w:eastAsia="SimSun" w:hAnsi="Times New Roman"/>
          <w:sz w:val="20"/>
          <w:szCs w:val="20"/>
        </w:rPr>
        <w:t>gNB side, for UE#1, in case the data packet over GF resource is correctly received at gNB, gNB could ignore the SR request in case UL grant has not been sent. And the case with UE#2 will be different. This is because gNB received SR first, most likely it already sends resource grant to UE#2 before completing the data packet decoding process.</w:t>
      </w:r>
    </w:p>
    <w:p w:rsidR="00D0513A" w:rsidRDefault="00D0513A" w:rsidP="00D0513A">
      <w:pPr>
        <w:overflowPunct w:val="0"/>
        <w:autoSpaceDE w:val="0"/>
        <w:autoSpaceDN w:val="0"/>
        <w:adjustRightInd w:val="0"/>
        <w:spacing w:after="180" w:line="240" w:lineRule="auto"/>
        <w:jc w:val="both"/>
        <w:textAlignment w:val="baseline"/>
        <w:rPr>
          <w:rFonts w:ascii="Times New Roman" w:eastAsia="SimSun" w:hAnsi="Times New Roman"/>
          <w:sz w:val="20"/>
          <w:szCs w:val="20"/>
        </w:rPr>
      </w:pPr>
    </w:p>
    <w:p w:rsidR="00D0513A" w:rsidRDefault="00067ACC" w:rsidP="001F04DB">
      <w:pPr>
        <w:overflowPunct w:val="0"/>
        <w:autoSpaceDE w:val="0"/>
        <w:autoSpaceDN w:val="0"/>
        <w:adjustRightInd w:val="0"/>
        <w:spacing w:after="180" w:line="240" w:lineRule="auto"/>
        <w:textAlignment w:val="baseline"/>
        <w:rPr>
          <w:rFonts w:ascii="Times New Roman" w:eastAsia="SimSun" w:hAnsi="Times New Roman"/>
          <w:sz w:val="20"/>
          <w:szCs w:val="20"/>
        </w:rPr>
      </w:pPr>
      <w:r>
        <w:rPr>
          <w:noProof/>
        </w:rPr>
        <w:object w:dxaOrig="1440" w:dyaOrig="1440" w14:anchorId="24FCA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54.2pt;margin-top:.05pt;width:204.65pt;height:176.95pt;z-index:251659264;mso-position-horizontal-relative:text;mso-position-vertical-relative:text">
            <v:imagedata r:id="rId13" o:title=""/>
            <w10:wrap type="square" side="right"/>
          </v:shape>
          <o:OLEObject Type="Embed" ProgID="Visio.Drawing.11" ShapeID="_x0000_s1027" DrawAspect="Content" ObjectID="_1580305307" r:id="rId14"/>
        </w:object>
      </w:r>
      <w:r w:rsidR="001F04DB">
        <w:rPr>
          <w:rFonts w:ascii="Times New Roman" w:eastAsia="SimSun" w:hAnsi="Times New Roman"/>
          <w:sz w:val="20"/>
          <w:szCs w:val="20"/>
        </w:rPr>
        <w:br w:type="textWrapping" w:clear="all"/>
      </w:r>
    </w:p>
    <w:p w:rsidR="00D0513A" w:rsidRDefault="00BA407C" w:rsidP="00BA407C">
      <w:pPr>
        <w:pStyle w:val="Caption"/>
        <w:jc w:val="center"/>
        <w:rPr>
          <w:noProof/>
          <w:lang w:val="en-US" w:eastAsia="zh-CN"/>
        </w:rPr>
      </w:pPr>
      <w:bookmarkStart w:id="8" w:name="_Ref505789015"/>
      <w:r>
        <w:t xml:space="preserve">Figure </w:t>
      </w:r>
      <w:r w:rsidR="00067ACC">
        <w:fldChar w:fldCharType="begin"/>
      </w:r>
      <w:r w:rsidR="00067ACC">
        <w:instrText xml:space="preserve"> SEQ Figure \* ARABIC </w:instrText>
      </w:r>
      <w:r w:rsidR="00067ACC">
        <w:fldChar w:fldCharType="separate"/>
      </w:r>
      <w:r>
        <w:rPr>
          <w:noProof/>
        </w:rPr>
        <w:t>1</w:t>
      </w:r>
      <w:r w:rsidR="00067ACC">
        <w:rPr>
          <w:noProof/>
        </w:rPr>
        <w:fldChar w:fldCharType="end"/>
      </w:r>
      <w:bookmarkEnd w:id="8"/>
      <w:r w:rsidRPr="00BA407C">
        <w:rPr>
          <w:lang w:val="en-US"/>
        </w:rPr>
        <w:t xml:space="preserve"> </w:t>
      </w:r>
      <w:r>
        <w:rPr>
          <w:noProof/>
          <w:lang w:val="en-US" w:eastAsia="zh-CN"/>
        </w:rPr>
        <w:t>C</w:t>
      </w:r>
      <w:r w:rsidR="0094783F">
        <w:rPr>
          <w:noProof/>
          <w:lang w:val="en-US" w:eastAsia="zh-CN"/>
        </w:rPr>
        <w:t>onfiguration of grant based</w:t>
      </w:r>
      <w:r w:rsidR="00D0513A">
        <w:rPr>
          <w:noProof/>
          <w:lang w:val="en-US" w:eastAsia="zh-CN"/>
        </w:rPr>
        <w:t xml:space="preserve"> and grant-free </w:t>
      </w:r>
      <w:r w:rsidR="0094783F">
        <w:rPr>
          <w:noProof/>
          <w:lang w:val="en-US" w:eastAsia="zh-CN"/>
        </w:rPr>
        <w:t xml:space="preserve">based </w:t>
      </w:r>
      <w:r w:rsidR="00B32523">
        <w:rPr>
          <w:noProof/>
          <w:lang w:val="en-US" w:eastAsia="zh-CN"/>
        </w:rPr>
        <w:t xml:space="preserve">initial </w:t>
      </w:r>
      <w:r w:rsidR="00D0513A">
        <w:rPr>
          <w:noProof/>
          <w:lang w:val="en-US" w:eastAsia="zh-CN"/>
        </w:rPr>
        <w:t>transmissions</w:t>
      </w:r>
      <w:r w:rsidR="00B32523">
        <w:rPr>
          <w:noProof/>
          <w:lang w:val="en-US" w:eastAsia="zh-CN"/>
        </w:rPr>
        <w:t xml:space="preserve"> for the same TB</w:t>
      </w:r>
    </w:p>
    <w:p w:rsidR="00D0513A" w:rsidRPr="005A34A7" w:rsidRDefault="00D0513A" w:rsidP="00D0513A">
      <w:pPr>
        <w:overflowPunct w:val="0"/>
        <w:autoSpaceDE w:val="0"/>
        <w:autoSpaceDN w:val="0"/>
        <w:adjustRightInd w:val="0"/>
        <w:spacing w:after="0" w:line="240" w:lineRule="auto"/>
        <w:jc w:val="both"/>
        <w:textAlignment w:val="baseline"/>
        <w:rPr>
          <w:rFonts w:ascii="Times New Roman" w:eastAsia="SimSun" w:hAnsi="Times New Roman"/>
          <w:sz w:val="20"/>
          <w:szCs w:val="20"/>
        </w:rPr>
      </w:pPr>
      <w:r w:rsidRPr="005A34A7">
        <w:rPr>
          <w:rFonts w:ascii="Times New Roman" w:eastAsia="SimSun" w:hAnsi="Times New Roman"/>
          <w:sz w:val="20"/>
          <w:szCs w:val="20"/>
        </w:rPr>
        <w:t xml:space="preserve">With such configuration, the reliable reception can be </w:t>
      </w:r>
      <w:r w:rsidR="00060EEB">
        <w:rPr>
          <w:rFonts w:ascii="Times New Roman" w:eastAsia="SimSun" w:hAnsi="Times New Roman"/>
          <w:sz w:val="20"/>
          <w:szCs w:val="20"/>
        </w:rPr>
        <w:t>improved</w:t>
      </w:r>
      <w:r w:rsidRPr="005A34A7">
        <w:rPr>
          <w:rFonts w:ascii="Times New Roman" w:eastAsia="SimSun" w:hAnsi="Times New Roman"/>
          <w:sz w:val="20"/>
          <w:szCs w:val="20"/>
        </w:rPr>
        <w:t xml:space="preserve"> as both transmission modes offer different benefits. In case one </w:t>
      </w:r>
      <w:r w:rsidR="00060EEB">
        <w:rPr>
          <w:rFonts w:ascii="Times New Roman" w:eastAsia="SimSun" w:hAnsi="Times New Roman"/>
          <w:sz w:val="20"/>
          <w:szCs w:val="20"/>
        </w:rPr>
        <w:t xml:space="preserve">transmission </w:t>
      </w:r>
      <w:r w:rsidRPr="005A34A7">
        <w:rPr>
          <w:rFonts w:ascii="Times New Roman" w:eastAsia="SimSun" w:hAnsi="Times New Roman"/>
          <w:sz w:val="20"/>
          <w:szCs w:val="20"/>
        </w:rPr>
        <w:t xml:space="preserve">mode is suffering </w:t>
      </w:r>
      <w:r w:rsidR="00060EEB">
        <w:rPr>
          <w:rFonts w:ascii="Times New Roman" w:eastAsia="SimSun" w:hAnsi="Times New Roman"/>
          <w:sz w:val="20"/>
          <w:szCs w:val="20"/>
        </w:rPr>
        <w:t>from potential</w:t>
      </w:r>
      <w:r w:rsidRPr="005A34A7">
        <w:rPr>
          <w:rFonts w:ascii="Times New Roman" w:eastAsia="SimSun" w:hAnsi="Times New Roman"/>
          <w:sz w:val="20"/>
          <w:szCs w:val="20"/>
        </w:rPr>
        <w:t xml:space="preserve"> issues, the other mode </w:t>
      </w:r>
      <w:r w:rsidR="00060EEB">
        <w:rPr>
          <w:rFonts w:ascii="Times New Roman" w:eastAsia="SimSun" w:hAnsi="Times New Roman"/>
          <w:sz w:val="20"/>
          <w:szCs w:val="20"/>
        </w:rPr>
        <w:t>could lead to</w:t>
      </w:r>
      <w:r w:rsidRPr="005A34A7">
        <w:rPr>
          <w:rFonts w:ascii="Times New Roman" w:eastAsia="SimSun" w:hAnsi="Times New Roman"/>
          <w:sz w:val="20"/>
          <w:szCs w:val="20"/>
        </w:rPr>
        <w:t xml:space="preserve"> success</w:t>
      </w:r>
      <w:r w:rsidR="00060EEB">
        <w:rPr>
          <w:rFonts w:ascii="Times New Roman" w:eastAsia="SimSun" w:hAnsi="Times New Roman"/>
          <w:sz w:val="20"/>
          <w:szCs w:val="20"/>
        </w:rPr>
        <w:t>ful reception</w:t>
      </w:r>
      <w:r w:rsidRPr="005A34A7">
        <w:rPr>
          <w:rFonts w:ascii="Times New Roman" w:eastAsia="SimSun" w:hAnsi="Times New Roman"/>
          <w:sz w:val="20"/>
          <w:szCs w:val="20"/>
        </w:rPr>
        <w:t xml:space="preserve">. </w:t>
      </w:r>
      <w:r w:rsidRPr="00F1271A">
        <w:rPr>
          <w:rFonts w:ascii="Times New Roman" w:eastAsia="SimSun" w:hAnsi="Times New Roman"/>
          <w:sz w:val="20"/>
          <w:szCs w:val="20"/>
        </w:rPr>
        <w:t xml:space="preserve">Considering </w:t>
      </w:r>
      <w:r w:rsidR="00E00A55">
        <w:rPr>
          <w:rFonts w:ascii="Times New Roman" w:eastAsia="SimSun" w:hAnsi="Times New Roman"/>
          <w:sz w:val="20"/>
          <w:szCs w:val="20"/>
        </w:rPr>
        <w:t xml:space="preserve">the case where </w:t>
      </w:r>
      <w:r w:rsidRPr="00F1271A">
        <w:rPr>
          <w:rFonts w:ascii="Times New Roman" w:eastAsia="SimSun" w:hAnsi="Times New Roman"/>
          <w:sz w:val="20"/>
          <w:szCs w:val="20"/>
        </w:rPr>
        <w:t>both transmission mode</w:t>
      </w:r>
      <w:r w:rsidR="00E00A55">
        <w:rPr>
          <w:rFonts w:ascii="Times New Roman" w:eastAsia="SimSun" w:hAnsi="Times New Roman"/>
          <w:sz w:val="20"/>
          <w:szCs w:val="20"/>
        </w:rPr>
        <w:t>s mode are supported</w:t>
      </w:r>
      <w:r w:rsidRPr="00F1271A">
        <w:rPr>
          <w:rFonts w:ascii="Times New Roman" w:eastAsia="SimSun" w:hAnsi="Times New Roman"/>
          <w:sz w:val="20"/>
          <w:szCs w:val="20"/>
        </w:rPr>
        <w:t>, the probability for successful</w:t>
      </w:r>
      <w:r w:rsidRPr="005A34A7">
        <w:rPr>
          <w:rFonts w:ascii="Times New Roman" w:eastAsia="SimSun" w:hAnsi="Times New Roman"/>
          <w:sz w:val="20"/>
          <w:szCs w:val="20"/>
        </w:rPr>
        <w:t xml:space="preserve"> </w:t>
      </w:r>
      <w:r w:rsidR="00E00A55">
        <w:rPr>
          <w:rFonts w:ascii="Times New Roman" w:eastAsia="SimSun" w:hAnsi="Times New Roman"/>
          <w:sz w:val="20"/>
          <w:szCs w:val="20"/>
        </w:rPr>
        <w:t>reception</w:t>
      </w:r>
      <w:r w:rsidRPr="005A34A7">
        <w:rPr>
          <w:rFonts w:ascii="Times New Roman" w:eastAsia="SimSun" w:hAnsi="Times New Roman"/>
          <w:sz w:val="20"/>
          <w:szCs w:val="20"/>
        </w:rPr>
        <w:t xml:space="preserve"> </w:t>
      </w:r>
      <w:r w:rsidR="00060EEB">
        <w:rPr>
          <w:rFonts w:ascii="Times New Roman" w:eastAsia="SimSun" w:hAnsi="Times New Roman"/>
          <w:sz w:val="20"/>
          <w:szCs w:val="20"/>
        </w:rPr>
        <w:t>can be simply expressed as</w:t>
      </w:r>
      <w:r w:rsidR="003B0F69">
        <w:rPr>
          <w:rFonts w:ascii="Times New Roman" w:eastAsia="SimSun" w:hAnsi="Times New Roman"/>
          <w:sz w:val="20"/>
          <w:szCs w:val="20"/>
        </w:rPr>
        <w:t xml:space="preserve"> (no combining considered between grant and grant-free receptions)</w:t>
      </w:r>
      <w:r w:rsidR="00E00A55">
        <w:rPr>
          <w:rFonts w:ascii="Times New Roman" w:eastAsia="SimSun" w:hAnsi="Times New Roman"/>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D0513A" w:rsidRPr="005A34A7" w:rsidTr="00BE1219">
        <w:tc>
          <w:tcPr>
            <w:tcW w:w="3209" w:type="dxa"/>
          </w:tcPr>
          <w:p w:rsidR="00D0513A" w:rsidRPr="005A34A7" w:rsidRDefault="00D0513A" w:rsidP="00BE1219">
            <w:pPr>
              <w:overflowPunct w:val="0"/>
              <w:autoSpaceDE w:val="0"/>
              <w:autoSpaceDN w:val="0"/>
              <w:adjustRightInd w:val="0"/>
              <w:jc w:val="both"/>
              <w:textAlignment w:val="baseline"/>
              <w:rPr>
                <w:rFonts w:ascii="Times New Roman" w:hAnsi="Times New Roman"/>
              </w:rPr>
            </w:pPr>
          </w:p>
        </w:tc>
        <w:tc>
          <w:tcPr>
            <w:tcW w:w="3210" w:type="dxa"/>
          </w:tcPr>
          <w:p w:rsidR="00D0513A" w:rsidRPr="005A34A7" w:rsidRDefault="00067ACC" w:rsidP="00BE1219">
            <w:pPr>
              <w:overflowPunct w:val="0"/>
              <w:autoSpaceDE w:val="0"/>
              <w:autoSpaceDN w:val="0"/>
              <w:adjustRightInd w:val="0"/>
              <w:jc w:val="both"/>
              <w:textAlignment w:val="baseline"/>
              <w:rPr>
                <w:rFonts w:ascii="Times New Roman" w:hAnsi="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r>
                  <w:rPr>
                    <w:rFonts w:ascii="Cambria Math" w:eastAsia="Times New Roman" w:hAnsi="Cambria Math"/>
                  </w:rPr>
                  <m:t xml:space="preserve">=1- </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f</m:t>
                        </m:r>
                      </m:sub>
                      <m:sup>
                        <m:r>
                          <w:rPr>
                            <w:rFonts w:ascii="Cambria Math" w:eastAsia="Times New Roman" w:hAnsi="Cambria Math"/>
                          </w:rPr>
                          <m:t>GB</m:t>
                        </m:r>
                      </m:sup>
                    </m:sSubSup>
                  </m:e>
                </m:d>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f</m:t>
                        </m:r>
                      </m:sub>
                      <m:sup>
                        <m:r>
                          <w:rPr>
                            <w:rFonts w:ascii="Cambria Math" w:eastAsia="Times New Roman" w:hAnsi="Cambria Math"/>
                          </w:rPr>
                          <m:t>GF</m:t>
                        </m:r>
                      </m:sup>
                    </m:sSubSup>
                  </m:e>
                </m:d>
              </m:oMath>
            </m:oMathPara>
          </w:p>
        </w:tc>
        <w:tc>
          <w:tcPr>
            <w:tcW w:w="3210" w:type="dxa"/>
          </w:tcPr>
          <w:p w:rsidR="00D0513A" w:rsidRPr="005A34A7" w:rsidRDefault="00D0513A" w:rsidP="00BE1219">
            <w:pPr>
              <w:overflowPunct w:val="0"/>
              <w:autoSpaceDE w:val="0"/>
              <w:autoSpaceDN w:val="0"/>
              <w:adjustRightInd w:val="0"/>
              <w:jc w:val="right"/>
              <w:textAlignment w:val="baseline"/>
              <w:rPr>
                <w:rFonts w:ascii="Times New Roman" w:hAnsi="Times New Roman"/>
              </w:rPr>
            </w:pPr>
            <w:r w:rsidRPr="005A34A7">
              <w:rPr>
                <w:rFonts w:ascii="Times New Roman" w:hAnsi="Times New Roman"/>
              </w:rPr>
              <w:t>(1)</w:t>
            </w:r>
          </w:p>
        </w:tc>
      </w:tr>
    </w:tbl>
    <w:p w:rsidR="00D0513A" w:rsidRPr="005A34A7" w:rsidRDefault="00D0513A" w:rsidP="00D0513A">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F1271A">
        <w:rPr>
          <w:rFonts w:ascii="Times New Roman" w:eastAsia="SimSun" w:hAnsi="Times New Roman"/>
          <w:sz w:val="20"/>
          <w:szCs w:val="20"/>
        </w:rPr>
        <w:t>where</w:t>
      </w:r>
    </w:p>
    <w:p w:rsidR="00D0513A" w:rsidRPr="005A34A7" w:rsidRDefault="00067ACC" w:rsidP="00D0513A">
      <w:pPr>
        <w:pStyle w:val="ListParagraph"/>
        <w:numPr>
          <w:ilvl w:val="0"/>
          <w:numId w:val="33"/>
        </w:numPr>
        <w:overflowPunct w:val="0"/>
        <w:autoSpaceDE w:val="0"/>
        <w:autoSpaceDN w:val="0"/>
        <w:adjustRightInd w:val="0"/>
        <w:spacing w:after="0" w:line="240" w:lineRule="auto"/>
        <w:jc w:val="both"/>
        <w:textAlignment w:val="baseline"/>
        <w:rPr>
          <w:rFonts w:ascii="Times New Roman" w:eastAsia="SimSun" w:hAnsi="Times New Roman"/>
          <w:sz w:val="20"/>
          <w:szCs w:val="20"/>
        </w:rPr>
      </w:pP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GB</m:t>
            </m:r>
          </m:sup>
        </m:sSubSup>
      </m:oMath>
      <w:r w:rsidR="00D0513A" w:rsidRPr="0071399A">
        <w:rPr>
          <w:rFonts w:ascii="Times New Roman" w:eastAsia="SimSun" w:hAnsi="Times New Roman"/>
          <w:sz w:val="20"/>
          <w:szCs w:val="20"/>
        </w:rPr>
        <w:t xml:space="preserve"> denotes the failure probability </w:t>
      </w:r>
      <w:r w:rsidR="00060EEB">
        <w:rPr>
          <w:rFonts w:ascii="Times New Roman" w:eastAsia="SimSun" w:hAnsi="Times New Roman"/>
          <w:sz w:val="20"/>
          <w:szCs w:val="20"/>
        </w:rPr>
        <w:t xml:space="preserve">of reception </w:t>
      </w:r>
      <w:r w:rsidR="00D0513A" w:rsidRPr="0071399A">
        <w:rPr>
          <w:rFonts w:ascii="Times New Roman" w:eastAsia="SimSun" w:hAnsi="Times New Roman"/>
          <w:sz w:val="20"/>
          <w:szCs w:val="20"/>
        </w:rPr>
        <w:t xml:space="preserve">due to grant-based allocation using SR. </w:t>
      </w:r>
      <w:r w:rsidR="00D0513A" w:rsidRPr="005A34A7">
        <w:rPr>
          <w:rFonts w:ascii="Times New Roman" w:eastAsia="SimSun" w:hAnsi="Times New Roman"/>
          <w:sz w:val="20"/>
          <w:szCs w:val="20"/>
        </w:rPr>
        <w:t xml:space="preserve">It </w:t>
      </w:r>
      <w:r w:rsidR="00D0513A" w:rsidRPr="00F1271A">
        <w:rPr>
          <w:rFonts w:ascii="Times New Roman" w:eastAsia="SimSun" w:hAnsi="Times New Roman"/>
          <w:sz w:val="20"/>
          <w:szCs w:val="20"/>
        </w:rPr>
        <w:t>can be further elaborated</w:t>
      </w:r>
      <w:r w:rsidR="00D0513A" w:rsidRPr="005A34A7">
        <w:rPr>
          <w:rFonts w:ascii="Times New Roman" w:eastAsia="SimSun" w:hAnsi="Times New Roman"/>
          <w:sz w:val="20"/>
          <w:szCs w:val="20"/>
        </w:rPr>
        <w:t xml:space="preserve"> as</w:t>
      </w:r>
    </w:p>
    <w:p w:rsidR="00D0513A" w:rsidRPr="005A34A7" w:rsidRDefault="00067ACC" w:rsidP="00D0513A">
      <w:pPr>
        <w:overflowPunct w:val="0"/>
        <w:autoSpaceDE w:val="0"/>
        <w:autoSpaceDN w:val="0"/>
        <w:adjustRightInd w:val="0"/>
        <w:spacing w:after="180" w:line="240" w:lineRule="auto"/>
        <w:jc w:val="both"/>
        <w:textAlignment w:val="baseline"/>
        <w:rPr>
          <w:rFonts w:ascii="Times New Roman" w:eastAsia="SimSun" w:hAnsi="Times New Roman"/>
          <w:sz w:val="20"/>
          <w:szCs w:val="20"/>
        </w:rPr>
      </w:pPr>
      <m:oMathPara>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GB</m:t>
              </m:r>
            </m:sup>
          </m:sSubSup>
          <m:r>
            <w:rPr>
              <w:rFonts w:ascii="Cambria Math" w:eastAsia="Times New Roman" w:hAnsi="Cambria Math"/>
              <w:sz w:val="20"/>
              <w:szCs w:val="20"/>
            </w:rPr>
            <m:t xml:space="preserve">=1- </m:t>
          </m:r>
          <m:d>
            <m:dPr>
              <m:ctrlPr>
                <w:rPr>
                  <w:rFonts w:ascii="Cambria Math" w:eastAsia="Times New Roman" w:hAnsi="Cambria Math"/>
                  <w:i/>
                  <w:sz w:val="20"/>
                  <w:szCs w:val="20"/>
                </w:rPr>
              </m:ctrlPr>
            </m:dPr>
            <m:e>
              <m:r>
                <w:rPr>
                  <w:rFonts w:ascii="Cambria Math" w:eastAsia="Times New Roman" w:hAnsi="Cambria Math"/>
                  <w:sz w:val="20"/>
                  <w:szCs w:val="20"/>
                </w:rPr>
                <m:t>1-</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SR</m:t>
                  </m:r>
                </m:sup>
              </m:sSubSup>
            </m:e>
          </m:d>
          <m:d>
            <m:dPr>
              <m:ctrlPr>
                <w:rPr>
                  <w:rFonts w:ascii="Cambria Math" w:eastAsia="Times New Roman" w:hAnsi="Cambria Math"/>
                  <w:i/>
                  <w:sz w:val="20"/>
                  <w:szCs w:val="20"/>
                </w:rPr>
              </m:ctrlPr>
            </m:dPr>
            <m:e>
              <m:r>
                <w:rPr>
                  <w:rFonts w:ascii="Cambria Math" w:eastAsia="Times New Roman" w:hAnsi="Cambria Math"/>
                  <w:sz w:val="20"/>
                  <w:szCs w:val="20"/>
                </w:rPr>
                <m:t>1-</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RA</m:t>
                  </m:r>
                </m:sup>
              </m:sSubSup>
            </m:e>
          </m:d>
          <m:d>
            <m:dPr>
              <m:ctrlPr>
                <w:rPr>
                  <w:rFonts w:ascii="Cambria Math" w:eastAsia="Times New Roman" w:hAnsi="Cambria Math"/>
                  <w:i/>
                  <w:sz w:val="20"/>
                  <w:szCs w:val="20"/>
                </w:rPr>
              </m:ctrlPr>
            </m:dPr>
            <m:e>
              <m:r>
                <w:rPr>
                  <w:rFonts w:ascii="Cambria Math" w:eastAsia="Times New Roman" w:hAnsi="Cambria Math"/>
                  <w:sz w:val="20"/>
                  <w:szCs w:val="20"/>
                </w:rPr>
                <m:t>1-</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D</m:t>
                  </m:r>
                </m:sup>
              </m:sSubSup>
            </m:e>
          </m:d>
        </m:oMath>
      </m:oMathPara>
    </w:p>
    <w:p w:rsidR="00D0513A" w:rsidRPr="0071399A" w:rsidRDefault="00D0513A" w:rsidP="00D0513A">
      <w:pPr>
        <w:pStyle w:val="ListParagraph"/>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71399A">
        <w:rPr>
          <w:rFonts w:ascii="Times New Roman" w:eastAsia="SimSun" w:hAnsi="Times New Roman"/>
          <w:sz w:val="20"/>
          <w:szCs w:val="20"/>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SR</m:t>
            </m:r>
          </m:sup>
        </m:sSubSup>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RA</m:t>
            </m:r>
          </m:sup>
        </m:sSubSup>
      </m:oMath>
      <w:r w:rsidRPr="0071399A">
        <w:rPr>
          <w:rFonts w:ascii="Times New Roman" w:eastAsia="SimSun" w:hAnsi="Times New Roman"/>
          <w:sz w:val="20"/>
          <w:szCs w:val="20"/>
        </w:rPr>
        <w:t xml:space="preserve">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D</m:t>
            </m:r>
          </m:sup>
        </m:sSubSup>
      </m:oMath>
      <w:r w:rsidRPr="0071399A">
        <w:rPr>
          <w:rFonts w:ascii="Times New Roman" w:eastAsia="SimSun" w:hAnsi="Times New Roman"/>
          <w:sz w:val="20"/>
          <w:szCs w:val="20"/>
        </w:rPr>
        <w:t xml:space="preserve"> </w:t>
      </w:r>
      <w:r w:rsidR="00DC363F">
        <w:rPr>
          <w:rFonts w:ascii="Times New Roman" w:eastAsia="SimSun" w:hAnsi="Times New Roman"/>
          <w:sz w:val="20"/>
          <w:szCs w:val="20"/>
        </w:rPr>
        <w:t>denote</w:t>
      </w:r>
      <w:r w:rsidRPr="0071399A">
        <w:rPr>
          <w:rFonts w:ascii="Times New Roman" w:eastAsia="SimSun" w:hAnsi="Times New Roman"/>
          <w:sz w:val="20"/>
          <w:szCs w:val="20"/>
        </w:rPr>
        <w:t xml:space="preserve"> </w:t>
      </w:r>
      <w:r w:rsidR="00DC363F">
        <w:rPr>
          <w:rFonts w:ascii="Times New Roman" w:eastAsia="SimSun" w:hAnsi="Times New Roman"/>
          <w:sz w:val="20"/>
          <w:szCs w:val="20"/>
        </w:rPr>
        <w:t xml:space="preserve">the </w:t>
      </w:r>
      <w:r w:rsidRPr="0071399A">
        <w:rPr>
          <w:rFonts w:ascii="Times New Roman" w:eastAsia="SimSun" w:hAnsi="Times New Roman"/>
          <w:sz w:val="20"/>
          <w:szCs w:val="20"/>
        </w:rPr>
        <w:t xml:space="preserve">failure </w:t>
      </w:r>
      <w:r w:rsidR="00DC363F" w:rsidRPr="0071399A">
        <w:rPr>
          <w:rFonts w:ascii="Times New Roman" w:eastAsia="SimSun" w:hAnsi="Times New Roman"/>
          <w:sz w:val="20"/>
          <w:szCs w:val="20"/>
        </w:rPr>
        <w:t>probabilities</w:t>
      </w:r>
      <w:r w:rsidRPr="0071399A">
        <w:rPr>
          <w:rFonts w:ascii="Times New Roman" w:eastAsia="SimSun" w:hAnsi="Times New Roman"/>
          <w:sz w:val="20"/>
          <w:szCs w:val="20"/>
        </w:rPr>
        <w:t xml:space="preserve"> of SR</w:t>
      </w:r>
      <w:r w:rsidR="00DC363F">
        <w:rPr>
          <w:rFonts w:ascii="Times New Roman" w:eastAsia="SimSun" w:hAnsi="Times New Roman"/>
          <w:sz w:val="20"/>
          <w:szCs w:val="20"/>
        </w:rPr>
        <w:t xml:space="preserve"> reception</w:t>
      </w:r>
      <w:r w:rsidRPr="0071399A">
        <w:rPr>
          <w:rFonts w:ascii="Times New Roman" w:eastAsia="SimSun" w:hAnsi="Times New Roman"/>
          <w:sz w:val="20"/>
          <w:szCs w:val="20"/>
        </w:rPr>
        <w:t>, resource grant</w:t>
      </w:r>
      <w:r w:rsidR="00DC363F">
        <w:rPr>
          <w:rFonts w:ascii="Times New Roman" w:eastAsia="SimSun" w:hAnsi="Times New Roman"/>
          <w:sz w:val="20"/>
          <w:szCs w:val="20"/>
        </w:rPr>
        <w:t xml:space="preserve"> reception</w:t>
      </w:r>
      <w:r w:rsidRPr="0071399A">
        <w:rPr>
          <w:rFonts w:ascii="Times New Roman" w:eastAsia="SimSun" w:hAnsi="Times New Roman"/>
          <w:sz w:val="20"/>
          <w:szCs w:val="20"/>
        </w:rPr>
        <w:t xml:space="preserve"> and data</w:t>
      </w:r>
      <w:r w:rsidR="00DC363F">
        <w:rPr>
          <w:rFonts w:ascii="Times New Roman" w:eastAsia="SimSun" w:hAnsi="Times New Roman"/>
          <w:sz w:val="20"/>
          <w:szCs w:val="20"/>
        </w:rPr>
        <w:t xml:space="preserve"> reception respectively</w:t>
      </w:r>
      <w:r w:rsidRPr="0071399A">
        <w:rPr>
          <w:rFonts w:ascii="Times New Roman" w:eastAsia="SimSun" w:hAnsi="Times New Roman"/>
          <w:sz w:val="20"/>
          <w:szCs w:val="20"/>
        </w:rPr>
        <w:t xml:space="preserve">. </w:t>
      </w:r>
    </w:p>
    <w:p w:rsidR="00D0513A" w:rsidRDefault="00067ACC" w:rsidP="00D0513A">
      <w:pPr>
        <w:pStyle w:val="ListParagraph"/>
        <w:numPr>
          <w:ilvl w:val="0"/>
          <w:numId w:val="33"/>
        </w:numPr>
        <w:overflowPunct w:val="0"/>
        <w:autoSpaceDE w:val="0"/>
        <w:autoSpaceDN w:val="0"/>
        <w:adjustRightInd w:val="0"/>
        <w:spacing w:after="180" w:line="240" w:lineRule="auto"/>
        <w:jc w:val="both"/>
        <w:textAlignment w:val="baseline"/>
        <w:rPr>
          <w:rFonts w:ascii="Times New Roman" w:eastAsia="SimSun" w:hAnsi="Times New Roman"/>
          <w:sz w:val="20"/>
          <w:szCs w:val="20"/>
        </w:rPr>
      </w:pP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GF</m:t>
            </m:r>
          </m:sup>
        </m:sSubSup>
      </m:oMath>
      <w:r w:rsidR="00D0513A" w:rsidRPr="0071399A">
        <w:rPr>
          <w:rFonts w:ascii="Times New Roman" w:eastAsia="SimSun" w:hAnsi="Times New Roman"/>
          <w:sz w:val="20"/>
          <w:szCs w:val="20"/>
        </w:rPr>
        <w:t xml:space="preserve"> denotes the failure probability </w:t>
      </w:r>
      <w:r w:rsidR="00DC363F">
        <w:rPr>
          <w:rFonts w:ascii="Times New Roman" w:eastAsia="SimSun" w:hAnsi="Times New Roman"/>
          <w:sz w:val="20"/>
          <w:szCs w:val="20"/>
        </w:rPr>
        <w:t xml:space="preserve">of data reception </w:t>
      </w:r>
      <w:r w:rsidR="00D0513A" w:rsidRPr="0071399A">
        <w:rPr>
          <w:rFonts w:ascii="Times New Roman" w:eastAsia="SimSun" w:hAnsi="Times New Roman"/>
          <w:sz w:val="20"/>
          <w:szCs w:val="20"/>
        </w:rPr>
        <w:t xml:space="preserve">due to grant-free transmission which may happen due to </w:t>
      </w:r>
      <w:r w:rsidR="00DC363F">
        <w:rPr>
          <w:rFonts w:ascii="Times New Roman" w:eastAsia="SimSun" w:hAnsi="Times New Roman"/>
          <w:sz w:val="20"/>
          <w:szCs w:val="20"/>
        </w:rPr>
        <w:t xml:space="preserve">fading </w:t>
      </w:r>
      <w:r w:rsidR="00D0513A" w:rsidRPr="0071399A">
        <w:rPr>
          <w:rFonts w:ascii="Times New Roman" w:eastAsia="SimSun" w:hAnsi="Times New Roman"/>
          <w:sz w:val="20"/>
          <w:szCs w:val="20"/>
        </w:rPr>
        <w:t>and/or collisions.</w:t>
      </w:r>
      <w:r w:rsidR="00DC363F">
        <w:rPr>
          <w:rFonts w:ascii="Times New Roman" w:eastAsia="SimSun" w:hAnsi="Times New Roman"/>
          <w:sz w:val="20"/>
          <w:szCs w:val="20"/>
        </w:rPr>
        <w:t xml:space="preserve"> </w:t>
      </w:r>
    </w:p>
    <w:p w:rsidR="00DC363F" w:rsidRPr="00DC363F" w:rsidRDefault="00DC363F" w:rsidP="00DC363F">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Obviously, as can be seen from (1), the combining of these two transmission modes will lead to a better performance in terms of reliability. </w:t>
      </w:r>
    </w:p>
    <w:p w:rsidR="00DC363F" w:rsidRPr="009E3286" w:rsidRDefault="00DC363F" w:rsidP="00DC363F">
      <w:pPr>
        <w:jc w:val="both"/>
        <w:rPr>
          <w:rFonts w:ascii="Times New Roman" w:hAnsi="Times New Roman"/>
          <w:b/>
          <w:sz w:val="20"/>
          <w:szCs w:val="20"/>
        </w:rPr>
      </w:pPr>
      <w:r w:rsidRPr="009E3286">
        <w:rPr>
          <w:rFonts w:ascii="Times New Roman" w:hAnsi="Times New Roman"/>
          <w:b/>
          <w:sz w:val="20"/>
          <w:szCs w:val="20"/>
        </w:rPr>
        <w:t xml:space="preserve">Proposal 1: URLLC UEs can be configured to </w:t>
      </w:r>
      <w:r w:rsidR="00E91162" w:rsidRPr="00C932F4">
        <w:rPr>
          <w:rFonts w:ascii="Times New Roman" w:hAnsi="Times New Roman"/>
          <w:b/>
          <w:sz w:val="20"/>
          <w:szCs w:val="20"/>
        </w:rPr>
        <w:t xml:space="preserve">transmit </w:t>
      </w:r>
      <w:r w:rsidR="009E200F" w:rsidRPr="00C932F4">
        <w:rPr>
          <w:rFonts w:ascii="Times New Roman" w:hAnsi="Times New Roman" w:cs="Times New Roman"/>
          <w:b/>
          <w:bCs/>
          <w:sz w:val="20"/>
          <w:szCs w:val="20"/>
        </w:rPr>
        <w:t xml:space="preserve">the initial transmission of </w:t>
      </w:r>
      <w:r w:rsidR="00E91162" w:rsidRPr="00C932F4">
        <w:rPr>
          <w:rFonts w:ascii="Times New Roman" w:hAnsi="Times New Roman"/>
          <w:b/>
          <w:sz w:val="20"/>
          <w:szCs w:val="20"/>
        </w:rPr>
        <w:t xml:space="preserve">the </w:t>
      </w:r>
      <w:r w:rsidR="00E91162">
        <w:rPr>
          <w:rFonts w:ascii="Times New Roman" w:hAnsi="Times New Roman"/>
          <w:b/>
          <w:sz w:val="20"/>
          <w:szCs w:val="20"/>
        </w:rPr>
        <w:t>same TB with</w:t>
      </w:r>
      <w:r w:rsidR="00E91162" w:rsidRPr="009E3286">
        <w:rPr>
          <w:rFonts w:ascii="Times New Roman" w:hAnsi="Times New Roman"/>
          <w:b/>
          <w:sz w:val="20"/>
          <w:szCs w:val="20"/>
        </w:rPr>
        <w:t xml:space="preserve"> </w:t>
      </w:r>
      <w:r w:rsidR="00E91162">
        <w:rPr>
          <w:rFonts w:ascii="Times New Roman" w:hAnsi="Times New Roman"/>
          <w:b/>
          <w:sz w:val="20"/>
          <w:szCs w:val="20"/>
        </w:rPr>
        <w:t>either</w:t>
      </w:r>
      <w:r w:rsidR="00E91162" w:rsidRPr="009E3286">
        <w:rPr>
          <w:rFonts w:ascii="Times New Roman" w:hAnsi="Times New Roman"/>
          <w:b/>
          <w:sz w:val="20"/>
          <w:szCs w:val="20"/>
        </w:rPr>
        <w:t xml:space="preserve"> </w:t>
      </w:r>
      <w:r w:rsidRPr="009E3286">
        <w:rPr>
          <w:rFonts w:ascii="Times New Roman" w:hAnsi="Times New Roman"/>
          <w:b/>
          <w:sz w:val="20"/>
          <w:szCs w:val="20"/>
        </w:rPr>
        <w:t xml:space="preserve">grant </w:t>
      </w:r>
      <w:r w:rsidR="00E91162">
        <w:rPr>
          <w:rFonts w:ascii="Times New Roman" w:hAnsi="Times New Roman"/>
          <w:b/>
          <w:sz w:val="20"/>
          <w:szCs w:val="20"/>
        </w:rPr>
        <w:t>or</w:t>
      </w:r>
      <w:r w:rsidR="004567B4">
        <w:rPr>
          <w:rFonts w:ascii="Times New Roman" w:hAnsi="Times New Roman"/>
          <w:b/>
          <w:sz w:val="20"/>
          <w:szCs w:val="20"/>
        </w:rPr>
        <w:t xml:space="preserve"> </w:t>
      </w:r>
      <w:r w:rsidRPr="009E3286">
        <w:rPr>
          <w:rFonts w:ascii="Times New Roman" w:hAnsi="Times New Roman"/>
          <w:b/>
          <w:sz w:val="20"/>
          <w:szCs w:val="20"/>
        </w:rPr>
        <w:t>grant-free based transmission</w:t>
      </w:r>
      <w:r w:rsidR="00E91162">
        <w:rPr>
          <w:rFonts w:ascii="Times New Roman" w:hAnsi="Times New Roman"/>
          <w:b/>
          <w:sz w:val="20"/>
          <w:szCs w:val="20"/>
        </w:rPr>
        <w:t xml:space="preserve"> or both</w:t>
      </w:r>
      <w:r w:rsidRPr="009E3286">
        <w:rPr>
          <w:rFonts w:ascii="Times New Roman" w:hAnsi="Times New Roman"/>
          <w:b/>
          <w:sz w:val="20"/>
          <w:szCs w:val="20"/>
        </w:rPr>
        <w:t>.</w:t>
      </w:r>
    </w:p>
    <w:p w:rsidR="00F67716" w:rsidRDefault="00D0513A" w:rsidP="00F67716">
      <w:pPr>
        <w:tabs>
          <w:tab w:val="left" w:pos="3564"/>
        </w:tabs>
        <w:spacing w:before="240"/>
        <w:jc w:val="both"/>
        <w:rPr>
          <w:rFonts w:ascii="Arial" w:hAnsi="Arial" w:cs="Arial"/>
          <w:sz w:val="32"/>
          <w:szCs w:val="32"/>
        </w:rPr>
      </w:pPr>
      <w:r w:rsidRPr="0071399A">
        <w:rPr>
          <w:rFonts w:ascii="Arial" w:hAnsi="Arial" w:cs="Arial"/>
          <w:sz w:val="32"/>
          <w:szCs w:val="32"/>
        </w:rPr>
        <w:t>2.</w:t>
      </w:r>
      <w:r w:rsidR="00284247">
        <w:rPr>
          <w:rFonts w:ascii="Arial" w:hAnsi="Arial" w:cs="Arial"/>
          <w:sz w:val="32"/>
          <w:szCs w:val="32"/>
        </w:rPr>
        <w:t>2</w:t>
      </w:r>
      <w:r>
        <w:rPr>
          <w:rFonts w:ascii="Arial" w:hAnsi="Arial" w:cs="Arial"/>
          <w:sz w:val="32"/>
          <w:szCs w:val="32"/>
        </w:rPr>
        <w:t xml:space="preserve"> </w:t>
      </w:r>
      <w:r w:rsidR="00160FC3">
        <w:rPr>
          <w:rFonts w:ascii="Arial" w:hAnsi="Arial" w:cs="Arial"/>
          <w:sz w:val="32"/>
          <w:szCs w:val="32"/>
        </w:rPr>
        <w:t>Scheduling</w:t>
      </w:r>
      <w:r w:rsidR="00D55E5B">
        <w:rPr>
          <w:rFonts w:ascii="Arial" w:hAnsi="Arial" w:cs="Arial"/>
          <w:sz w:val="32"/>
          <w:szCs w:val="32"/>
        </w:rPr>
        <w:t xml:space="preserve"> and HARQ</w:t>
      </w:r>
      <w:r w:rsidRPr="0071399A">
        <w:rPr>
          <w:rFonts w:ascii="Arial" w:hAnsi="Arial" w:cs="Arial"/>
          <w:sz w:val="32"/>
          <w:szCs w:val="32"/>
        </w:rPr>
        <w:t xml:space="preserve"> </w:t>
      </w:r>
      <w:r w:rsidR="00F67716">
        <w:rPr>
          <w:rFonts w:ascii="Arial" w:hAnsi="Arial" w:cs="Arial"/>
          <w:sz w:val="32"/>
          <w:szCs w:val="32"/>
        </w:rPr>
        <w:t>operation</w:t>
      </w:r>
    </w:p>
    <w:p w:rsidR="00D0513A" w:rsidRDefault="00345049" w:rsidP="00345049">
      <w:pPr>
        <w:tabs>
          <w:tab w:val="left" w:pos="3564"/>
        </w:tabs>
        <w:spacing w:before="240"/>
        <w:jc w:val="both"/>
        <w:rPr>
          <w:rFonts w:ascii="Times New Roman" w:hAnsi="Times New Roman"/>
          <w:sz w:val="20"/>
          <w:szCs w:val="20"/>
        </w:rPr>
      </w:pPr>
      <w:r>
        <w:rPr>
          <w:rFonts w:ascii="Times New Roman" w:hAnsi="Times New Roman"/>
          <w:sz w:val="20"/>
          <w:szCs w:val="20"/>
        </w:rPr>
        <w:t>S</w:t>
      </w:r>
      <w:r w:rsidR="00DF2733">
        <w:rPr>
          <w:rFonts w:ascii="Times New Roman" w:hAnsi="Times New Roman"/>
          <w:sz w:val="20"/>
          <w:szCs w:val="20"/>
        </w:rPr>
        <w:t xml:space="preserve">imultaneous configuration of </w:t>
      </w:r>
      <w:r>
        <w:rPr>
          <w:rFonts w:ascii="Times New Roman" w:hAnsi="Times New Roman"/>
          <w:sz w:val="20"/>
          <w:szCs w:val="20"/>
        </w:rPr>
        <w:t>UL grant and grant-free based transmission will bring impacts on SR response</w:t>
      </w:r>
      <w:r w:rsidR="00E91162">
        <w:rPr>
          <w:rFonts w:ascii="Times New Roman" w:hAnsi="Times New Roman"/>
          <w:sz w:val="20"/>
          <w:szCs w:val="20"/>
        </w:rPr>
        <w:t xml:space="preserve"> since in case no additional data packet after correctly receiving the grant free data packet, the SR can be ignored</w:t>
      </w:r>
      <w:r w:rsidR="008713BB">
        <w:rPr>
          <w:rFonts w:ascii="Times New Roman" w:hAnsi="Times New Roman"/>
          <w:sz w:val="20"/>
          <w:szCs w:val="20"/>
        </w:rPr>
        <w:t xml:space="preserve"> if timing allows</w:t>
      </w:r>
      <w:r>
        <w:rPr>
          <w:rFonts w:ascii="Times New Roman" w:hAnsi="Times New Roman"/>
          <w:sz w:val="20"/>
          <w:szCs w:val="20"/>
        </w:rPr>
        <w:t xml:space="preserve">. Depending on the decoding outcome from UL grant-free transmission, for example whether the data can be decoded correctly or just UE ID can be detected, the gNB response can be different. To be more specific, if </w:t>
      </w:r>
      <w:r w:rsidR="008538AF">
        <w:rPr>
          <w:rFonts w:ascii="Times New Roman" w:hAnsi="Times New Roman"/>
          <w:sz w:val="20"/>
          <w:szCs w:val="20"/>
        </w:rPr>
        <w:t xml:space="preserve">the </w:t>
      </w:r>
      <w:r>
        <w:rPr>
          <w:rFonts w:ascii="Times New Roman" w:hAnsi="Times New Roman"/>
          <w:sz w:val="20"/>
          <w:szCs w:val="20"/>
        </w:rPr>
        <w:t xml:space="preserve">UE can be detected based on UL grant free transmission but not the data packet, and further SR from the same UE is detected, then gNB can allocate dedicated resource to the UE, but no need to have double allocation. While in case the UL data packet is decoded correctly, also SR gets decoded correctly, then gNB can ignore the SR. Here it is assumed that the linkage between SR and UL grant free data is known by gNB for example carried in the UL grant free data packet. Considering all the different possibilities, the following </w:t>
      </w:r>
      <w:r w:rsidR="00155DD2">
        <w:rPr>
          <w:rFonts w:ascii="Times New Roman" w:hAnsi="Times New Roman"/>
          <w:sz w:val="20"/>
          <w:szCs w:val="20"/>
        </w:rPr>
        <w:t>Table 1 summarizes the different</w:t>
      </w:r>
      <w:r w:rsidR="00D0513A">
        <w:rPr>
          <w:rFonts w:ascii="Times New Roman" w:hAnsi="Times New Roman"/>
          <w:sz w:val="20"/>
          <w:szCs w:val="20"/>
        </w:rPr>
        <w:t xml:space="preserve"> possibilities.</w:t>
      </w:r>
    </w:p>
    <w:p w:rsidR="00155DD2" w:rsidRDefault="00155DD2" w:rsidP="00345049">
      <w:pPr>
        <w:tabs>
          <w:tab w:val="left" w:pos="3564"/>
        </w:tabs>
        <w:spacing w:before="240"/>
        <w:jc w:val="both"/>
        <w:rPr>
          <w:rFonts w:ascii="Times New Roman" w:hAnsi="Times New Roman"/>
          <w:sz w:val="20"/>
          <w:szCs w:val="20"/>
        </w:rPr>
      </w:pPr>
    </w:p>
    <w:p w:rsidR="00155DD2" w:rsidRDefault="00155DD2" w:rsidP="00345049">
      <w:pPr>
        <w:tabs>
          <w:tab w:val="left" w:pos="3564"/>
        </w:tabs>
        <w:spacing w:before="240"/>
        <w:jc w:val="both"/>
        <w:rPr>
          <w:rFonts w:ascii="Times New Roman" w:hAnsi="Times New Roman"/>
          <w:sz w:val="20"/>
          <w:szCs w:val="20"/>
        </w:rPr>
      </w:pPr>
    </w:p>
    <w:p w:rsidR="00155DD2" w:rsidRDefault="00155DD2" w:rsidP="00345049">
      <w:pPr>
        <w:tabs>
          <w:tab w:val="left" w:pos="3564"/>
        </w:tabs>
        <w:spacing w:before="240"/>
        <w:jc w:val="both"/>
        <w:rPr>
          <w:rFonts w:ascii="Times New Roman" w:hAnsi="Times New Roman"/>
          <w:sz w:val="20"/>
          <w:szCs w:val="20"/>
        </w:rPr>
      </w:pPr>
    </w:p>
    <w:p w:rsidR="00155DD2" w:rsidRDefault="00155DD2" w:rsidP="00345049">
      <w:pPr>
        <w:tabs>
          <w:tab w:val="left" w:pos="3564"/>
        </w:tabs>
        <w:spacing w:before="240"/>
        <w:jc w:val="both"/>
        <w:rPr>
          <w:rFonts w:ascii="Times New Roman" w:hAnsi="Times New Roman"/>
          <w:sz w:val="20"/>
          <w:szCs w:val="20"/>
        </w:rPr>
      </w:pPr>
    </w:p>
    <w:p w:rsidR="00D0513A" w:rsidRPr="00A84561" w:rsidRDefault="00E51E16" w:rsidP="00E51E16">
      <w:pPr>
        <w:pStyle w:val="ListParagraph"/>
        <w:tabs>
          <w:tab w:val="center" w:pos="4748"/>
          <w:tab w:val="right" w:pos="9639"/>
        </w:tabs>
        <w:spacing w:before="240" w:after="0"/>
        <w:ind w:left="-142"/>
        <w:rPr>
          <w:rFonts w:ascii="Times New Roman" w:hAnsi="Times New Roman" w:cs="Times New Roman"/>
          <w:b/>
          <w:sz w:val="20"/>
        </w:rPr>
      </w:pPr>
      <w:r>
        <w:rPr>
          <w:rFonts w:ascii="Times New Roman" w:hAnsi="Times New Roman" w:cs="Times New Roman"/>
          <w:b/>
          <w:sz w:val="20"/>
        </w:rPr>
        <w:tab/>
      </w:r>
      <w:r w:rsidR="00D0513A" w:rsidRPr="00A84561">
        <w:rPr>
          <w:rFonts w:ascii="Times New Roman" w:hAnsi="Times New Roman" w:cs="Times New Roman"/>
          <w:b/>
          <w:sz w:val="20"/>
        </w:rPr>
        <w:t xml:space="preserve">Table 1: Different </w:t>
      </w:r>
      <w:r w:rsidR="00155DD2">
        <w:rPr>
          <w:rFonts w:ascii="Times New Roman" w:hAnsi="Times New Roman" w:cs="Times New Roman"/>
          <w:b/>
          <w:sz w:val="20"/>
        </w:rPr>
        <w:t>response</w:t>
      </w:r>
      <w:r w:rsidR="00D0513A" w:rsidRPr="00A84561">
        <w:rPr>
          <w:rFonts w:ascii="Times New Roman" w:hAnsi="Times New Roman" w:cs="Times New Roman"/>
          <w:b/>
          <w:sz w:val="20"/>
        </w:rPr>
        <w:t xml:space="preserve"> possibilities.</w:t>
      </w:r>
      <w:r>
        <w:rPr>
          <w:rFonts w:ascii="Times New Roman" w:hAnsi="Times New Roman" w:cs="Times New Roman"/>
          <w:b/>
          <w:sz w:val="20"/>
        </w:rPr>
        <w:tab/>
      </w:r>
    </w:p>
    <w:tbl>
      <w:tblPr>
        <w:tblStyle w:val="TableGrid"/>
        <w:tblW w:w="0" w:type="auto"/>
        <w:jc w:val="center"/>
        <w:tblLook w:val="04A0" w:firstRow="1" w:lastRow="0" w:firstColumn="1" w:lastColumn="0" w:noHBand="0" w:noVBand="1"/>
      </w:tblPr>
      <w:tblGrid>
        <w:gridCol w:w="774"/>
        <w:gridCol w:w="1580"/>
        <w:gridCol w:w="2036"/>
        <w:gridCol w:w="1754"/>
        <w:gridCol w:w="3485"/>
      </w:tblGrid>
      <w:tr w:rsidR="00D0513A" w:rsidRPr="00E35DBE" w:rsidTr="00327BA5">
        <w:trPr>
          <w:trHeight w:val="597"/>
          <w:jc w:val="center"/>
        </w:trPr>
        <w:tc>
          <w:tcPr>
            <w:tcW w:w="774" w:type="dxa"/>
            <w:vMerge w:val="restart"/>
            <w:vAlign w:val="center"/>
          </w:tcPr>
          <w:p w:rsidR="00D0513A" w:rsidRPr="00E35DBE" w:rsidRDefault="00D0513A" w:rsidP="00BE1219">
            <w:pPr>
              <w:spacing w:before="240"/>
              <w:jc w:val="center"/>
              <w:rPr>
                <w:rFonts w:ascii="Times New Roman" w:hAnsi="Times New Roman"/>
                <w:b/>
                <w:sz w:val="20"/>
              </w:rPr>
            </w:pPr>
          </w:p>
        </w:tc>
        <w:tc>
          <w:tcPr>
            <w:tcW w:w="3616" w:type="dxa"/>
            <w:gridSpan w:val="2"/>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Grant-free transmission</w:t>
            </w:r>
          </w:p>
        </w:tc>
        <w:tc>
          <w:tcPr>
            <w:tcW w:w="1754" w:type="dxa"/>
            <w:vMerge w:val="restart"/>
            <w:vAlign w:val="center"/>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 xml:space="preserve">SR </w:t>
            </w:r>
            <w:r w:rsidR="00155DD2" w:rsidRPr="00E35DBE">
              <w:rPr>
                <w:rFonts w:ascii="Times New Roman" w:hAnsi="Times New Roman"/>
                <w:b/>
                <w:sz w:val="20"/>
              </w:rPr>
              <w:t>decoded successfully</w:t>
            </w:r>
          </w:p>
        </w:tc>
        <w:tc>
          <w:tcPr>
            <w:tcW w:w="3485" w:type="dxa"/>
            <w:vMerge w:val="restart"/>
            <w:vAlign w:val="center"/>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 xml:space="preserve">gNB </w:t>
            </w:r>
            <w:r w:rsidR="00155DD2" w:rsidRPr="00E35DBE">
              <w:rPr>
                <w:rFonts w:ascii="Times New Roman" w:hAnsi="Times New Roman"/>
                <w:b/>
                <w:sz w:val="20"/>
              </w:rPr>
              <w:t>response</w:t>
            </w:r>
          </w:p>
        </w:tc>
      </w:tr>
      <w:tr w:rsidR="00D0513A" w:rsidRPr="00F1271A" w:rsidTr="00327BA5">
        <w:trPr>
          <w:trHeight w:val="2039"/>
          <w:jc w:val="center"/>
        </w:trPr>
        <w:tc>
          <w:tcPr>
            <w:tcW w:w="774" w:type="dxa"/>
            <w:vMerge/>
          </w:tcPr>
          <w:p w:rsidR="00D0513A" w:rsidRPr="00A84561" w:rsidRDefault="00D0513A" w:rsidP="00BE1219">
            <w:pPr>
              <w:spacing w:before="240"/>
              <w:jc w:val="center"/>
              <w:rPr>
                <w:rFonts w:ascii="Times New Roman" w:hAnsi="Times New Roman"/>
              </w:rPr>
            </w:pPr>
          </w:p>
        </w:tc>
        <w:tc>
          <w:tcPr>
            <w:tcW w:w="1580" w:type="dxa"/>
            <w:vAlign w:val="center"/>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Data packet decoded successfully</w:t>
            </w:r>
          </w:p>
        </w:tc>
        <w:tc>
          <w:tcPr>
            <w:tcW w:w="2036" w:type="dxa"/>
          </w:tcPr>
          <w:p w:rsidR="00155DD2" w:rsidRPr="00E35DBE" w:rsidRDefault="00D0513A" w:rsidP="00BE1219">
            <w:pPr>
              <w:spacing w:before="240"/>
              <w:jc w:val="center"/>
              <w:rPr>
                <w:rFonts w:ascii="Times New Roman" w:hAnsi="Times New Roman"/>
                <w:b/>
                <w:sz w:val="20"/>
              </w:rPr>
            </w:pPr>
            <w:r w:rsidRPr="00E35DBE">
              <w:rPr>
                <w:rFonts w:ascii="Times New Roman" w:hAnsi="Times New Roman"/>
                <w:b/>
                <w:sz w:val="20"/>
              </w:rPr>
              <w:t>Data packet not decoded</w:t>
            </w:r>
            <w:r w:rsidR="00155DD2" w:rsidRPr="00E35DBE">
              <w:rPr>
                <w:rFonts w:ascii="Times New Roman" w:hAnsi="Times New Roman"/>
                <w:b/>
                <w:sz w:val="20"/>
              </w:rPr>
              <w:t xml:space="preserve"> successfully</w:t>
            </w:r>
            <w:r w:rsidRPr="00E35DBE">
              <w:rPr>
                <w:rFonts w:ascii="Times New Roman" w:hAnsi="Times New Roman"/>
                <w:b/>
                <w:sz w:val="20"/>
              </w:rPr>
              <w:t xml:space="preserve"> </w:t>
            </w:r>
          </w:p>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(only UE ID decoded successfully)</w:t>
            </w:r>
          </w:p>
        </w:tc>
        <w:tc>
          <w:tcPr>
            <w:tcW w:w="1754" w:type="dxa"/>
            <w:vMerge/>
            <w:vAlign w:val="center"/>
          </w:tcPr>
          <w:p w:rsidR="00D0513A" w:rsidRPr="00F1271A" w:rsidRDefault="00D0513A" w:rsidP="00BE1219">
            <w:pPr>
              <w:spacing w:before="240"/>
              <w:jc w:val="center"/>
              <w:rPr>
                <w:rFonts w:ascii="Times New Roman" w:hAnsi="Times New Roman"/>
                <w:b/>
              </w:rPr>
            </w:pPr>
          </w:p>
        </w:tc>
        <w:tc>
          <w:tcPr>
            <w:tcW w:w="3485" w:type="dxa"/>
            <w:vMerge/>
          </w:tcPr>
          <w:p w:rsidR="00D0513A" w:rsidRPr="00F1271A" w:rsidRDefault="00D0513A" w:rsidP="00BE1219">
            <w:pPr>
              <w:spacing w:before="240"/>
              <w:rPr>
                <w:rFonts w:ascii="Times New Roman" w:hAnsi="Times New Roman"/>
              </w:rPr>
            </w:pPr>
          </w:p>
        </w:tc>
      </w:tr>
      <w:tr w:rsidR="00D0513A" w:rsidRPr="004155D6" w:rsidTr="00BE1219">
        <w:trPr>
          <w:trHeight w:val="113"/>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1</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3485" w:type="dxa"/>
          </w:tcPr>
          <w:p w:rsidR="00D0513A" w:rsidRPr="004155D6" w:rsidRDefault="00327BA5" w:rsidP="00671BD2">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Acknowledgement to the data</w:t>
            </w:r>
            <w:r w:rsidR="00B32523" w:rsidRPr="004155D6">
              <w:rPr>
                <w:rFonts w:ascii="Times New Roman" w:hAnsi="Times New Roman"/>
                <w:sz w:val="20"/>
                <w:szCs w:val="20"/>
              </w:rPr>
              <w:t>,</w:t>
            </w:r>
            <w:r w:rsidR="00B32523" w:rsidRPr="004155D6" w:rsidDel="00B32523">
              <w:rPr>
                <w:rFonts w:ascii="Times New Roman" w:hAnsi="Times New Roman"/>
                <w:sz w:val="20"/>
                <w:szCs w:val="20"/>
              </w:rPr>
              <w:t xml:space="preserve"> </w:t>
            </w:r>
            <w:r w:rsidR="00671BD2">
              <w:rPr>
                <w:rFonts w:ascii="Times New Roman" w:hAnsi="Times New Roman"/>
                <w:sz w:val="20"/>
                <w:szCs w:val="20"/>
              </w:rPr>
              <w:t>and</w:t>
            </w:r>
            <w:r w:rsidR="004155D6" w:rsidRPr="004155D6">
              <w:rPr>
                <w:rFonts w:ascii="Times New Roman" w:hAnsi="Times New Roman"/>
                <w:sz w:val="20"/>
                <w:szCs w:val="20"/>
              </w:rPr>
              <w:t xml:space="preserve"> scheduling request is either ignored or still honored depending on the timing</w:t>
            </w:r>
          </w:p>
        </w:tc>
      </w:tr>
      <w:tr w:rsidR="00D0513A" w:rsidRPr="00A84561" w:rsidTr="00BE1219">
        <w:trPr>
          <w:trHeight w:val="113"/>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2</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 xml:space="preserve">One grant-based allocation (no need to have separate allocation to both) </w:t>
            </w:r>
          </w:p>
        </w:tc>
      </w:tr>
      <w:tr w:rsidR="00D0513A" w:rsidRPr="00A84561" w:rsidTr="00BE1219">
        <w:trPr>
          <w:trHeight w:val="113"/>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3</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Acknowledgement to the data and request UE to stop send SR for the same TB (implicitly)</w:t>
            </w:r>
          </w:p>
        </w:tc>
      </w:tr>
      <w:tr w:rsidR="00D0513A" w:rsidRPr="00A84561" w:rsidTr="00BE1219">
        <w:trPr>
          <w:trHeight w:val="209"/>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4</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Grant-based resource allocation</w:t>
            </w:r>
          </w:p>
        </w:tc>
      </w:tr>
      <w:tr w:rsidR="00D0513A" w:rsidRPr="00A84561" w:rsidTr="00BE1219">
        <w:trPr>
          <w:trHeight w:val="209"/>
          <w:jc w:val="center"/>
        </w:trPr>
        <w:tc>
          <w:tcPr>
            <w:tcW w:w="774" w:type="dxa"/>
          </w:tcPr>
          <w:p w:rsidR="00284247" w:rsidRPr="004155D6" w:rsidRDefault="00D0513A" w:rsidP="00284247">
            <w:pPr>
              <w:spacing w:before="240"/>
              <w:jc w:val="center"/>
              <w:rPr>
                <w:rFonts w:ascii="Times New Roman" w:hAnsi="Times New Roman"/>
                <w:sz w:val="20"/>
                <w:szCs w:val="20"/>
              </w:rPr>
            </w:pPr>
            <w:r w:rsidRPr="004155D6">
              <w:rPr>
                <w:rFonts w:ascii="Times New Roman" w:hAnsi="Times New Roman"/>
                <w:sz w:val="20"/>
                <w:szCs w:val="20"/>
              </w:rPr>
              <w:t>5</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Possible retransmission from UE side</w:t>
            </w:r>
          </w:p>
        </w:tc>
      </w:tr>
      <w:tr w:rsidR="002145FF" w:rsidRPr="00A84561" w:rsidTr="00BE1219">
        <w:trPr>
          <w:trHeight w:val="209"/>
          <w:jc w:val="center"/>
        </w:trPr>
        <w:tc>
          <w:tcPr>
            <w:tcW w:w="774" w:type="dxa"/>
          </w:tcPr>
          <w:p w:rsidR="002145FF" w:rsidRPr="004155D6" w:rsidRDefault="002145FF" w:rsidP="00284247">
            <w:pPr>
              <w:spacing w:before="240"/>
              <w:jc w:val="center"/>
              <w:rPr>
                <w:rFonts w:ascii="Times New Roman" w:hAnsi="Times New Roman"/>
                <w:sz w:val="20"/>
                <w:szCs w:val="20"/>
              </w:rPr>
            </w:pPr>
            <w:r w:rsidRPr="004155D6">
              <w:rPr>
                <w:rFonts w:ascii="Times New Roman" w:hAnsi="Times New Roman"/>
                <w:sz w:val="20"/>
                <w:szCs w:val="20"/>
              </w:rPr>
              <w:t>6</w:t>
            </w:r>
          </w:p>
        </w:tc>
        <w:tc>
          <w:tcPr>
            <w:tcW w:w="1580" w:type="dxa"/>
          </w:tcPr>
          <w:p w:rsidR="002145FF" w:rsidRPr="004155D6" w:rsidRDefault="002145FF"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2145FF" w:rsidRPr="004155D6" w:rsidRDefault="002145FF"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1754" w:type="dxa"/>
          </w:tcPr>
          <w:p w:rsidR="002145FF" w:rsidRPr="004155D6" w:rsidRDefault="002145FF"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3485" w:type="dxa"/>
          </w:tcPr>
          <w:p w:rsidR="002145FF" w:rsidRPr="004155D6" w:rsidRDefault="002145FF"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Grant-based resource allocation</w:t>
            </w:r>
          </w:p>
        </w:tc>
      </w:tr>
      <w:bookmarkEnd w:id="6"/>
      <w:bookmarkEnd w:id="7"/>
    </w:tbl>
    <w:p w:rsidR="00A66B4B" w:rsidRDefault="00A66B4B" w:rsidP="00284247">
      <w:pPr>
        <w:rPr>
          <w:rFonts w:ascii="Times New Roman" w:hAnsi="Times New Roman"/>
          <w:sz w:val="20"/>
          <w:szCs w:val="20"/>
        </w:rPr>
      </w:pPr>
    </w:p>
    <w:p w:rsidR="005B6509" w:rsidRPr="00825E63" w:rsidRDefault="005B6509" w:rsidP="005B6509">
      <w:pPr>
        <w:pStyle w:val="Heading1"/>
        <w:rPr>
          <w:lang w:val="en-US"/>
        </w:rPr>
      </w:pPr>
      <w:r w:rsidRPr="00825E63">
        <w:rPr>
          <w:lang w:val="en-US"/>
        </w:rPr>
        <w:t>Conclusion</w:t>
      </w:r>
      <w:r w:rsidR="00A07F41" w:rsidRPr="00825E63">
        <w:rPr>
          <w:lang w:val="en-US"/>
        </w:rPr>
        <w:t>s</w:t>
      </w:r>
    </w:p>
    <w:p w:rsidR="00244F3E" w:rsidRPr="00A52856" w:rsidRDefault="00A52856" w:rsidP="002C5450">
      <w:pPr>
        <w:jc w:val="both"/>
        <w:rPr>
          <w:rFonts w:ascii="Times New Roman" w:hAnsi="Times New Roman" w:cs="Times New Roman"/>
          <w:color w:val="000000"/>
        </w:rPr>
      </w:pPr>
      <w:bookmarkStart w:id="9" w:name="_Hlk500355486"/>
      <w:r w:rsidRPr="00A52856">
        <w:rPr>
          <w:rFonts w:ascii="Times New Roman" w:hAnsi="Times New Roman" w:cs="Times New Roman"/>
          <w:color w:val="000000"/>
          <w:sz w:val="20"/>
        </w:rPr>
        <w:t>In this contribution, we discussed</w:t>
      </w:r>
      <w:r w:rsidR="004B2399">
        <w:rPr>
          <w:rFonts w:ascii="Times New Roman" w:hAnsi="Times New Roman" w:cs="Times New Roman"/>
          <w:color w:val="000000"/>
          <w:sz w:val="20"/>
        </w:rPr>
        <w:t xml:space="preserve"> </w:t>
      </w:r>
      <w:r w:rsidR="004567B4" w:rsidRPr="004567B4">
        <w:rPr>
          <w:rFonts w:ascii="Times New Roman" w:hAnsi="Times New Roman" w:cs="Times New Roman"/>
          <w:color w:val="000000"/>
          <w:sz w:val="20"/>
        </w:rPr>
        <w:t xml:space="preserve">the way to increase the reliability while keeping latency reduction in mind </w:t>
      </w:r>
      <w:r w:rsidR="004567B4">
        <w:rPr>
          <w:rFonts w:ascii="Times New Roman" w:hAnsi="Times New Roman" w:cs="Times New Roman"/>
          <w:color w:val="000000"/>
          <w:sz w:val="20"/>
        </w:rPr>
        <w:t>for URLLC UEs. Based on our discussion, we came</w:t>
      </w:r>
      <w:r w:rsidR="00671BD2">
        <w:rPr>
          <w:rFonts w:ascii="Times New Roman" w:hAnsi="Times New Roman" w:cs="Times New Roman"/>
          <w:color w:val="000000"/>
          <w:sz w:val="20"/>
        </w:rPr>
        <w:t xml:space="preserve"> up with the following proposal:</w:t>
      </w:r>
      <w:r w:rsidR="004B2399">
        <w:rPr>
          <w:rFonts w:ascii="Times New Roman" w:hAnsi="Times New Roman" w:cs="Times New Roman"/>
          <w:color w:val="000000"/>
          <w:sz w:val="20"/>
        </w:rPr>
        <w:t xml:space="preserve"> </w:t>
      </w:r>
    </w:p>
    <w:bookmarkEnd w:id="9"/>
    <w:p w:rsidR="004567B4" w:rsidRPr="00671BD2" w:rsidRDefault="004567B4" w:rsidP="004567B4">
      <w:pPr>
        <w:jc w:val="both"/>
        <w:rPr>
          <w:rFonts w:ascii="Times New Roman" w:hAnsi="Times New Roman"/>
          <w:b/>
          <w:sz w:val="20"/>
          <w:szCs w:val="20"/>
        </w:rPr>
      </w:pPr>
      <w:r w:rsidRPr="009E3286">
        <w:rPr>
          <w:rFonts w:ascii="Times New Roman" w:hAnsi="Times New Roman"/>
          <w:b/>
          <w:sz w:val="20"/>
          <w:szCs w:val="20"/>
        </w:rPr>
        <w:t xml:space="preserve">Proposal 1: URLLC UEs can be configured to </w:t>
      </w:r>
      <w:r w:rsidRPr="00671BD2">
        <w:rPr>
          <w:rFonts w:ascii="Times New Roman" w:hAnsi="Times New Roman"/>
          <w:b/>
          <w:sz w:val="20"/>
          <w:szCs w:val="20"/>
        </w:rPr>
        <w:t xml:space="preserve">transmit </w:t>
      </w:r>
      <w:r w:rsidR="008A76D9" w:rsidRPr="00671BD2">
        <w:rPr>
          <w:rFonts w:ascii="Times New Roman" w:hAnsi="Times New Roman" w:cs="Times New Roman"/>
          <w:b/>
          <w:bCs/>
          <w:sz w:val="20"/>
          <w:szCs w:val="20"/>
        </w:rPr>
        <w:t xml:space="preserve">the initial transmission of </w:t>
      </w:r>
      <w:r w:rsidRPr="00671BD2">
        <w:rPr>
          <w:rFonts w:ascii="Times New Roman" w:hAnsi="Times New Roman"/>
          <w:b/>
          <w:sz w:val="20"/>
          <w:szCs w:val="20"/>
        </w:rPr>
        <w:t>the same TB with either grant or grant-free based transmission or both.</w:t>
      </w:r>
    </w:p>
    <w:p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t>References</w:t>
      </w:r>
    </w:p>
    <w:p w:rsidR="00BB7A95"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10" w:name="_Ref492207613"/>
      <w:bookmarkEnd w:id="10"/>
      <w:r w:rsidRPr="00AD360A">
        <w:rPr>
          <w:rFonts w:eastAsiaTheme="minorHAnsi"/>
          <w:noProof w:val="0"/>
          <w:color w:val="1A1A1A"/>
          <w:sz w:val="20"/>
          <w:szCs w:val="20"/>
        </w:rPr>
        <w:t>[1]</w:t>
      </w:r>
      <w:r w:rsidR="00BB7A95">
        <w:rPr>
          <w:rFonts w:eastAsiaTheme="minorHAnsi"/>
          <w:noProof w:val="0"/>
          <w:color w:val="1A1A1A"/>
          <w:sz w:val="20"/>
          <w:szCs w:val="20"/>
        </w:rPr>
        <w:tab/>
      </w:r>
      <w:r w:rsidR="00BB7A95">
        <w:rPr>
          <w:rFonts w:eastAsiaTheme="minorHAnsi"/>
          <w:noProof w:val="0"/>
          <w:color w:val="1A1A1A"/>
          <w:sz w:val="20"/>
          <w:szCs w:val="20"/>
        </w:rPr>
        <w:tab/>
      </w:r>
      <w:r w:rsidR="005654ED" w:rsidRPr="005654ED">
        <w:rPr>
          <w:rFonts w:eastAsiaTheme="minorHAnsi"/>
          <w:noProof w:val="0"/>
          <w:color w:val="1A1A1A"/>
          <w:sz w:val="20"/>
          <w:szCs w:val="20"/>
        </w:rPr>
        <w:t>TR 38.913, Study on scenarios and requirements for next generation access technologies, v14.1.0, Jan. 2017</w:t>
      </w:r>
    </w:p>
    <w:p w:rsidR="00BB7A95" w:rsidRDefault="00BB7A95"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[2]</w:t>
      </w:r>
      <w:r>
        <w:rPr>
          <w:rFonts w:eastAsiaTheme="minorHAnsi"/>
          <w:noProof w:val="0"/>
          <w:color w:val="1A1A1A"/>
          <w:sz w:val="20"/>
          <w:szCs w:val="20"/>
        </w:rPr>
        <w:tab/>
      </w:r>
      <w:r>
        <w:rPr>
          <w:rFonts w:eastAsiaTheme="minorHAnsi"/>
          <w:noProof w:val="0"/>
          <w:color w:val="1A1A1A"/>
          <w:sz w:val="20"/>
          <w:szCs w:val="20"/>
        </w:rPr>
        <w:tab/>
      </w:r>
      <w:r w:rsidRPr="00BB7A95">
        <w:rPr>
          <w:rFonts w:eastAsiaTheme="minorHAnsi"/>
          <w:noProof w:val="0"/>
          <w:color w:val="1A1A1A"/>
          <w:sz w:val="20"/>
          <w:szCs w:val="20"/>
        </w:rPr>
        <w:t>NR; Radio Resource Control (RRC); Protocol specification</w:t>
      </w:r>
    </w:p>
    <w:p w:rsidR="00AD360A" w:rsidRDefault="00AD360A" w:rsidP="00BB7A95">
      <w:pPr>
        <w:pStyle w:val="references"/>
        <w:numPr>
          <w:ilvl w:val="0"/>
          <w:numId w:val="0"/>
        </w:numPr>
        <w:autoSpaceDE w:val="0"/>
        <w:autoSpaceDN w:val="0"/>
        <w:adjustRightInd w:val="0"/>
        <w:rPr>
          <w:rFonts w:eastAsiaTheme="minorHAnsi"/>
          <w:noProof w:val="0"/>
          <w:color w:val="1A1A1A"/>
          <w:sz w:val="20"/>
          <w:szCs w:val="20"/>
        </w:rPr>
      </w:pPr>
      <w:r w:rsidRPr="00AD360A">
        <w:rPr>
          <w:rFonts w:eastAsiaTheme="minorHAnsi"/>
          <w:noProof w:val="0"/>
          <w:color w:val="1A1A1A"/>
          <w:sz w:val="20"/>
          <w:szCs w:val="20"/>
        </w:rPr>
        <w:tab/>
      </w:r>
      <w:r>
        <w:rPr>
          <w:rFonts w:eastAsiaTheme="minorHAnsi"/>
          <w:noProof w:val="0"/>
          <w:color w:val="1A1A1A"/>
          <w:sz w:val="20"/>
          <w:szCs w:val="20"/>
        </w:rPr>
        <w:tab/>
      </w:r>
    </w:p>
    <w:p w:rsidR="00AD360A" w:rsidRPr="00825E63" w:rsidRDefault="00AD360A" w:rsidP="00EE0DE8">
      <w:pPr>
        <w:pStyle w:val="references"/>
        <w:numPr>
          <w:ilvl w:val="0"/>
          <w:numId w:val="0"/>
        </w:numPr>
        <w:autoSpaceDE w:val="0"/>
        <w:autoSpaceDN w:val="0"/>
        <w:adjustRightInd w:val="0"/>
        <w:rPr>
          <w:noProof w:val="0"/>
        </w:rPr>
      </w:pPr>
    </w:p>
    <w:sectPr w:rsidR="00AD360A" w:rsidRPr="00825E6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ACC" w:rsidRDefault="00067ACC">
      <w:r>
        <w:separator/>
      </w:r>
    </w:p>
  </w:endnote>
  <w:endnote w:type="continuationSeparator" w:id="0">
    <w:p w:rsidR="00067ACC" w:rsidRDefault="00067ACC">
      <w:r>
        <w:continuationSeparator/>
      </w:r>
    </w:p>
  </w:endnote>
  <w:endnote w:type="continuationNotice" w:id="1">
    <w:p w:rsidR="00067ACC" w:rsidRDefault="00067A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ACC" w:rsidRDefault="00067ACC">
      <w:r>
        <w:separator/>
      </w:r>
    </w:p>
  </w:footnote>
  <w:footnote w:type="continuationSeparator" w:id="0">
    <w:p w:rsidR="00067ACC" w:rsidRDefault="00067ACC">
      <w:r>
        <w:continuationSeparator/>
      </w:r>
    </w:p>
  </w:footnote>
  <w:footnote w:type="continuationNotice" w:id="1">
    <w:p w:rsidR="00067ACC" w:rsidRDefault="00067A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3477E6"/>
    <w:multiLevelType w:val="multilevel"/>
    <w:tmpl w:val="7250EDEC"/>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D8E04E0"/>
    <w:multiLevelType w:val="hybridMultilevel"/>
    <w:tmpl w:val="6F4667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4"/>
  </w:num>
  <w:num w:numId="4">
    <w:abstractNumId w:val="8"/>
  </w:num>
  <w:num w:numId="5">
    <w:abstractNumId w:val="17"/>
  </w:num>
  <w:num w:numId="6">
    <w:abstractNumId w:val="5"/>
  </w:num>
  <w:num w:numId="7">
    <w:abstractNumId w:val="7"/>
  </w:num>
  <w:num w:numId="8">
    <w:abstractNumId w:val="13"/>
  </w:num>
  <w:num w:numId="9">
    <w:abstractNumId w:val="26"/>
  </w:num>
  <w:num w:numId="10">
    <w:abstractNumId w:val="24"/>
  </w:num>
  <w:num w:numId="11">
    <w:abstractNumId w:val="25"/>
  </w:num>
  <w:num w:numId="12">
    <w:abstractNumId w:val="27"/>
  </w:num>
  <w:num w:numId="13">
    <w:abstractNumId w:val="3"/>
  </w:num>
  <w:num w:numId="14">
    <w:abstractNumId w:val="10"/>
  </w:num>
  <w:num w:numId="15">
    <w:abstractNumId w:val="20"/>
  </w:num>
  <w:num w:numId="16">
    <w:abstractNumId w:val="6"/>
  </w:num>
  <w:num w:numId="17">
    <w:abstractNumId w:val="15"/>
  </w:num>
  <w:num w:numId="18">
    <w:abstractNumId w:val="18"/>
  </w:num>
  <w:num w:numId="19">
    <w:abstractNumId w:val="17"/>
  </w:num>
  <w:num w:numId="20">
    <w:abstractNumId w:val="2"/>
  </w:num>
  <w:num w:numId="21">
    <w:abstractNumId w:val="19"/>
  </w:num>
  <w:num w:numId="22">
    <w:abstractNumId w:val="4"/>
  </w:num>
  <w:num w:numId="23">
    <w:abstractNumId w:val="28"/>
  </w:num>
  <w:num w:numId="24">
    <w:abstractNumId w:val="0"/>
  </w:num>
  <w:num w:numId="25">
    <w:abstractNumId w:val="1"/>
  </w:num>
  <w:num w:numId="26">
    <w:abstractNumId w:val="23"/>
  </w:num>
  <w:num w:numId="27">
    <w:abstractNumId w:val="12"/>
  </w:num>
  <w:num w:numId="28">
    <w:abstractNumId w:val="21"/>
  </w:num>
  <w:num w:numId="29">
    <w:abstractNumId w:val="29"/>
  </w:num>
  <w:num w:numId="30">
    <w:abstractNumId w:val="9"/>
  </w:num>
  <w:num w:numId="31">
    <w:abstractNumId w:val="16"/>
  </w:num>
  <w:num w:numId="32">
    <w:abstractNumId w:val="31"/>
  </w:num>
  <w:num w:numId="33">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BE9"/>
    <w:rsid w:val="00002DEC"/>
    <w:rsid w:val="0000303F"/>
    <w:rsid w:val="000032D6"/>
    <w:rsid w:val="000033ED"/>
    <w:rsid w:val="00003811"/>
    <w:rsid w:val="00003F15"/>
    <w:rsid w:val="000058CD"/>
    <w:rsid w:val="00006BB1"/>
    <w:rsid w:val="00006DE9"/>
    <w:rsid w:val="000074C4"/>
    <w:rsid w:val="0000763B"/>
    <w:rsid w:val="000107C9"/>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6A4A"/>
    <w:rsid w:val="00057A9C"/>
    <w:rsid w:val="000603A9"/>
    <w:rsid w:val="00060EE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297"/>
    <w:rsid w:val="000675E5"/>
    <w:rsid w:val="0006764C"/>
    <w:rsid w:val="00067ACC"/>
    <w:rsid w:val="00067B22"/>
    <w:rsid w:val="00070806"/>
    <w:rsid w:val="00071294"/>
    <w:rsid w:val="0007159C"/>
    <w:rsid w:val="00071C52"/>
    <w:rsid w:val="00072DF9"/>
    <w:rsid w:val="00072FD4"/>
    <w:rsid w:val="00072FFC"/>
    <w:rsid w:val="00073FC0"/>
    <w:rsid w:val="00074659"/>
    <w:rsid w:val="00074AE4"/>
    <w:rsid w:val="0007526D"/>
    <w:rsid w:val="000755B4"/>
    <w:rsid w:val="000756FD"/>
    <w:rsid w:val="00075E55"/>
    <w:rsid w:val="00075EA0"/>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94"/>
    <w:rsid w:val="0008591B"/>
    <w:rsid w:val="00086D08"/>
    <w:rsid w:val="00086DBF"/>
    <w:rsid w:val="00086F97"/>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5973"/>
    <w:rsid w:val="000B64B0"/>
    <w:rsid w:val="000B6692"/>
    <w:rsid w:val="000B6A1C"/>
    <w:rsid w:val="000B766E"/>
    <w:rsid w:val="000B7B63"/>
    <w:rsid w:val="000C0167"/>
    <w:rsid w:val="000C08F0"/>
    <w:rsid w:val="000C0E65"/>
    <w:rsid w:val="000C0F23"/>
    <w:rsid w:val="000C27AA"/>
    <w:rsid w:val="000C2F64"/>
    <w:rsid w:val="000C3434"/>
    <w:rsid w:val="000C3DCB"/>
    <w:rsid w:val="000C4034"/>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0B9A"/>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1C42"/>
    <w:rsid w:val="000E295B"/>
    <w:rsid w:val="000E3440"/>
    <w:rsid w:val="000E3442"/>
    <w:rsid w:val="000E3DEF"/>
    <w:rsid w:val="000E41A9"/>
    <w:rsid w:val="000E4B2C"/>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578"/>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5DD2"/>
    <w:rsid w:val="00156F8B"/>
    <w:rsid w:val="0015709E"/>
    <w:rsid w:val="00157B40"/>
    <w:rsid w:val="001601AE"/>
    <w:rsid w:val="00160674"/>
    <w:rsid w:val="00160FC3"/>
    <w:rsid w:val="001612C1"/>
    <w:rsid w:val="001616EE"/>
    <w:rsid w:val="00161D23"/>
    <w:rsid w:val="001625CF"/>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8E5"/>
    <w:rsid w:val="0019712E"/>
    <w:rsid w:val="00197BDF"/>
    <w:rsid w:val="00197D4A"/>
    <w:rsid w:val="001A0C55"/>
    <w:rsid w:val="001A103E"/>
    <w:rsid w:val="001A111A"/>
    <w:rsid w:val="001A11A8"/>
    <w:rsid w:val="001A1940"/>
    <w:rsid w:val="001A1E11"/>
    <w:rsid w:val="001A30F9"/>
    <w:rsid w:val="001A331B"/>
    <w:rsid w:val="001A4160"/>
    <w:rsid w:val="001A58D0"/>
    <w:rsid w:val="001A5D07"/>
    <w:rsid w:val="001A668C"/>
    <w:rsid w:val="001A6A25"/>
    <w:rsid w:val="001A6C9A"/>
    <w:rsid w:val="001A6F50"/>
    <w:rsid w:val="001A706E"/>
    <w:rsid w:val="001A725F"/>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5E32"/>
    <w:rsid w:val="001B639E"/>
    <w:rsid w:val="001B6BA0"/>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4DB"/>
    <w:rsid w:val="001F0BB5"/>
    <w:rsid w:val="001F1089"/>
    <w:rsid w:val="001F13ED"/>
    <w:rsid w:val="001F1951"/>
    <w:rsid w:val="001F1EC6"/>
    <w:rsid w:val="001F264F"/>
    <w:rsid w:val="001F300C"/>
    <w:rsid w:val="001F30EF"/>
    <w:rsid w:val="001F3625"/>
    <w:rsid w:val="001F36A2"/>
    <w:rsid w:val="001F3ADF"/>
    <w:rsid w:val="001F3FB3"/>
    <w:rsid w:val="001F4259"/>
    <w:rsid w:val="001F4898"/>
    <w:rsid w:val="001F5019"/>
    <w:rsid w:val="001F50D7"/>
    <w:rsid w:val="001F6BEC"/>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FF"/>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5C2"/>
    <w:rsid w:val="00222903"/>
    <w:rsid w:val="00222A7A"/>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4CB7"/>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247"/>
    <w:rsid w:val="002848E2"/>
    <w:rsid w:val="00284A81"/>
    <w:rsid w:val="00284EBC"/>
    <w:rsid w:val="00284FB8"/>
    <w:rsid w:val="00285488"/>
    <w:rsid w:val="00285510"/>
    <w:rsid w:val="00285D5C"/>
    <w:rsid w:val="00286612"/>
    <w:rsid w:val="00286C86"/>
    <w:rsid w:val="00286DA6"/>
    <w:rsid w:val="00286E9E"/>
    <w:rsid w:val="00286FE0"/>
    <w:rsid w:val="00287F64"/>
    <w:rsid w:val="00290249"/>
    <w:rsid w:val="00291165"/>
    <w:rsid w:val="002912A3"/>
    <w:rsid w:val="002914AA"/>
    <w:rsid w:val="002932A6"/>
    <w:rsid w:val="00293406"/>
    <w:rsid w:val="002937B8"/>
    <w:rsid w:val="00294C4F"/>
    <w:rsid w:val="0029510A"/>
    <w:rsid w:val="00295D1F"/>
    <w:rsid w:val="002962B1"/>
    <w:rsid w:val="00296976"/>
    <w:rsid w:val="00296D6D"/>
    <w:rsid w:val="002975E0"/>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C06B7"/>
    <w:rsid w:val="002C0FCF"/>
    <w:rsid w:val="002C139E"/>
    <w:rsid w:val="002C180A"/>
    <w:rsid w:val="002C39FE"/>
    <w:rsid w:val="002C4EA6"/>
    <w:rsid w:val="002C5280"/>
    <w:rsid w:val="002C5450"/>
    <w:rsid w:val="002C55A6"/>
    <w:rsid w:val="002C5D11"/>
    <w:rsid w:val="002C6255"/>
    <w:rsid w:val="002C6E3E"/>
    <w:rsid w:val="002C7BBA"/>
    <w:rsid w:val="002D098F"/>
    <w:rsid w:val="002D1214"/>
    <w:rsid w:val="002D2B0D"/>
    <w:rsid w:val="002D2B82"/>
    <w:rsid w:val="002D2F36"/>
    <w:rsid w:val="002D365F"/>
    <w:rsid w:val="002D36B6"/>
    <w:rsid w:val="002D45F7"/>
    <w:rsid w:val="002D4A9A"/>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5B42"/>
    <w:rsid w:val="002F5C07"/>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2F9"/>
    <w:rsid w:val="003128DF"/>
    <w:rsid w:val="00312957"/>
    <w:rsid w:val="00312CEC"/>
    <w:rsid w:val="00313A5B"/>
    <w:rsid w:val="00313CB0"/>
    <w:rsid w:val="00313F23"/>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645"/>
    <w:rsid w:val="0032273D"/>
    <w:rsid w:val="00323306"/>
    <w:rsid w:val="00323A71"/>
    <w:rsid w:val="00324187"/>
    <w:rsid w:val="00324C9B"/>
    <w:rsid w:val="00324E60"/>
    <w:rsid w:val="003255AA"/>
    <w:rsid w:val="00325789"/>
    <w:rsid w:val="00325C2B"/>
    <w:rsid w:val="003269F3"/>
    <w:rsid w:val="0032713B"/>
    <w:rsid w:val="00327BA5"/>
    <w:rsid w:val="00327DEB"/>
    <w:rsid w:val="003302A3"/>
    <w:rsid w:val="003302DF"/>
    <w:rsid w:val="00330AFE"/>
    <w:rsid w:val="003315AB"/>
    <w:rsid w:val="00331C86"/>
    <w:rsid w:val="0033246C"/>
    <w:rsid w:val="00332CA2"/>
    <w:rsid w:val="00333E71"/>
    <w:rsid w:val="003344D2"/>
    <w:rsid w:val="00335235"/>
    <w:rsid w:val="00335B31"/>
    <w:rsid w:val="00335C2D"/>
    <w:rsid w:val="0033601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49"/>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87AA9"/>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3B2"/>
    <w:rsid w:val="003A4FBC"/>
    <w:rsid w:val="003A53D0"/>
    <w:rsid w:val="003A597F"/>
    <w:rsid w:val="003A5F81"/>
    <w:rsid w:val="003A6088"/>
    <w:rsid w:val="003A6DA3"/>
    <w:rsid w:val="003A7966"/>
    <w:rsid w:val="003A79F8"/>
    <w:rsid w:val="003B030B"/>
    <w:rsid w:val="003B0815"/>
    <w:rsid w:val="003B0F69"/>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E7E9A"/>
    <w:rsid w:val="003F04D3"/>
    <w:rsid w:val="003F0788"/>
    <w:rsid w:val="003F1329"/>
    <w:rsid w:val="003F1A7F"/>
    <w:rsid w:val="003F1FD4"/>
    <w:rsid w:val="003F2B52"/>
    <w:rsid w:val="003F3084"/>
    <w:rsid w:val="003F3B26"/>
    <w:rsid w:val="003F5512"/>
    <w:rsid w:val="003F5D59"/>
    <w:rsid w:val="003F702F"/>
    <w:rsid w:val="003F7B2D"/>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55D6"/>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D73"/>
    <w:rsid w:val="00443FF9"/>
    <w:rsid w:val="0044416F"/>
    <w:rsid w:val="00444B1D"/>
    <w:rsid w:val="0044514A"/>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4"/>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6"/>
    <w:rsid w:val="004721BC"/>
    <w:rsid w:val="00473D37"/>
    <w:rsid w:val="00474244"/>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D0B"/>
    <w:rsid w:val="00487EF1"/>
    <w:rsid w:val="004906F1"/>
    <w:rsid w:val="00490831"/>
    <w:rsid w:val="00490980"/>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6AC"/>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399"/>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4AC"/>
    <w:rsid w:val="004C795A"/>
    <w:rsid w:val="004D006C"/>
    <w:rsid w:val="004D09C7"/>
    <w:rsid w:val="004D0A0D"/>
    <w:rsid w:val="004D1505"/>
    <w:rsid w:val="004D183A"/>
    <w:rsid w:val="004D1F4C"/>
    <w:rsid w:val="004D2744"/>
    <w:rsid w:val="004D28E9"/>
    <w:rsid w:val="004D2D21"/>
    <w:rsid w:val="004D2EAC"/>
    <w:rsid w:val="004D3D0F"/>
    <w:rsid w:val="004D3DCF"/>
    <w:rsid w:val="004D464A"/>
    <w:rsid w:val="004D52C0"/>
    <w:rsid w:val="004D5F47"/>
    <w:rsid w:val="004D61FE"/>
    <w:rsid w:val="004D6321"/>
    <w:rsid w:val="004D6602"/>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6FD"/>
    <w:rsid w:val="0052595A"/>
    <w:rsid w:val="00525B52"/>
    <w:rsid w:val="00525D5F"/>
    <w:rsid w:val="00526FB5"/>
    <w:rsid w:val="005276BC"/>
    <w:rsid w:val="00527DE9"/>
    <w:rsid w:val="00527E6D"/>
    <w:rsid w:val="00530AED"/>
    <w:rsid w:val="00531548"/>
    <w:rsid w:val="0053204C"/>
    <w:rsid w:val="005320DC"/>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268"/>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4ED"/>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1CF1"/>
    <w:rsid w:val="005B247D"/>
    <w:rsid w:val="005B3103"/>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097"/>
    <w:rsid w:val="005C11C0"/>
    <w:rsid w:val="005C2162"/>
    <w:rsid w:val="005C2684"/>
    <w:rsid w:val="005C2EAB"/>
    <w:rsid w:val="005C2FE5"/>
    <w:rsid w:val="005C3048"/>
    <w:rsid w:val="005C3493"/>
    <w:rsid w:val="005C492F"/>
    <w:rsid w:val="005C50BD"/>
    <w:rsid w:val="005C55F6"/>
    <w:rsid w:val="005C5A5E"/>
    <w:rsid w:val="005C5C35"/>
    <w:rsid w:val="005C76DF"/>
    <w:rsid w:val="005C7C25"/>
    <w:rsid w:val="005D07CC"/>
    <w:rsid w:val="005D08ED"/>
    <w:rsid w:val="005D0EB6"/>
    <w:rsid w:val="005D1312"/>
    <w:rsid w:val="005D2497"/>
    <w:rsid w:val="005D26C8"/>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64DB"/>
    <w:rsid w:val="005E7A8C"/>
    <w:rsid w:val="005F085D"/>
    <w:rsid w:val="005F0A0B"/>
    <w:rsid w:val="005F0D07"/>
    <w:rsid w:val="005F0E4E"/>
    <w:rsid w:val="005F30A0"/>
    <w:rsid w:val="005F366E"/>
    <w:rsid w:val="005F3814"/>
    <w:rsid w:val="005F3B0E"/>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073"/>
    <w:rsid w:val="00631296"/>
    <w:rsid w:val="0063173B"/>
    <w:rsid w:val="006319D2"/>
    <w:rsid w:val="0063214F"/>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C05"/>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BD2"/>
    <w:rsid w:val="00671E11"/>
    <w:rsid w:val="006734F6"/>
    <w:rsid w:val="006741FC"/>
    <w:rsid w:val="006744FB"/>
    <w:rsid w:val="006745E4"/>
    <w:rsid w:val="00674B2D"/>
    <w:rsid w:val="006754CD"/>
    <w:rsid w:val="006758CA"/>
    <w:rsid w:val="00675A1F"/>
    <w:rsid w:val="00675D5A"/>
    <w:rsid w:val="006761F8"/>
    <w:rsid w:val="006764DC"/>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5180"/>
    <w:rsid w:val="006B6977"/>
    <w:rsid w:val="006B6B8F"/>
    <w:rsid w:val="006C0399"/>
    <w:rsid w:val="006C0925"/>
    <w:rsid w:val="006C0BEA"/>
    <w:rsid w:val="006C0CBB"/>
    <w:rsid w:val="006C0D75"/>
    <w:rsid w:val="006C14F9"/>
    <w:rsid w:val="006C1952"/>
    <w:rsid w:val="006C2A38"/>
    <w:rsid w:val="006C2BF7"/>
    <w:rsid w:val="006C3B61"/>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E75"/>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4BD8"/>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DFC"/>
    <w:rsid w:val="007C11E4"/>
    <w:rsid w:val="007C12F3"/>
    <w:rsid w:val="007C1FE3"/>
    <w:rsid w:val="007C2739"/>
    <w:rsid w:val="007C2751"/>
    <w:rsid w:val="007C27B0"/>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442"/>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405"/>
    <w:rsid w:val="00822A5F"/>
    <w:rsid w:val="00822EF0"/>
    <w:rsid w:val="008230A4"/>
    <w:rsid w:val="00823412"/>
    <w:rsid w:val="008248A4"/>
    <w:rsid w:val="0082505B"/>
    <w:rsid w:val="00825201"/>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BE6"/>
    <w:rsid w:val="00842CC6"/>
    <w:rsid w:val="00843114"/>
    <w:rsid w:val="0084480A"/>
    <w:rsid w:val="00844E17"/>
    <w:rsid w:val="008452FD"/>
    <w:rsid w:val="00845CAA"/>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8AF"/>
    <w:rsid w:val="00853FE7"/>
    <w:rsid w:val="0085450D"/>
    <w:rsid w:val="0085452C"/>
    <w:rsid w:val="008551A7"/>
    <w:rsid w:val="0085528F"/>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3BB"/>
    <w:rsid w:val="008714D5"/>
    <w:rsid w:val="00871A5F"/>
    <w:rsid w:val="00872AC8"/>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4F4F"/>
    <w:rsid w:val="008A5008"/>
    <w:rsid w:val="008A5258"/>
    <w:rsid w:val="008A66DC"/>
    <w:rsid w:val="008A7340"/>
    <w:rsid w:val="008A76D9"/>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580"/>
    <w:rsid w:val="008F0A7D"/>
    <w:rsid w:val="008F0AE1"/>
    <w:rsid w:val="008F0CB7"/>
    <w:rsid w:val="008F0EB6"/>
    <w:rsid w:val="008F0F1B"/>
    <w:rsid w:val="008F0F25"/>
    <w:rsid w:val="008F15C3"/>
    <w:rsid w:val="008F1E70"/>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28D"/>
    <w:rsid w:val="00924896"/>
    <w:rsid w:val="00925243"/>
    <w:rsid w:val="00925776"/>
    <w:rsid w:val="00926359"/>
    <w:rsid w:val="00927C14"/>
    <w:rsid w:val="00927E04"/>
    <w:rsid w:val="0093006F"/>
    <w:rsid w:val="00930C42"/>
    <w:rsid w:val="00930E23"/>
    <w:rsid w:val="00931ACC"/>
    <w:rsid w:val="00932447"/>
    <w:rsid w:val="00933178"/>
    <w:rsid w:val="0093373F"/>
    <w:rsid w:val="00933F94"/>
    <w:rsid w:val="0093436A"/>
    <w:rsid w:val="009349BE"/>
    <w:rsid w:val="00935C49"/>
    <w:rsid w:val="0093660A"/>
    <w:rsid w:val="00936767"/>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3F"/>
    <w:rsid w:val="00947AC8"/>
    <w:rsid w:val="00951861"/>
    <w:rsid w:val="009519EE"/>
    <w:rsid w:val="00951DEE"/>
    <w:rsid w:val="0095200B"/>
    <w:rsid w:val="00952450"/>
    <w:rsid w:val="00952D5F"/>
    <w:rsid w:val="00952F25"/>
    <w:rsid w:val="009547CF"/>
    <w:rsid w:val="00954BA3"/>
    <w:rsid w:val="00954E4C"/>
    <w:rsid w:val="00954EF6"/>
    <w:rsid w:val="00955274"/>
    <w:rsid w:val="00955EBD"/>
    <w:rsid w:val="009562A9"/>
    <w:rsid w:val="009564FC"/>
    <w:rsid w:val="00956889"/>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AF2"/>
    <w:rsid w:val="009A21C8"/>
    <w:rsid w:val="009A2645"/>
    <w:rsid w:val="009A29B3"/>
    <w:rsid w:val="009A2E69"/>
    <w:rsid w:val="009A31E9"/>
    <w:rsid w:val="009A33EF"/>
    <w:rsid w:val="009A33F0"/>
    <w:rsid w:val="009A3B0D"/>
    <w:rsid w:val="009A3CE1"/>
    <w:rsid w:val="009A4ACA"/>
    <w:rsid w:val="009A5C3B"/>
    <w:rsid w:val="009A64AA"/>
    <w:rsid w:val="009A6574"/>
    <w:rsid w:val="009B08B6"/>
    <w:rsid w:val="009B0A41"/>
    <w:rsid w:val="009B17E6"/>
    <w:rsid w:val="009B2051"/>
    <w:rsid w:val="009B2AE9"/>
    <w:rsid w:val="009B2CCA"/>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1634"/>
    <w:rsid w:val="009D240A"/>
    <w:rsid w:val="009D331C"/>
    <w:rsid w:val="009D444F"/>
    <w:rsid w:val="009D4A84"/>
    <w:rsid w:val="009D5192"/>
    <w:rsid w:val="009D698E"/>
    <w:rsid w:val="009E1C0E"/>
    <w:rsid w:val="009E1EB6"/>
    <w:rsid w:val="009E200F"/>
    <w:rsid w:val="009E229D"/>
    <w:rsid w:val="009E23C5"/>
    <w:rsid w:val="009E2C4E"/>
    <w:rsid w:val="009E2DAA"/>
    <w:rsid w:val="009E3286"/>
    <w:rsid w:val="009E3489"/>
    <w:rsid w:val="009E41D5"/>
    <w:rsid w:val="009E4210"/>
    <w:rsid w:val="009E45BC"/>
    <w:rsid w:val="009E4A05"/>
    <w:rsid w:val="009E4B10"/>
    <w:rsid w:val="009E4C52"/>
    <w:rsid w:val="009E53C2"/>
    <w:rsid w:val="009E5646"/>
    <w:rsid w:val="009E58F3"/>
    <w:rsid w:val="009E5976"/>
    <w:rsid w:val="009E5AF5"/>
    <w:rsid w:val="009E5D35"/>
    <w:rsid w:val="009E5E17"/>
    <w:rsid w:val="009E63B9"/>
    <w:rsid w:val="009E658B"/>
    <w:rsid w:val="009F01FE"/>
    <w:rsid w:val="009F0712"/>
    <w:rsid w:val="009F0865"/>
    <w:rsid w:val="009F155C"/>
    <w:rsid w:val="009F1E03"/>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DDA"/>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C38"/>
    <w:rsid w:val="00A25F05"/>
    <w:rsid w:val="00A263C6"/>
    <w:rsid w:val="00A26603"/>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59A9"/>
    <w:rsid w:val="00A36541"/>
    <w:rsid w:val="00A40227"/>
    <w:rsid w:val="00A40E01"/>
    <w:rsid w:val="00A4171B"/>
    <w:rsid w:val="00A41E43"/>
    <w:rsid w:val="00A42145"/>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856"/>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418"/>
    <w:rsid w:val="00A66938"/>
    <w:rsid w:val="00A66B4B"/>
    <w:rsid w:val="00A66D04"/>
    <w:rsid w:val="00A67D68"/>
    <w:rsid w:val="00A70DDB"/>
    <w:rsid w:val="00A70EB8"/>
    <w:rsid w:val="00A71AFD"/>
    <w:rsid w:val="00A71BE2"/>
    <w:rsid w:val="00A72295"/>
    <w:rsid w:val="00A7257B"/>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4CA2"/>
    <w:rsid w:val="00A85244"/>
    <w:rsid w:val="00A854EF"/>
    <w:rsid w:val="00A860F6"/>
    <w:rsid w:val="00A86A82"/>
    <w:rsid w:val="00A8748B"/>
    <w:rsid w:val="00A90025"/>
    <w:rsid w:val="00A9030E"/>
    <w:rsid w:val="00A90C07"/>
    <w:rsid w:val="00A91294"/>
    <w:rsid w:val="00A91A64"/>
    <w:rsid w:val="00A91BF8"/>
    <w:rsid w:val="00A91C99"/>
    <w:rsid w:val="00A925B4"/>
    <w:rsid w:val="00A926A1"/>
    <w:rsid w:val="00A92A27"/>
    <w:rsid w:val="00A938E6"/>
    <w:rsid w:val="00A93B97"/>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848"/>
    <w:rsid w:val="00AD3990"/>
    <w:rsid w:val="00AD3A1F"/>
    <w:rsid w:val="00AD3CAD"/>
    <w:rsid w:val="00AD413D"/>
    <w:rsid w:val="00AD5069"/>
    <w:rsid w:val="00AD54AB"/>
    <w:rsid w:val="00AD54B8"/>
    <w:rsid w:val="00AD6901"/>
    <w:rsid w:val="00AD6ADD"/>
    <w:rsid w:val="00AD7971"/>
    <w:rsid w:val="00AE009E"/>
    <w:rsid w:val="00AE06ED"/>
    <w:rsid w:val="00AE1792"/>
    <w:rsid w:val="00AE1E45"/>
    <w:rsid w:val="00AE1ECE"/>
    <w:rsid w:val="00AE2112"/>
    <w:rsid w:val="00AE22A0"/>
    <w:rsid w:val="00AE2ABF"/>
    <w:rsid w:val="00AE2F67"/>
    <w:rsid w:val="00AE2F7E"/>
    <w:rsid w:val="00AE3775"/>
    <w:rsid w:val="00AE394E"/>
    <w:rsid w:val="00AE3FBF"/>
    <w:rsid w:val="00AE42C8"/>
    <w:rsid w:val="00AE4914"/>
    <w:rsid w:val="00AE4DC1"/>
    <w:rsid w:val="00AE516B"/>
    <w:rsid w:val="00AE5E52"/>
    <w:rsid w:val="00AE5F5C"/>
    <w:rsid w:val="00AE6B28"/>
    <w:rsid w:val="00AE732B"/>
    <w:rsid w:val="00AE776C"/>
    <w:rsid w:val="00AE7A30"/>
    <w:rsid w:val="00AF1890"/>
    <w:rsid w:val="00AF2015"/>
    <w:rsid w:val="00AF2095"/>
    <w:rsid w:val="00AF2227"/>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61C8"/>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2523"/>
    <w:rsid w:val="00B331DE"/>
    <w:rsid w:val="00B332DB"/>
    <w:rsid w:val="00B338C5"/>
    <w:rsid w:val="00B34359"/>
    <w:rsid w:val="00B3465B"/>
    <w:rsid w:val="00B346BF"/>
    <w:rsid w:val="00B3470B"/>
    <w:rsid w:val="00B3505E"/>
    <w:rsid w:val="00B35EF8"/>
    <w:rsid w:val="00B36FD9"/>
    <w:rsid w:val="00B3749F"/>
    <w:rsid w:val="00B375FC"/>
    <w:rsid w:val="00B37818"/>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0A7"/>
    <w:rsid w:val="00BA0682"/>
    <w:rsid w:val="00BA0943"/>
    <w:rsid w:val="00BA0C25"/>
    <w:rsid w:val="00BA1416"/>
    <w:rsid w:val="00BA185F"/>
    <w:rsid w:val="00BA1890"/>
    <w:rsid w:val="00BA299A"/>
    <w:rsid w:val="00BA3B40"/>
    <w:rsid w:val="00BA3B5A"/>
    <w:rsid w:val="00BA407C"/>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A95"/>
    <w:rsid w:val="00BB7BBD"/>
    <w:rsid w:val="00BB7D17"/>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D0858"/>
    <w:rsid w:val="00BD088E"/>
    <w:rsid w:val="00BD1281"/>
    <w:rsid w:val="00BD1EF4"/>
    <w:rsid w:val="00BD2D11"/>
    <w:rsid w:val="00BD333C"/>
    <w:rsid w:val="00BD337C"/>
    <w:rsid w:val="00BD3AE1"/>
    <w:rsid w:val="00BD3E27"/>
    <w:rsid w:val="00BD3EC0"/>
    <w:rsid w:val="00BD423F"/>
    <w:rsid w:val="00BD42CE"/>
    <w:rsid w:val="00BD4491"/>
    <w:rsid w:val="00BD4A29"/>
    <w:rsid w:val="00BD4C57"/>
    <w:rsid w:val="00BD4CE4"/>
    <w:rsid w:val="00BD4FAC"/>
    <w:rsid w:val="00BD51DE"/>
    <w:rsid w:val="00BE02B4"/>
    <w:rsid w:val="00BE04FE"/>
    <w:rsid w:val="00BE05B6"/>
    <w:rsid w:val="00BE1000"/>
    <w:rsid w:val="00BE1219"/>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07762"/>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20531"/>
    <w:rsid w:val="00C20BD5"/>
    <w:rsid w:val="00C22244"/>
    <w:rsid w:val="00C223EF"/>
    <w:rsid w:val="00C2253B"/>
    <w:rsid w:val="00C2255D"/>
    <w:rsid w:val="00C22718"/>
    <w:rsid w:val="00C22B9D"/>
    <w:rsid w:val="00C240A3"/>
    <w:rsid w:val="00C25681"/>
    <w:rsid w:val="00C26CD4"/>
    <w:rsid w:val="00C275B1"/>
    <w:rsid w:val="00C31852"/>
    <w:rsid w:val="00C3187D"/>
    <w:rsid w:val="00C328B1"/>
    <w:rsid w:val="00C32C8F"/>
    <w:rsid w:val="00C32CA6"/>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11"/>
    <w:rsid w:val="00C44ED6"/>
    <w:rsid w:val="00C452CD"/>
    <w:rsid w:val="00C456D7"/>
    <w:rsid w:val="00C46C28"/>
    <w:rsid w:val="00C46D6A"/>
    <w:rsid w:val="00C47466"/>
    <w:rsid w:val="00C47944"/>
    <w:rsid w:val="00C47E13"/>
    <w:rsid w:val="00C5011A"/>
    <w:rsid w:val="00C507C9"/>
    <w:rsid w:val="00C50DF6"/>
    <w:rsid w:val="00C5117A"/>
    <w:rsid w:val="00C51760"/>
    <w:rsid w:val="00C51916"/>
    <w:rsid w:val="00C5217C"/>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D86"/>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56F"/>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32F4"/>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6F"/>
    <w:rsid w:val="00CA1CE6"/>
    <w:rsid w:val="00CA1D72"/>
    <w:rsid w:val="00CA1E61"/>
    <w:rsid w:val="00CA2185"/>
    <w:rsid w:val="00CA24D7"/>
    <w:rsid w:val="00CA27C0"/>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989"/>
    <w:rsid w:val="00CF6AEE"/>
    <w:rsid w:val="00CF6C02"/>
    <w:rsid w:val="00CF75E7"/>
    <w:rsid w:val="00D00775"/>
    <w:rsid w:val="00D009C6"/>
    <w:rsid w:val="00D013E9"/>
    <w:rsid w:val="00D01722"/>
    <w:rsid w:val="00D01830"/>
    <w:rsid w:val="00D019DB"/>
    <w:rsid w:val="00D02A5C"/>
    <w:rsid w:val="00D02C40"/>
    <w:rsid w:val="00D03718"/>
    <w:rsid w:val="00D03A33"/>
    <w:rsid w:val="00D03A8A"/>
    <w:rsid w:val="00D050B0"/>
    <w:rsid w:val="00D0513A"/>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3917"/>
    <w:rsid w:val="00D34000"/>
    <w:rsid w:val="00D35D5A"/>
    <w:rsid w:val="00D35F9F"/>
    <w:rsid w:val="00D3626A"/>
    <w:rsid w:val="00D369A8"/>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577E"/>
    <w:rsid w:val="00D55E5B"/>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AC1"/>
    <w:rsid w:val="00D95FE1"/>
    <w:rsid w:val="00D96075"/>
    <w:rsid w:val="00D966C9"/>
    <w:rsid w:val="00D975EB"/>
    <w:rsid w:val="00D9788A"/>
    <w:rsid w:val="00D97EE0"/>
    <w:rsid w:val="00DA0591"/>
    <w:rsid w:val="00DA0E18"/>
    <w:rsid w:val="00DA1378"/>
    <w:rsid w:val="00DA1F25"/>
    <w:rsid w:val="00DA2642"/>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2F00"/>
    <w:rsid w:val="00DB335A"/>
    <w:rsid w:val="00DB351A"/>
    <w:rsid w:val="00DB39F0"/>
    <w:rsid w:val="00DB3A47"/>
    <w:rsid w:val="00DB3D92"/>
    <w:rsid w:val="00DB403C"/>
    <w:rsid w:val="00DB449C"/>
    <w:rsid w:val="00DB4513"/>
    <w:rsid w:val="00DB4547"/>
    <w:rsid w:val="00DB47E8"/>
    <w:rsid w:val="00DB48BC"/>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63F"/>
    <w:rsid w:val="00DC38E0"/>
    <w:rsid w:val="00DC49AC"/>
    <w:rsid w:val="00DC4E5E"/>
    <w:rsid w:val="00DC51B4"/>
    <w:rsid w:val="00DC5EC2"/>
    <w:rsid w:val="00DC61F5"/>
    <w:rsid w:val="00DC63D3"/>
    <w:rsid w:val="00DC63D7"/>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E7F5F"/>
    <w:rsid w:val="00DF0205"/>
    <w:rsid w:val="00DF11BA"/>
    <w:rsid w:val="00DF192B"/>
    <w:rsid w:val="00DF247E"/>
    <w:rsid w:val="00DF2733"/>
    <w:rsid w:val="00DF2800"/>
    <w:rsid w:val="00DF3183"/>
    <w:rsid w:val="00DF34FE"/>
    <w:rsid w:val="00DF4D29"/>
    <w:rsid w:val="00DF5E4B"/>
    <w:rsid w:val="00DF5F30"/>
    <w:rsid w:val="00DF6BE6"/>
    <w:rsid w:val="00DF6CD2"/>
    <w:rsid w:val="00DF70CE"/>
    <w:rsid w:val="00DF747F"/>
    <w:rsid w:val="00DF777C"/>
    <w:rsid w:val="00DF7A45"/>
    <w:rsid w:val="00DF7ED2"/>
    <w:rsid w:val="00E00A55"/>
    <w:rsid w:val="00E00AC0"/>
    <w:rsid w:val="00E03203"/>
    <w:rsid w:val="00E03EBD"/>
    <w:rsid w:val="00E04778"/>
    <w:rsid w:val="00E04F40"/>
    <w:rsid w:val="00E053E3"/>
    <w:rsid w:val="00E0576C"/>
    <w:rsid w:val="00E05CAD"/>
    <w:rsid w:val="00E0723E"/>
    <w:rsid w:val="00E074BE"/>
    <w:rsid w:val="00E07F50"/>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5DBE"/>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16"/>
    <w:rsid w:val="00E51E73"/>
    <w:rsid w:val="00E51F46"/>
    <w:rsid w:val="00E52365"/>
    <w:rsid w:val="00E524D6"/>
    <w:rsid w:val="00E52EC8"/>
    <w:rsid w:val="00E5320A"/>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162"/>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1743"/>
    <w:rsid w:val="00EB19F9"/>
    <w:rsid w:val="00EB241D"/>
    <w:rsid w:val="00EB2D87"/>
    <w:rsid w:val="00EB2DCD"/>
    <w:rsid w:val="00EB2E14"/>
    <w:rsid w:val="00EB3142"/>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2D72"/>
    <w:rsid w:val="00EF36C6"/>
    <w:rsid w:val="00EF4108"/>
    <w:rsid w:val="00EF4228"/>
    <w:rsid w:val="00EF43A6"/>
    <w:rsid w:val="00EF44AC"/>
    <w:rsid w:val="00EF4694"/>
    <w:rsid w:val="00EF4A10"/>
    <w:rsid w:val="00EF4F31"/>
    <w:rsid w:val="00EF51F9"/>
    <w:rsid w:val="00EF5E46"/>
    <w:rsid w:val="00EF5FE4"/>
    <w:rsid w:val="00EF6523"/>
    <w:rsid w:val="00EF69F9"/>
    <w:rsid w:val="00EF7502"/>
    <w:rsid w:val="00F01C15"/>
    <w:rsid w:val="00F02218"/>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28EE"/>
    <w:rsid w:val="00F23D56"/>
    <w:rsid w:val="00F23E98"/>
    <w:rsid w:val="00F24293"/>
    <w:rsid w:val="00F246E8"/>
    <w:rsid w:val="00F24E08"/>
    <w:rsid w:val="00F254C9"/>
    <w:rsid w:val="00F271E2"/>
    <w:rsid w:val="00F274EE"/>
    <w:rsid w:val="00F27706"/>
    <w:rsid w:val="00F27AF8"/>
    <w:rsid w:val="00F27B45"/>
    <w:rsid w:val="00F27DFB"/>
    <w:rsid w:val="00F306D6"/>
    <w:rsid w:val="00F30E03"/>
    <w:rsid w:val="00F3182D"/>
    <w:rsid w:val="00F320B0"/>
    <w:rsid w:val="00F326B2"/>
    <w:rsid w:val="00F32B07"/>
    <w:rsid w:val="00F357EE"/>
    <w:rsid w:val="00F360E9"/>
    <w:rsid w:val="00F40745"/>
    <w:rsid w:val="00F41DEF"/>
    <w:rsid w:val="00F429B6"/>
    <w:rsid w:val="00F42DFF"/>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67716"/>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A71"/>
    <w:rsid w:val="00FB4F3C"/>
    <w:rsid w:val="00FB5081"/>
    <w:rsid w:val="00FB52A1"/>
    <w:rsid w:val="00FB6001"/>
    <w:rsid w:val="00FB6659"/>
    <w:rsid w:val="00FC0687"/>
    <w:rsid w:val="00FC09AF"/>
    <w:rsid w:val="00FC0E66"/>
    <w:rsid w:val="00FC1C03"/>
    <w:rsid w:val="00FC1EEE"/>
    <w:rsid w:val="00FC22E8"/>
    <w:rsid w:val="00FC2560"/>
    <w:rsid w:val="00FC2F6F"/>
    <w:rsid w:val="00FC31B9"/>
    <w:rsid w:val="00FC396F"/>
    <w:rsid w:val="00FC3AEE"/>
    <w:rsid w:val="00FC3CC0"/>
    <w:rsid w:val="00FC3FFB"/>
    <w:rsid w:val="00FC4453"/>
    <w:rsid w:val="00FC44B4"/>
    <w:rsid w:val="00FC45AC"/>
    <w:rsid w:val="00FC4B60"/>
    <w:rsid w:val="00FC5774"/>
    <w:rsid w:val="00FC5DD9"/>
    <w:rsid w:val="00FC5F3F"/>
    <w:rsid w:val="00FC6D93"/>
    <w:rsid w:val="00FD0411"/>
    <w:rsid w:val="00FD06C1"/>
    <w:rsid w:val="00FD0A05"/>
    <w:rsid w:val="00FD175D"/>
    <w:rsid w:val="00FD1B93"/>
    <w:rsid w:val="00FD27CB"/>
    <w:rsid w:val="00FD2D68"/>
    <w:rsid w:val="00FD3195"/>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3D68"/>
    <w:rsid w:val="00FE4CD0"/>
    <w:rsid w:val="00FE5CE0"/>
    <w:rsid w:val="00FE6A86"/>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320D70"/>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32F4"/>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C932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2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68936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64948948">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0509324">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3368265">
      <w:bodyDiv w:val="1"/>
      <w:marLeft w:val="0"/>
      <w:marRight w:val="0"/>
      <w:marTop w:val="0"/>
      <w:marBottom w:val="0"/>
      <w:divBdr>
        <w:top w:val="none" w:sz="0" w:space="0" w:color="auto"/>
        <w:left w:val="none" w:sz="0" w:space="0" w:color="auto"/>
        <w:bottom w:val="none" w:sz="0" w:space="0" w:color="auto"/>
        <w:right w:val="none" w:sz="0" w:space="0" w:color="auto"/>
      </w:divBdr>
    </w:div>
    <w:div w:id="1642298461">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5AIRPNAIUNRU-1830940522-2733</_dlc_DocId>
    <_dlc_DocIdUrl xmlns="71c5aaf6-e6ce-465b-b873-5148d2a4c105">
      <Url>https://nokia.sharepoint.com/sites/c5g/5gradio/_layouts/15/DocIdRedir.aspx?ID=5AIRPNAIUNRU-1830940522-2733</Url>
      <Description>5AIRPNAIUNRU-1830940522-2733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2.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4.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5.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1E8373C-5A58-4F3A-A20D-16F5BEEC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Sigen Ye</cp:lastModifiedBy>
  <cp:revision>24</cp:revision>
  <cp:lastPrinted>2018-02-07T08:00:00Z</cp:lastPrinted>
  <dcterms:created xsi:type="dcterms:W3CDTF">2018-02-16T11:57:00Z</dcterms:created>
  <dcterms:modified xsi:type="dcterms:W3CDTF">2018-02-16T21:53:00Z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680637b9-f21c-4a42-bfa2-9258cd5379bc</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