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41D33B40" w:rsidR="00D94F32" w:rsidRPr="004A206B" w:rsidRDefault="0045740A" w:rsidP="00D94F32">
      <w:pPr>
        <w:pStyle w:val="a3"/>
        <w:tabs>
          <w:tab w:val="right" w:pos="8280"/>
          <w:tab w:val="right" w:pos="9781"/>
        </w:tabs>
        <w:ind w:right="-58"/>
        <w:rPr>
          <w:rFonts w:eastAsia="SimSun" w:cs="Arial"/>
          <w:bCs/>
          <w:sz w:val="20"/>
          <w:lang w:eastAsia="zh-CN"/>
        </w:rPr>
      </w:pPr>
      <w:r w:rsidRPr="004A206B">
        <w:rPr>
          <w:rFonts w:cs="Arial"/>
          <w:bCs/>
          <w:sz w:val="20"/>
          <w:lang w:eastAsia="ja-JP"/>
        </w:rPr>
        <w:fldChar w:fldCharType="begin"/>
      </w:r>
      <w:r w:rsidRPr="004A206B">
        <w:rPr>
          <w:rFonts w:cs="Arial"/>
          <w:bCs/>
          <w:sz w:val="20"/>
          <w:lang w:eastAsia="ja-JP"/>
        </w:rPr>
        <w:instrText xml:space="preserve"> MACROBUTTON MTEditEquationSection2 </w:instrText>
      </w:r>
      <w:r w:rsidRPr="004A206B">
        <w:rPr>
          <w:rStyle w:val="MTEquationSection"/>
        </w:rPr>
        <w:instrText>Equation Chapter 1 Section 1</w:instrText>
      </w:r>
      <w:r w:rsidRPr="004A206B">
        <w:rPr>
          <w:rFonts w:cs="Arial"/>
          <w:bCs/>
          <w:sz w:val="20"/>
          <w:lang w:eastAsia="ja-JP"/>
        </w:rPr>
        <w:fldChar w:fldCharType="begin"/>
      </w:r>
      <w:r w:rsidRPr="004A206B">
        <w:rPr>
          <w:rFonts w:cs="Arial"/>
          <w:bCs/>
          <w:sz w:val="20"/>
          <w:lang w:eastAsia="ja-JP"/>
        </w:rPr>
        <w:instrText xml:space="preserve"> SEQ MTEqn \r \h \* MERGEFORMAT </w:instrText>
      </w:r>
      <w:r w:rsidRPr="004A206B">
        <w:rPr>
          <w:rFonts w:cs="Arial"/>
          <w:bCs/>
          <w:sz w:val="20"/>
          <w:lang w:eastAsia="ja-JP"/>
        </w:rPr>
        <w:fldChar w:fldCharType="end"/>
      </w:r>
      <w:r w:rsidRPr="004A206B">
        <w:rPr>
          <w:rFonts w:cs="Arial"/>
          <w:bCs/>
          <w:sz w:val="20"/>
          <w:lang w:eastAsia="ja-JP"/>
        </w:rPr>
        <w:fldChar w:fldCharType="begin"/>
      </w:r>
      <w:r w:rsidRPr="004A206B">
        <w:rPr>
          <w:rFonts w:cs="Arial"/>
          <w:bCs/>
          <w:sz w:val="20"/>
          <w:lang w:eastAsia="ja-JP"/>
        </w:rPr>
        <w:instrText xml:space="preserve"> SEQ MTSec \r 1 \h \* MERGEFORMAT </w:instrText>
      </w:r>
      <w:r w:rsidRPr="004A206B">
        <w:rPr>
          <w:rFonts w:cs="Arial"/>
          <w:bCs/>
          <w:sz w:val="20"/>
          <w:lang w:eastAsia="ja-JP"/>
        </w:rPr>
        <w:fldChar w:fldCharType="end"/>
      </w:r>
      <w:r w:rsidRPr="004A206B">
        <w:rPr>
          <w:rFonts w:cs="Arial"/>
          <w:bCs/>
          <w:sz w:val="20"/>
          <w:lang w:eastAsia="ja-JP"/>
        </w:rPr>
        <w:fldChar w:fldCharType="begin"/>
      </w:r>
      <w:r w:rsidRPr="004A206B">
        <w:rPr>
          <w:rFonts w:cs="Arial"/>
          <w:bCs/>
          <w:sz w:val="20"/>
          <w:lang w:eastAsia="ja-JP"/>
        </w:rPr>
        <w:instrText xml:space="preserve"> SEQ MTChap \r 1 \h \* MERGEFORMAT </w:instrText>
      </w:r>
      <w:r w:rsidRPr="004A206B">
        <w:rPr>
          <w:rFonts w:cs="Arial"/>
          <w:bCs/>
          <w:sz w:val="20"/>
          <w:lang w:eastAsia="ja-JP"/>
        </w:rPr>
        <w:fldChar w:fldCharType="end"/>
      </w:r>
      <w:r w:rsidRPr="004A206B">
        <w:rPr>
          <w:rFonts w:cs="Arial"/>
          <w:bCs/>
          <w:sz w:val="20"/>
          <w:lang w:eastAsia="ja-JP"/>
        </w:rPr>
        <w:fldChar w:fldCharType="end"/>
      </w:r>
      <w:r w:rsidR="003B3942" w:rsidRPr="004A206B">
        <w:rPr>
          <w:rFonts w:cs="Arial"/>
          <w:bCs/>
          <w:sz w:val="20"/>
          <w:lang w:eastAsia="ja-JP"/>
        </w:rPr>
        <w:t>3GPP TSG RAN WG1</w:t>
      </w:r>
      <w:r w:rsidR="00C17CC5" w:rsidRPr="004A206B">
        <w:rPr>
          <w:rFonts w:cs="Arial"/>
          <w:bCs/>
          <w:sz w:val="20"/>
          <w:lang w:eastAsia="ja-JP"/>
        </w:rPr>
        <w:t xml:space="preserve"> </w:t>
      </w:r>
      <w:r w:rsidR="00B8022E">
        <w:rPr>
          <w:rFonts w:cs="Arial"/>
          <w:bCs/>
          <w:sz w:val="20"/>
          <w:lang w:eastAsia="ja-JP"/>
        </w:rPr>
        <w:t>Meeting #92</w:t>
      </w:r>
      <w:r w:rsidR="00D94F32" w:rsidRPr="004A206B">
        <w:rPr>
          <w:rFonts w:cs="Arial"/>
          <w:bCs/>
          <w:sz w:val="20"/>
          <w:lang w:eastAsia="ja-JP"/>
        </w:rPr>
        <w:t xml:space="preserve">                 </w:t>
      </w:r>
      <w:r w:rsidR="00D94F32" w:rsidRPr="004A206B">
        <w:rPr>
          <w:rFonts w:cs="Arial"/>
          <w:bCs/>
          <w:sz w:val="20"/>
          <w:lang w:eastAsia="ja-JP"/>
        </w:rPr>
        <w:tab/>
      </w:r>
      <w:r w:rsidR="00D94F32" w:rsidRPr="004A206B">
        <w:rPr>
          <w:rFonts w:cs="Arial"/>
          <w:bCs/>
          <w:sz w:val="20"/>
          <w:lang w:eastAsia="ja-JP"/>
        </w:rPr>
        <w:tab/>
      </w:r>
      <w:r w:rsidR="00032B9D" w:rsidRPr="00032B9D">
        <w:rPr>
          <w:rFonts w:cs="Arial"/>
          <w:bCs/>
          <w:sz w:val="20"/>
          <w:lang w:eastAsia="ja-JP"/>
        </w:rPr>
        <w:t>R1-1802506</w:t>
      </w:r>
    </w:p>
    <w:p w14:paraId="1B7D766E" w14:textId="57155417" w:rsidR="003B3942" w:rsidRPr="00C01D08" w:rsidRDefault="00F818C2" w:rsidP="003B3942">
      <w:pPr>
        <w:pStyle w:val="TdocHeader2"/>
        <w:jc w:val="left"/>
        <w:rPr>
          <w:rFonts w:eastAsia="SimSun"/>
          <w:lang w:eastAsia="zh-CN"/>
        </w:rPr>
      </w:pPr>
      <w:r w:rsidRPr="00F818C2">
        <w:rPr>
          <w:rFonts w:eastAsia="ＭＳ 明朝" w:cs="Arial"/>
          <w:bCs/>
          <w:sz w:val="20"/>
          <w:lang w:eastAsia="ja-JP"/>
        </w:rPr>
        <w:t xml:space="preserve">Athens, Greece, February 26th – March 2nd, 2018 </w:t>
      </w:r>
    </w:p>
    <w:p w14:paraId="3735256A" w14:textId="77777777" w:rsidR="0045740A" w:rsidRPr="00C01D08" w:rsidRDefault="0045740A" w:rsidP="001D6395">
      <w:pPr>
        <w:pStyle w:val="a3"/>
        <w:tabs>
          <w:tab w:val="right" w:pos="8280"/>
          <w:tab w:val="right" w:pos="9781"/>
        </w:tabs>
        <w:ind w:right="-58"/>
        <w:rPr>
          <w:lang w:eastAsia="ja-JP"/>
        </w:rPr>
      </w:pPr>
    </w:p>
    <w:p w14:paraId="0CE929FA" w14:textId="77777777" w:rsidR="0045740A" w:rsidRPr="004A206B" w:rsidRDefault="0045740A" w:rsidP="0045740A">
      <w:pPr>
        <w:pStyle w:val="TdocHeader2"/>
        <w:spacing w:after="60"/>
        <w:jc w:val="left"/>
        <w:rPr>
          <w:rFonts w:eastAsia="ＭＳ 明朝"/>
          <w:sz w:val="20"/>
          <w:lang w:eastAsia="ja-JP"/>
        </w:rPr>
      </w:pPr>
      <w:r w:rsidRPr="004A206B">
        <w:rPr>
          <w:sz w:val="20"/>
        </w:rPr>
        <w:t>Source:</w:t>
      </w:r>
      <w:r w:rsidRPr="004A206B">
        <w:rPr>
          <w:sz w:val="20"/>
        </w:rPr>
        <w:tab/>
      </w:r>
      <w:r w:rsidRPr="004A206B">
        <w:rPr>
          <w:b w:val="0"/>
          <w:sz w:val="20"/>
        </w:rPr>
        <w:t>Panasonic</w:t>
      </w:r>
    </w:p>
    <w:p w14:paraId="67FC26D2" w14:textId="6649F4A1" w:rsidR="0045740A" w:rsidRPr="004A206B" w:rsidRDefault="0045740A" w:rsidP="0045740A">
      <w:pPr>
        <w:pStyle w:val="TdocHeader2"/>
        <w:spacing w:after="60"/>
        <w:jc w:val="left"/>
        <w:rPr>
          <w:rFonts w:eastAsiaTheme="minorEastAsia"/>
          <w:b w:val="0"/>
          <w:sz w:val="20"/>
          <w:lang w:eastAsia="ja-JP"/>
        </w:rPr>
      </w:pPr>
      <w:r w:rsidRPr="004A206B">
        <w:rPr>
          <w:sz w:val="20"/>
        </w:rPr>
        <w:t xml:space="preserve">Title: </w:t>
      </w:r>
      <w:r w:rsidRPr="004A206B">
        <w:rPr>
          <w:sz w:val="20"/>
        </w:rPr>
        <w:tab/>
      </w:r>
      <w:r w:rsidR="00B05B2B">
        <w:rPr>
          <w:b w:val="0"/>
          <w:sz w:val="20"/>
        </w:rPr>
        <w:t>D</w:t>
      </w:r>
      <w:r w:rsidR="00F818C2">
        <w:rPr>
          <w:b w:val="0"/>
          <w:sz w:val="20"/>
        </w:rPr>
        <w:t xml:space="preserve">CI </w:t>
      </w:r>
      <w:r w:rsidR="00C738A4">
        <w:rPr>
          <w:b w:val="0"/>
          <w:sz w:val="20"/>
        </w:rPr>
        <w:t>size alignment</w:t>
      </w:r>
      <w:r w:rsidR="00E937DA">
        <w:rPr>
          <w:b w:val="0"/>
          <w:sz w:val="20"/>
        </w:rPr>
        <w:t xml:space="preserve"> in CSS</w:t>
      </w:r>
      <w:bookmarkStart w:id="0" w:name="_GoBack"/>
      <w:bookmarkEnd w:id="0"/>
    </w:p>
    <w:p w14:paraId="4F6A3FAC" w14:textId="2C583DB4" w:rsidR="0045740A" w:rsidRPr="004A206B" w:rsidRDefault="0045740A" w:rsidP="0045740A">
      <w:pPr>
        <w:rPr>
          <w:rFonts w:eastAsiaTheme="minorEastAsia"/>
          <w:lang w:eastAsia="ja-JP"/>
        </w:rPr>
      </w:pPr>
      <w:r w:rsidRPr="004A206B">
        <w:rPr>
          <w:rFonts w:ascii="Arial" w:eastAsia="Batang" w:hAnsi="Arial"/>
          <w:b/>
        </w:rPr>
        <w:t>Agenda Item:</w:t>
      </w:r>
      <w:r w:rsidRPr="004A206B">
        <w:rPr>
          <w:rFonts w:ascii="Arial" w:eastAsia="Batang" w:hAnsi="Arial"/>
          <w:b/>
        </w:rPr>
        <w:tab/>
      </w:r>
      <w:r w:rsidRPr="004A206B">
        <w:rPr>
          <w:rFonts w:ascii="Arial" w:eastAsia="SimSun" w:hAnsi="Arial"/>
          <w:b/>
          <w:lang w:eastAsia="zh-CN"/>
        </w:rPr>
        <w:tab/>
      </w:r>
      <w:r w:rsidR="003950DB" w:rsidRPr="004A206B">
        <w:rPr>
          <w:rFonts w:ascii="Arial" w:eastAsia="Batang" w:hAnsi="Arial"/>
        </w:rPr>
        <w:t>7</w:t>
      </w:r>
      <w:r w:rsidR="003F117C" w:rsidRPr="004A206B">
        <w:rPr>
          <w:rFonts w:ascii="Arial" w:eastAsia="Batang" w:hAnsi="Arial"/>
        </w:rPr>
        <w:t>.</w:t>
      </w:r>
      <w:r w:rsidR="007A00FA">
        <w:rPr>
          <w:rFonts w:ascii="Arial" w:eastAsia="Batang" w:hAnsi="Arial"/>
        </w:rPr>
        <w:t>1.</w:t>
      </w:r>
      <w:r w:rsidR="003F117C" w:rsidRPr="004A206B">
        <w:rPr>
          <w:rFonts w:ascii="Arial" w:eastAsia="Batang" w:hAnsi="Arial"/>
        </w:rPr>
        <w:t>3.1.4</w:t>
      </w:r>
    </w:p>
    <w:p w14:paraId="3A198D37" w14:textId="77777777" w:rsidR="0045740A" w:rsidRPr="004A206B" w:rsidRDefault="0045740A" w:rsidP="0045740A">
      <w:pPr>
        <w:pStyle w:val="TdocHeader2"/>
        <w:jc w:val="left"/>
        <w:rPr>
          <w:rFonts w:eastAsiaTheme="minorEastAsia"/>
          <w:sz w:val="20"/>
          <w:lang w:eastAsia="ja-JP"/>
        </w:rPr>
      </w:pPr>
      <w:r w:rsidRPr="004A206B">
        <w:rPr>
          <w:sz w:val="20"/>
        </w:rPr>
        <w:t>Document for:</w:t>
      </w:r>
      <w:r w:rsidRPr="004A206B">
        <w:rPr>
          <w:sz w:val="20"/>
        </w:rPr>
        <w:tab/>
      </w:r>
      <w:r w:rsidRPr="004A206B">
        <w:rPr>
          <w:rFonts w:eastAsia="SimSun"/>
          <w:b w:val="0"/>
          <w:sz w:val="20"/>
          <w:lang w:eastAsia="zh-CN"/>
        </w:rPr>
        <w:t>Discussion</w:t>
      </w:r>
      <w:r w:rsidR="00B358B0" w:rsidRPr="004A206B">
        <w:rPr>
          <w:rFonts w:eastAsiaTheme="minorEastAsia"/>
          <w:b w:val="0"/>
          <w:sz w:val="20"/>
          <w:lang w:eastAsia="ja-JP"/>
        </w:rPr>
        <w:t>, Decision</w:t>
      </w:r>
    </w:p>
    <w:p w14:paraId="014B47C2" w14:textId="77777777" w:rsidR="0045740A" w:rsidRPr="004A206B" w:rsidRDefault="0045740A" w:rsidP="0045740A">
      <w:pPr>
        <w:pStyle w:val="TdocHeader2"/>
        <w:rPr>
          <w:rFonts w:ascii="Times New Roman" w:eastAsiaTheme="minorEastAsia" w:hAnsi="Times New Roman"/>
          <w:b w:val="0"/>
          <w:sz w:val="20"/>
          <w:lang w:eastAsia="ja-JP"/>
        </w:rPr>
      </w:pPr>
    </w:p>
    <w:p w14:paraId="400C899C" w14:textId="42B95AF8" w:rsidR="00ED4A22" w:rsidRPr="004A206B" w:rsidRDefault="001214C1" w:rsidP="00E23953">
      <w:pPr>
        <w:pStyle w:val="1"/>
        <w:tabs>
          <w:tab w:val="num" w:pos="426"/>
        </w:tabs>
        <w:ind w:left="426" w:hanging="426"/>
        <w:rPr>
          <w:rFonts w:eastAsiaTheme="minorEastAsia"/>
          <w:lang w:eastAsia="ja-JP"/>
        </w:rPr>
      </w:pPr>
      <w:r w:rsidRPr="004A206B">
        <w:rPr>
          <w:szCs w:val="36"/>
          <w:lang w:eastAsia="ja-JP"/>
        </w:rPr>
        <w:t>Introduction</w:t>
      </w:r>
    </w:p>
    <w:p w14:paraId="02F85687" w14:textId="26D8C4C5" w:rsidR="00290D7A" w:rsidRDefault="007448DA" w:rsidP="00F018D7">
      <w:pPr>
        <w:rPr>
          <w:rFonts w:eastAsiaTheme="minorEastAsia" w:cs="Arial"/>
          <w:lang w:eastAsia="ja-JP"/>
        </w:rPr>
      </w:pPr>
      <w:r w:rsidRPr="004A206B">
        <w:rPr>
          <w:rFonts w:eastAsiaTheme="minorEastAsia" w:cs="Arial"/>
          <w:lang w:eastAsia="ja-JP"/>
        </w:rPr>
        <w:t xml:space="preserve">This document </w:t>
      </w:r>
      <w:r w:rsidR="00952B3C" w:rsidRPr="004A206B">
        <w:rPr>
          <w:rFonts w:eastAsiaTheme="minorEastAsia" w:cs="Arial"/>
          <w:lang w:eastAsia="ja-JP"/>
        </w:rPr>
        <w:t>d</w:t>
      </w:r>
      <w:r w:rsidR="00952B3C">
        <w:rPr>
          <w:rFonts w:eastAsiaTheme="minorEastAsia" w:cs="Arial"/>
          <w:lang w:eastAsia="ja-JP"/>
        </w:rPr>
        <w:t>iscusses</w:t>
      </w:r>
      <w:r w:rsidR="00C90263">
        <w:rPr>
          <w:rFonts w:eastAsiaTheme="minorEastAsia" w:cs="Arial"/>
          <w:lang w:eastAsia="ja-JP"/>
        </w:rPr>
        <w:t xml:space="preserve"> two issues on DCI sizes</w:t>
      </w:r>
      <w:r w:rsidR="00952B3C">
        <w:rPr>
          <w:rFonts w:eastAsiaTheme="minorEastAsia" w:cs="Arial"/>
          <w:lang w:eastAsia="ja-JP"/>
        </w:rPr>
        <w:t>.</w:t>
      </w:r>
    </w:p>
    <w:p w14:paraId="2C45480A" w14:textId="48F55547" w:rsidR="00952B3C" w:rsidRDefault="00952B3C" w:rsidP="00952B3C">
      <w:pPr>
        <w:rPr>
          <w:rFonts w:eastAsiaTheme="minorEastAsia" w:cs="Arial"/>
          <w:lang w:eastAsia="ja-JP"/>
        </w:rPr>
      </w:pPr>
      <w:r>
        <w:rPr>
          <w:rFonts w:eastAsiaTheme="minorEastAsia" w:cs="Arial" w:hint="eastAsia"/>
          <w:lang w:eastAsia="ja-JP"/>
        </w:rPr>
        <w:t>1.</w:t>
      </w:r>
      <w:r>
        <w:rPr>
          <w:rFonts w:eastAsiaTheme="minorEastAsia" w:cs="Arial"/>
          <w:lang w:eastAsia="ja-JP"/>
        </w:rPr>
        <w:t xml:space="preserve"> </w:t>
      </w:r>
      <w:r w:rsidR="00685843">
        <w:rPr>
          <w:rFonts w:eastAsiaTheme="minorEastAsia" w:cs="Arial"/>
          <w:lang w:eastAsia="ja-JP"/>
        </w:rPr>
        <w:t>DCI size alignment in CSS</w:t>
      </w:r>
      <w:r w:rsidRPr="00952B3C">
        <w:rPr>
          <w:rFonts w:eastAsiaTheme="minorEastAsia" w:cs="Arial"/>
          <w:lang w:eastAsia="ja-JP"/>
        </w:rPr>
        <w:t xml:space="preserve"> </w:t>
      </w:r>
      <w:r>
        <w:rPr>
          <w:rFonts w:eastAsiaTheme="minorEastAsia" w:cs="Arial"/>
          <w:lang w:eastAsia="ja-JP"/>
        </w:rPr>
        <w:t>among multiple UEs and among multiple BWPs</w:t>
      </w:r>
    </w:p>
    <w:p w14:paraId="4CC1E60B" w14:textId="3EE99355" w:rsidR="00952B3C" w:rsidRPr="000800FB" w:rsidRDefault="00952B3C" w:rsidP="00952B3C">
      <w:pPr>
        <w:rPr>
          <w:rFonts w:eastAsiaTheme="minorEastAsia" w:cs="Arial"/>
          <w:lang w:eastAsia="ja-JP"/>
        </w:rPr>
      </w:pPr>
      <w:r>
        <w:rPr>
          <w:rFonts w:eastAsiaTheme="minorEastAsia" w:cs="Arial"/>
          <w:lang w:eastAsia="ja-JP"/>
        </w:rPr>
        <w:t xml:space="preserve">2. </w:t>
      </w:r>
      <w:r w:rsidR="00685843">
        <w:rPr>
          <w:rFonts w:eastAsiaTheme="minorEastAsia" w:cs="Arial"/>
          <w:lang w:eastAsia="ja-JP"/>
        </w:rPr>
        <w:t>DCI size alignment in CSS before and after RRC connection setup</w:t>
      </w:r>
    </w:p>
    <w:p w14:paraId="264D2293" w14:textId="77777777" w:rsidR="007A00FA" w:rsidRPr="00952B3C" w:rsidRDefault="007A00FA" w:rsidP="00F018D7">
      <w:pPr>
        <w:rPr>
          <w:rFonts w:eastAsiaTheme="minorEastAsia" w:cs="Arial"/>
          <w:lang w:eastAsia="ja-JP"/>
        </w:rPr>
      </w:pPr>
    </w:p>
    <w:p w14:paraId="22A8B6C4" w14:textId="456D1C79" w:rsidR="001214C1" w:rsidRPr="004A206B" w:rsidRDefault="00C2031E" w:rsidP="001214C1">
      <w:pPr>
        <w:pStyle w:val="1"/>
        <w:tabs>
          <w:tab w:val="num" w:pos="426"/>
        </w:tabs>
        <w:ind w:left="426" w:hanging="426"/>
        <w:rPr>
          <w:rFonts w:eastAsiaTheme="minorEastAsia"/>
          <w:lang w:eastAsia="ja-JP"/>
        </w:rPr>
      </w:pPr>
      <w:r>
        <w:rPr>
          <w:szCs w:val="36"/>
          <w:lang w:eastAsia="ja-JP"/>
        </w:rPr>
        <w:t>Discussion</w:t>
      </w:r>
    </w:p>
    <w:p w14:paraId="5AFAFBF0" w14:textId="141006A7" w:rsidR="00E1081E" w:rsidRPr="004A206B" w:rsidRDefault="000800FB" w:rsidP="00E1081E">
      <w:pPr>
        <w:rPr>
          <w:rFonts w:eastAsiaTheme="minorEastAsia" w:cs="Arial"/>
          <w:b/>
          <w:u w:val="single"/>
          <w:lang w:eastAsia="ja-JP"/>
        </w:rPr>
      </w:pPr>
      <w:r w:rsidRPr="000800FB">
        <w:rPr>
          <w:rFonts w:eastAsiaTheme="minorEastAsia" w:cs="Arial"/>
          <w:b/>
          <w:u w:val="single"/>
          <w:lang w:eastAsia="ja-JP"/>
        </w:rPr>
        <w:t>DCI size alignment in CSS among multiple UEs and among multiple BWPs</w:t>
      </w:r>
      <w:r w:rsidRPr="000800FB" w:rsidDel="000800FB">
        <w:rPr>
          <w:rFonts w:eastAsiaTheme="minorEastAsia" w:cs="Arial"/>
          <w:b/>
          <w:u w:val="single"/>
          <w:lang w:eastAsia="ja-JP"/>
        </w:rPr>
        <w:t xml:space="preserve"> </w:t>
      </w:r>
    </w:p>
    <w:p w14:paraId="5640B77A" w14:textId="45DBF7BB" w:rsidR="009248C1" w:rsidRDefault="00224D74" w:rsidP="00597564">
      <w:pPr>
        <w:ind w:left="400"/>
        <w:rPr>
          <w:rFonts w:eastAsiaTheme="minorEastAsia" w:cs="Arial"/>
          <w:lang w:eastAsia="ja-JP"/>
        </w:rPr>
      </w:pPr>
      <w:r>
        <w:rPr>
          <w:rFonts w:eastAsiaTheme="minorEastAsia" w:cs="Arial"/>
          <w:lang w:eastAsia="ja-JP"/>
        </w:rPr>
        <w:t xml:space="preserve">In </w:t>
      </w:r>
      <w:r w:rsidR="004D6551">
        <w:rPr>
          <w:rFonts w:eastAsiaTheme="minorEastAsia" w:cs="Arial"/>
          <w:lang w:eastAsia="ja-JP"/>
        </w:rPr>
        <w:t xml:space="preserve">the </w:t>
      </w:r>
      <w:r>
        <w:rPr>
          <w:rFonts w:eastAsiaTheme="minorEastAsia" w:cs="Arial"/>
          <w:lang w:eastAsia="ja-JP"/>
        </w:rPr>
        <w:t>RAN1 NR ad-hoc</w:t>
      </w:r>
      <w:r w:rsidR="004D6551">
        <w:rPr>
          <w:rFonts w:eastAsiaTheme="minorEastAsia" w:cs="Arial"/>
          <w:lang w:eastAsia="ja-JP"/>
        </w:rPr>
        <w:t xml:space="preserve"> 1801</w:t>
      </w:r>
      <w:r>
        <w:rPr>
          <w:rFonts w:eastAsiaTheme="minorEastAsia" w:cs="Arial"/>
          <w:lang w:eastAsia="ja-JP"/>
        </w:rPr>
        <w:t xml:space="preserve">, following was agreed. </w:t>
      </w:r>
    </w:p>
    <w:tbl>
      <w:tblPr>
        <w:tblStyle w:val="afb"/>
        <w:tblW w:w="0" w:type="auto"/>
        <w:tblInd w:w="400" w:type="dxa"/>
        <w:tblLook w:val="04A0" w:firstRow="1" w:lastRow="0" w:firstColumn="1" w:lastColumn="0" w:noHBand="0" w:noVBand="1"/>
      </w:tblPr>
      <w:tblGrid>
        <w:gridCol w:w="9230"/>
      </w:tblGrid>
      <w:tr w:rsidR="005546EA" w14:paraId="6072ACFF" w14:textId="77777777" w:rsidTr="005546EA">
        <w:tc>
          <w:tcPr>
            <w:tcW w:w="9630" w:type="dxa"/>
          </w:tcPr>
          <w:p w14:paraId="38104AF1" w14:textId="77777777" w:rsidR="005546EA" w:rsidRPr="00041508" w:rsidRDefault="005546EA" w:rsidP="00B2671F">
            <w:pPr>
              <w:spacing w:after="0"/>
              <w:rPr>
                <w:b/>
                <w:lang w:eastAsia="x-none"/>
              </w:rPr>
            </w:pPr>
            <w:r w:rsidRPr="00041508">
              <w:rPr>
                <w:highlight w:val="green"/>
                <w:lang w:eastAsia="x-none"/>
              </w:rPr>
              <w:t>Agreements</w:t>
            </w:r>
            <w:r w:rsidRPr="00041508">
              <w:rPr>
                <w:b/>
                <w:lang w:eastAsia="x-none"/>
              </w:rPr>
              <w:t>:</w:t>
            </w:r>
          </w:p>
          <w:p w14:paraId="6417C6BB" w14:textId="77777777" w:rsidR="005546EA" w:rsidRPr="00041508" w:rsidRDefault="005546EA" w:rsidP="00B2671F">
            <w:pPr>
              <w:pStyle w:val="af2"/>
              <w:spacing w:after="0"/>
            </w:pPr>
            <w:r w:rsidRPr="00041508">
              <w:t>For one carrier:</w:t>
            </w:r>
          </w:p>
          <w:p w14:paraId="7F2FE333" w14:textId="77777777" w:rsidR="005546EA" w:rsidRPr="00041508" w:rsidRDefault="005546EA" w:rsidP="00B2671F">
            <w:pPr>
              <w:pStyle w:val="af2"/>
              <w:numPr>
                <w:ilvl w:val="0"/>
                <w:numId w:val="47"/>
              </w:numPr>
              <w:spacing w:after="0"/>
              <w:jc w:val="both"/>
            </w:pPr>
            <w:r w:rsidRPr="00041508">
              <w:t>(</w:t>
            </w:r>
            <w:r w:rsidRPr="00041508">
              <w:rPr>
                <w:highlight w:val="darkYellow"/>
              </w:rPr>
              <w:t>working assumption</w:t>
            </w:r>
            <w:r w:rsidRPr="00041508">
              <w:t>) Payload sizes for 2-2 and 2-3 are padded (if needed) to match the size of formats 0-0/1-0 as defined by the initial BWP</w:t>
            </w:r>
          </w:p>
          <w:p w14:paraId="6B2C119D" w14:textId="77777777" w:rsidR="005546EA" w:rsidRPr="00041508" w:rsidRDefault="005546EA" w:rsidP="00B2671F">
            <w:pPr>
              <w:pStyle w:val="af2"/>
              <w:numPr>
                <w:ilvl w:val="0"/>
                <w:numId w:val="47"/>
              </w:numPr>
              <w:spacing w:after="0"/>
              <w:jc w:val="both"/>
            </w:pPr>
            <w:r w:rsidRPr="00041508">
              <w:t>(</w:t>
            </w:r>
            <w:r w:rsidRPr="00041508">
              <w:rPr>
                <w:highlight w:val="darkYellow"/>
              </w:rPr>
              <w:t>working assumption</w:t>
            </w:r>
            <w:r w:rsidRPr="00041508">
              <w:t>) At most 4 different DCI sizes are monitored by the UE per slot</w:t>
            </w:r>
          </w:p>
          <w:p w14:paraId="14AC9811" w14:textId="77777777" w:rsidR="005546EA" w:rsidRPr="00041508" w:rsidRDefault="005546EA" w:rsidP="00B2671F">
            <w:pPr>
              <w:pStyle w:val="af2"/>
              <w:numPr>
                <w:ilvl w:val="1"/>
                <w:numId w:val="47"/>
              </w:numPr>
              <w:spacing w:after="0"/>
              <w:jc w:val="both"/>
            </w:pPr>
            <w:r w:rsidRPr="00041508">
              <w:t>At most 3 different DCI sizes are monitored per C-RNTI per slot</w:t>
            </w:r>
          </w:p>
          <w:p w14:paraId="3C528A89" w14:textId="77777777" w:rsidR="005546EA" w:rsidRPr="00041508" w:rsidRDefault="005546EA" w:rsidP="00B2671F">
            <w:pPr>
              <w:pStyle w:val="af2"/>
              <w:numPr>
                <w:ilvl w:val="0"/>
                <w:numId w:val="47"/>
              </w:numPr>
              <w:spacing w:after="0"/>
              <w:jc w:val="both"/>
            </w:pPr>
            <w:r w:rsidRPr="00041508">
              <w:t>Payload size for formats 0-1 and 1-1 may differ</w:t>
            </w:r>
          </w:p>
          <w:p w14:paraId="459972C0" w14:textId="77777777" w:rsidR="005546EA" w:rsidRPr="00673F24" w:rsidRDefault="005546EA" w:rsidP="00B2671F">
            <w:pPr>
              <w:spacing w:after="0"/>
              <w:rPr>
                <w:b/>
                <w:lang w:eastAsia="x-none"/>
              </w:rPr>
            </w:pPr>
            <w:r w:rsidRPr="00673F24">
              <w:rPr>
                <w:highlight w:val="darkYellow"/>
                <w:lang w:eastAsia="x-none"/>
              </w:rPr>
              <w:t>Working assumption</w:t>
            </w:r>
            <w:r w:rsidRPr="00673F24">
              <w:rPr>
                <w:b/>
                <w:lang w:eastAsia="x-none"/>
              </w:rPr>
              <w:t>:</w:t>
            </w:r>
          </w:p>
          <w:p w14:paraId="2AD40672" w14:textId="77777777" w:rsidR="005546EA" w:rsidRPr="00673F24" w:rsidRDefault="005546EA" w:rsidP="00B2671F">
            <w:pPr>
              <w:pStyle w:val="af2"/>
              <w:numPr>
                <w:ilvl w:val="0"/>
                <w:numId w:val="48"/>
              </w:numPr>
              <w:spacing w:after="0"/>
              <w:jc w:val="both"/>
            </w:pPr>
            <w:r w:rsidRPr="00673F24">
              <w:t>The number of bits in the resource allocation field for format 0-0 and 1-0 depends on search space:</w:t>
            </w:r>
          </w:p>
          <w:p w14:paraId="2307FCF6" w14:textId="77777777" w:rsidR="005546EA" w:rsidRPr="00673F24" w:rsidRDefault="005546EA" w:rsidP="00B2671F">
            <w:pPr>
              <w:pStyle w:val="af2"/>
              <w:numPr>
                <w:ilvl w:val="1"/>
                <w:numId w:val="48"/>
              </w:numPr>
              <w:spacing w:after="0"/>
              <w:jc w:val="both"/>
            </w:pPr>
            <w:r w:rsidRPr="00673F24">
              <w:t>In CSS(s) in CORESET 0, use initial DL BWP for DCI size determination and RB numbering</w:t>
            </w:r>
          </w:p>
          <w:p w14:paraId="04803007" w14:textId="77777777" w:rsidR="005546EA" w:rsidRPr="00673F24" w:rsidRDefault="005546EA" w:rsidP="00B2671F">
            <w:pPr>
              <w:pStyle w:val="af2"/>
              <w:numPr>
                <w:ilvl w:val="2"/>
                <w:numId w:val="48"/>
              </w:numPr>
              <w:spacing w:after="0"/>
              <w:jc w:val="both"/>
            </w:pPr>
            <w:r w:rsidRPr="00673F24">
              <w:t>FFS If a UE monitors 0-0/1-0 in CSS in CORESET 0 in a slot, it does not monitor formats 0-0 or 1-0 (or 2-x family in case they have a size aligned with 0-0/1-0) in any other search space</w:t>
            </w:r>
          </w:p>
          <w:p w14:paraId="6EFC4F14" w14:textId="72D87C51" w:rsidR="005546EA" w:rsidRPr="005546EA" w:rsidRDefault="005546EA" w:rsidP="00B2671F">
            <w:pPr>
              <w:pStyle w:val="af2"/>
              <w:numPr>
                <w:ilvl w:val="1"/>
                <w:numId w:val="48"/>
              </w:numPr>
              <w:spacing w:after="0"/>
              <w:jc w:val="both"/>
            </w:pPr>
            <w:r w:rsidRPr="00673F24">
              <w:t>Otherwise, use active BWP for DCI size determination and RB numbering</w:t>
            </w:r>
          </w:p>
        </w:tc>
      </w:tr>
    </w:tbl>
    <w:p w14:paraId="1F998AF3" w14:textId="77777777" w:rsidR="009F696B" w:rsidRDefault="009F696B" w:rsidP="00597564">
      <w:pPr>
        <w:ind w:left="400"/>
        <w:rPr>
          <w:rFonts w:eastAsiaTheme="minorEastAsia" w:cs="Arial"/>
          <w:lang w:eastAsia="ja-JP"/>
        </w:rPr>
      </w:pPr>
    </w:p>
    <w:p w14:paraId="61CA5CD5" w14:textId="4155D680" w:rsidR="009F696B" w:rsidRDefault="009F696B" w:rsidP="00597564">
      <w:pPr>
        <w:ind w:left="400"/>
        <w:rPr>
          <w:rFonts w:eastAsiaTheme="minorEastAsia" w:cs="Arial"/>
          <w:lang w:eastAsia="ja-JP"/>
        </w:rPr>
      </w:pPr>
      <w:r>
        <w:rPr>
          <w:rFonts w:eastAsiaTheme="minorEastAsia" w:cs="Arial"/>
          <w:lang w:eastAsia="ja-JP"/>
        </w:rPr>
        <w:t xml:space="preserve">In </w:t>
      </w:r>
      <w:r w:rsidR="007631EE">
        <w:rPr>
          <w:rFonts w:eastAsiaTheme="minorEastAsia" w:cs="Arial"/>
          <w:lang w:eastAsia="ja-JP"/>
        </w:rPr>
        <w:t xml:space="preserve">the </w:t>
      </w:r>
      <w:r>
        <w:rPr>
          <w:rFonts w:eastAsiaTheme="minorEastAsia" w:cs="Arial"/>
          <w:lang w:eastAsia="ja-JP"/>
        </w:rPr>
        <w:t>above working assumption</w:t>
      </w:r>
      <w:r w:rsidR="00A16C42">
        <w:rPr>
          <w:rFonts w:eastAsiaTheme="minorEastAsia" w:cs="Arial"/>
          <w:lang w:eastAsia="ja-JP"/>
        </w:rPr>
        <w:t>s</w:t>
      </w:r>
      <w:r>
        <w:rPr>
          <w:rFonts w:eastAsiaTheme="minorEastAsia" w:cs="Arial"/>
          <w:lang w:eastAsia="ja-JP"/>
        </w:rPr>
        <w:t xml:space="preserve">, the alignment of </w:t>
      </w:r>
      <w:r w:rsidR="00B2671F">
        <w:rPr>
          <w:rFonts w:eastAsiaTheme="minorEastAsia" w:cs="Arial"/>
          <w:lang w:eastAsia="ja-JP"/>
        </w:rPr>
        <w:t xml:space="preserve">TPC related </w:t>
      </w:r>
      <w:r w:rsidR="008163AA">
        <w:rPr>
          <w:rFonts w:eastAsiaTheme="minorEastAsia" w:cs="Arial"/>
          <w:lang w:eastAsia="ja-JP"/>
        </w:rPr>
        <w:t xml:space="preserve">DCI </w:t>
      </w:r>
      <w:r>
        <w:rPr>
          <w:rFonts w:eastAsiaTheme="minorEastAsia" w:cs="Arial"/>
          <w:lang w:eastAsia="ja-JP"/>
        </w:rPr>
        <w:t>(2-2 and 2-3) and fallback DCI (0-0/1-0) are aiming to reduce the number of BD decoding size</w:t>
      </w:r>
      <w:r w:rsidR="007631EE">
        <w:rPr>
          <w:rFonts w:eastAsiaTheme="minorEastAsia" w:cs="Arial"/>
          <w:lang w:eastAsia="ja-JP"/>
        </w:rPr>
        <w:t xml:space="preserve">. In addition, </w:t>
      </w:r>
      <w:r>
        <w:rPr>
          <w:rFonts w:eastAsiaTheme="minorEastAsia" w:cs="Arial"/>
          <w:lang w:eastAsia="ja-JP"/>
        </w:rPr>
        <w:t xml:space="preserve">the </w:t>
      </w:r>
      <w:r w:rsidR="007631EE">
        <w:rPr>
          <w:rFonts w:eastAsiaTheme="minorEastAsia" w:cs="Arial"/>
          <w:lang w:eastAsia="ja-JP"/>
        </w:rPr>
        <w:t>DCI</w:t>
      </w:r>
      <w:r>
        <w:rPr>
          <w:rFonts w:eastAsiaTheme="minorEastAsia" w:cs="Arial"/>
          <w:lang w:eastAsia="ja-JP"/>
        </w:rPr>
        <w:t xml:space="preserve"> </w:t>
      </w:r>
      <w:r w:rsidR="007631EE">
        <w:rPr>
          <w:rFonts w:eastAsiaTheme="minorEastAsia" w:cs="Arial"/>
          <w:lang w:eastAsia="ja-JP"/>
        </w:rPr>
        <w:t>can be</w:t>
      </w:r>
      <w:r>
        <w:rPr>
          <w:rFonts w:eastAsiaTheme="minorEastAsia" w:cs="Arial"/>
          <w:lang w:eastAsia="ja-JP"/>
        </w:rPr>
        <w:t xml:space="preserve"> shared among multiple UEs</w:t>
      </w:r>
      <w:r w:rsidR="000714B7">
        <w:rPr>
          <w:rFonts w:eastAsiaTheme="minorEastAsia" w:cs="Arial"/>
          <w:lang w:eastAsia="ja-JP"/>
        </w:rPr>
        <w:t xml:space="preserve"> and shared among multiple BWPs</w:t>
      </w:r>
      <w:r>
        <w:rPr>
          <w:rFonts w:eastAsiaTheme="minorEastAsia" w:cs="Arial"/>
          <w:lang w:eastAsia="ja-JP"/>
        </w:rPr>
        <w:t>. This aim is achieved when CSS(s) in CORESET 0 use initial DL BWP for DCI size determination and RB numberings.</w:t>
      </w:r>
      <w:r w:rsidR="00AA1670">
        <w:rPr>
          <w:rFonts w:eastAsiaTheme="minorEastAsia" w:cs="Arial"/>
          <w:lang w:eastAsia="ja-JP"/>
        </w:rPr>
        <w:t xml:space="preserve"> On the other hand, when CSS(s) does not use initial DL BWP</w:t>
      </w:r>
      <w:r w:rsidR="004F7481">
        <w:rPr>
          <w:rFonts w:eastAsiaTheme="minorEastAsia" w:cs="Arial"/>
          <w:lang w:eastAsia="ja-JP"/>
        </w:rPr>
        <w:t>, the difference of active BWP make</w:t>
      </w:r>
      <w:r w:rsidR="001706F9">
        <w:rPr>
          <w:rFonts w:eastAsiaTheme="minorEastAsia" w:cs="Arial"/>
          <w:lang w:eastAsia="ja-JP"/>
        </w:rPr>
        <w:t>s</w:t>
      </w:r>
      <w:r w:rsidR="004F7481">
        <w:rPr>
          <w:rFonts w:eastAsiaTheme="minorEastAsia" w:cs="Arial"/>
          <w:lang w:eastAsia="ja-JP"/>
        </w:rPr>
        <w:t xml:space="preserve"> </w:t>
      </w:r>
      <w:r w:rsidR="001605C6">
        <w:rPr>
          <w:rFonts w:eastAsiaTheme="minorEastAsia" w:cs="Arial"/>
          <w:lang w:eastAsia="ja-JP"/>
        </w:rPr>
        <w:t xml:space="preserve">it difficult </w:t>
      </w:r>
      <w:r w:rsidR="004F7481">
        <w:rPr>
          <w:rFonts w:eastAsiaTheme="minorEastAsia" w:cs="Arial"/>
          <w:lang w:eastAsia="ja-JP"/>
        </w:rPr>
        <w:t>to share TPC related co</w:t>
      </w:r>
      <w:r w:rsidR="001706F9">
        <w:rPr>
          <w:rFonts w:eastAsiaTheme="minorEastAsia" w:cs="Arial"/>
          <w:lang w:eastAsia="ja-JP"/>
        </w:rPr>
        <w:t>mmand for PDCCH.</w:t>
      </w:r>
      <w:r w:rsidR="004D7958">
        <w:rPr>
          <w:rFonts w:eastAsiaTheme="minorEastAsia" w:cs="Arial"/>
          <w:lang w:eastAsia="ja-JP"/>
        </w:rPr>
        <w:t xml:space="preserve"> </w:t>
      </w:r>
      <w:r w:rsidR="000714B7">
        <w:rPr>
          <w:rFonts w:eastAsiaTheme="minorEastAsia" w:cs="Arial"/>
          <w:lang w:eastAsia="ja-JP"/>
        </w:rPr>
        <w:t xml:space="preserve">Similarly, the other group/cell shared DCI is also difficult to be shared. </w:t>
      </w:r>
      <w:r w:rsidR="004D7958">
        <w:rPr>
          <w:rFonts w:eastAsiaTheme="minorEastAsia" w:cs="Arial"/>
          <w:lang w:eastAsia="ja-JP"/>
        </w:rPr>
        <w:t>Therefore, working assumption should be revisited</w:t>
      </w:r>
      <w:r w:rsidR="00396BEB">
        <w:rPr>
          <w:rFonts w:eastAsiaTheme="minorEastAsia" w:cs="Arial"/>
          <w:lang w:eastAsia="ja-JP"/>
        </w:rPr>
        <w:t xml:space="preserve"> for the case not to use initial DL BWP</w:t>
      </w:r>
      <w:r w:rsidR="004D7958">
        <w:rPr>
          <w:rFonts w:eastAsiaTheme="minorEastAsia" w:cs="Arial"/>
          <w:lang w:eastAsia="ja-JP"/>
        </w:rPr>
        <w:t>.</w:t>
      </w:r>
    </w:p>
    <w:p w14:paraId="7429DEF5" w14:textId="7BD5D729" w:rsidR="00630942" w:rsidRDefault="009061BA" w:rsidP="009061BA">
      <w:pPr>
        <w:ind w:left="400"/>
        <w:rPr>
          <w:rFonts w:eastAsiaTheme="minorEastAsia" w:cs="Arial"/>
          <w:b/>
          <w:lang w:eastAsia="ja-JP"/>
        </w:rPr>
      </w:pPr>
      <w:r>
        <w:rPr>
          <w:rFonts w:eastAsiaTheme="minorEastAsia" w:cs="Arial" w:hint="eastAsia"/>
          <w:b/>
          <w:lang w:eastAsia="ja-JP"/>
        </w:rPr>
        <w:t>Observation</w:t>
      </w:r>
      <w:r w:rsidRPr="004A206B">
        <w:rPr>
          <w:rFonts w:eastAsiaTheme="minorEastAsia" w:cs="Arial"/>
          <w:b/>
          <w:lang w:eastAsia="ja-JP"/>
        </w:rPr>
        <w:t xml:space="preserve"> 1: </w:t>
      </w:r>
      <w:r>
        <w:rPr>
          <w:rFonts w:eastAsiaTheme="minorEastAsia" w:cs="Arial"/>
          <w:b/>
          <w:lang w:eastAsia="ja-JP"/>
        </w:rPr>
        <w:t>Current working assumption does not allow TPC</w:t>
      </w:r>
      <w:r w:rsidR="00630942">
        <w:rPr>
          <w:rFonts w:eastAsiaTheme="minorEastAsia" w:cs="Arial"/>
          <w:b/>
          <w:lang w:eastAsia="ja-JP"/>
        </w:rPr>
        <w:t xml:space="preserve"> related DCI size alignment when CSS(s) is not based on CORESET 0.</w:t>
      </w:r>
      <w:r w:rsidR="00E12AF5">
        <w:rPr>
          <w:rFonts w:eastAsiaTheme="minorEastAsia" w:cs="Arial"/>
          <w:b/>
          <w:lang w:eastAsia="ja-JP"/>
        </w:rPr>
        <w:t xml:space="preserve"> The other group/cell shared DCI is also difficult to be shared among UEs and among BWPs.</w:t>
      </w:r>
    </w:p>
    <w:p w14:paraId="4ABB96B2" w14:textId="688DBC73" w:rsidR="00B3420E" w:rsidRDefault="00B3420E" w:rsidP="00597564">
      <w:pPr>
        <w:ind w:left="400"/>
        <w:rPr>
          <w:rFonts w:eastAsiaTheme="minorEastAsia" w:cs="Arial"/>
          <w:lang w:eastAsia="ja-JP"/>
        </w:rPr>
      </w:pPr>
    </w:p>
    <w:p w14:paraId="6316CB30" w14:textId="434DDFC7" w:rsidR="00453D43" w:rsidRDefault="00B3420E" w:rsidP="00597564">
      <w:pPr>
        <w:ind w:left="400"/>
        <w:rPr>
          <w:rFonts w:eastAsiaTheme="minorEastAsia" w:cs="Arial"/>
          <w:lang w:eastAsia="ja-JP"/>
        </w:rPr>
      </w:pPr>
      <w:r>
        <w:rPr>
          <w:rFonts w:eastAsiaTheme="minorEastAsia" w:cs="Arial" w:hint="eastAsia"/>
          <w:lang w:eastAsia="ja-JP"/>
        </w:rPr>
        <w:t xml:space="preserve">The main use case of multiple BWPs is UE power saving and </w:t>
      </w:r>
      <w:r>
        <w:rPr>
          <w:rFonts w:eastAsiaTheme="minorEastAsia" w:cs="Arial"/>
          <w:lang w:eastAsia="ja-JP"/>
        </w:rPr>
        <w:t xml:space="preserve">load balancing. For UE power saving, depending on the </w:t>
      </w:r>
      <w:r w:rsidR="001958AF">
        <w:rPr>
          <w:rFonts w:eastAsiaTheme="minorEastAsia" w:cs="Arial"/>
          <w:lang w:eastAsia="ja-JP"/>
        </w:rPr>
        <w:t xml:space="preserve">UE's </w:t>
      </w:r>
      <w:r>
        <w:rPr>
          <w:rFonts w:eastAsiaTheme="minorEastAsia" w:cs="Arial"/>
          <w:lang w:eastAsia="ja-JP"/>
        </w:rPr>
        <w:t>traffic situation, BWP size is differentiated</w:t>
      </w:r>
      <w:r w:rsidR="001958AF">
        <w:rPr>
          <w:rFonts w:eastAsiaTheme="minorEastAsia" w:cs="Arial"/>
          <w:lang w:eastAsia="ja-JP"/>
        </w:rPr>
        <w:t xml:space="preserve"> for each UE</w:t>
      </w:r>
      <w:r>
        <w:rPr>
          <w:rFonts w:eastAsiaTheme="minorEastAsia" w:cs="Arial"/>
          <w:lang w:eastAsia="ja-JP"/>
        </w:rPr>
        <w:t xml:space="preserve">. For this usage, dynamic change of active BWP is quite useful. For load balancing, multiple BWPs among the group of UEs need to be configured. As the change of load is relatively slow compared with the single UE's traffic variation, the load balancing is sufficient </w:t>
      </w:r>
      <w:r w:rsidR="001605C6">
        <w:rPr>
          <w:rFonts w:eastAsiaTheme="minorEastAsia" w:cs="Arial"/>
          <w:lang w:eastAsia="ja-JP"/>
        </w:rPr>
        <w:t xml:space="preserve">managed </w:t>
      </w:r>
      <w:r>
        <w:rPr>
          <w:rFonts w:eastAsiaTheme="minorEastAsia" w:cs="Arial"/>
          <w:lang w:eastAsia="ja-JP"/>
        </w:rPr>
        <w:t xml:space="preserve">by </w:t>
      </w:r>
      <w:r>
        <w:rPr>
          <w:rFonts w:eastAsiaTheme="minorEastAsia" w:cs="Arial"/>
          <w:lang w:eastAsia="ja-JP"/>
        </w:rPr>
        <w:lastRenderedPageBreak/>
        <w:t>RRC signalling. Although BWP concept allow</w:t>
      </w:r>
      <w:r w:rsidR="001605C6">
        <w:rPr>
          <w:rFonts w:eastAsiaTheme="minorEastAsia" w:cs="Arial"/>
          <w:lang w:eastAsia="ja-JP"/>
        </w:rPr>
        <w:t>s</w:t>
      </w:r>
      <w:r>
        <w:rPr>
          <w:rFonts w:eastAsiaTheme="minorEastAsia" w:cs="Arial"/>
          <w:lang w:eastAsia="ja-JP"/>
        </w:rPr>
        <w:t xml:space="preserve"> large flexibility, our view is</w:t>
      </w:r>
      <w:r w:rsidR="001605C6" w:rsidRPr="001605C6">
        <w:rPr>
          <w:rFonts w:eastAsiaTheme="minorEastAsia" w:cs="Arial"/>
          <w:lang w:eastAsia="ja-JP"/>
        </w:rPr>
        <w:t xml:space="preserve"> </w:t>
      </w:r>
      <w:r w:rsidR="001605C6">
        <w:rPr>
          <w:rFonts w:eastAsiaTheme="minorEastAsia" w:cs="Arial"/>
          <w:lang w:eastAsia="ja-JP"/>
        </w:rPr>
        <w:t>the operation in</w:t>
      </w:r>
      <w:r>
        <w:rPr>
          <w:rFonts w:eastAsiaTheme="minorEastAsia" w:cs="Arial"/>
          <w:lang w:eastAsia="ja-JP"/>
        </w:rPr>
        <w:t xml:space="preserve"> following </w:t>
      </w:r>
      <w:r w:rsidR="009271BA">
        <w:rPr>
          <w:rFonts w:eastAsiaTheme="minorEastAsia" w:cs="Arial"/>
          <w:lang w:eastAsia="ja-JP"/>
        </w:rPr>
        <w:t xml:space="preserve">Fig 1. </w:t>
      </w:r>
      <w:r>
        <w:rPr>
          <w:rFonts w:eastAsiaTheme="minorEastAsia" w:cs="Arial"/>
          <w:lang w:eastAsia="ja-JP"/>
        </w:rPr>
        <w:t>should be</w:t>
      </w:r>
      <w:r w:rsidR="001605C6">
        <w:rPr>
          <w:rFonts w:eastAsiaTheme="minorEastAsia" w:cs="Arial"/>
          <w:lang w:eastAsia="ja-JP"/>
        </w:rPr>
        <w:t xml:space="preserve"> the</w:t>
      </w:r>
      <w:r>
        <w:rPr>
          <w:rFonts w:eastAsiaTheme="minorEastAsia" w:cs="Arial"/>
          <w:lang w:eastAsia="ja-JP"/>
        </w:rPr>
        <w:t xml:space="preserve"> main target usage.</w:t>
      </w:r>
    </w:p>
    <w:p w14:paraId="155C913A" w14:textId="0B2C489C" w:rsidR="00453D43" w:rsidRDefault="00453D43" w:rsidP="00453D43">
      <w:pPr>
        <w:ind w:left="400"/>
        <w:jc w:val="center"/>
        <w:rPr>
          <w:rFonts w:eastAsiaTheme="minorEastAsia" w:cs="Arial"/>
          <w:lang w:eastAsia="ja-JP"/>
        </w:rPr>
      </w:pPr>
      <w:r w:rsidRPr="00453D43">
        <w:rPr>
          <w:rFonts w:eastAsiaTheme="minorEastAsia" w:cs="Arial"/>
          <w:noProof/>
          <w:lang w:val="en-US" w:eastAsia="ja-JP"/>
        </w:rPr>
        <w:drawing>
          <wp:inline distT="0" distB="0" distL="0" distR="0" wp14:anchorId="3CEA34F4" wp14:editId="7FFE5BE3">
            <wp:extent cx="4662152" cy="4250599"/>
            <wp:effectExtent l="0" t="0" r="0" b="0"/>
            <wp:docPr id="5"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pic:cNvPicPr>
                      <a:picLocks noChangeAspect="1"/>
                    </pic:cNvPicPr>
                  </pic:nvPicPr>
                  <pic:blipFill>
                    <a:blip r:embed="rId9"/>
                    <a:stretch>
                      <a:fillRect/>
                    </a:stretch>
                  </pic:blipFill>
                  <pic:spPr>
                    <a:xfrm>
                      <a:off x="0" y="0"/>
                      <a:ext cx="4662152" cy="4250599"/>
                    </a:xfrm>
                    <a:prstGeom prst="rect">
                      <a:avLst/>
                    </a:prstGeom>
                  </pic:spPr>
                </pic:pic>
              </a:graphicData>
            </a:graphic>
          </wp:inline>
        </w:drawing>
      </w:r>
    </w:p>
    <w:p w14:paraId="20837E3E" w14:textId="7B32B0E5" w:rsidR="00B3420E" w:rsidRDefault="00453D43" w:rsidP="00FB1A57">
      <w:pPr>
        <w:ind w:left="400"/>
        <w:jc w:val="center"/>
        <w:rPr>
          <w:rFonts w:eastAsiaTheme="minorEastAsia" w:cs="Arial"/>
          <w:lang w:eastAsia="ja-JP"/>
        </w:rPr>
      </w:pPr>
      <w:r>
        <w:rPr>
          <w:rFonts w:eastAsiaTheme="minorEastAsia" w:cs="Arial"/>
          <w:lang w:eastAsia="ja-JP"/>
        </w:rPr>
        <w:t>Fig 1. BWP usage among UE 1/2 group and UE 3/4 groups.</w:t>
      </w:r>
    </w:p>
    <w:p w14:paraId="0B5D378D" w14:textId="77777777" w:rsidR="00FB1A57" w:rsidRDefault="00FB1A57" w:rsidP="00597564">
      <w:pPr>
        <w:ind w:left="400"/>
        <w:rPr>
          <w:rFonts w:eastAsiaTheme="minorEastAsia" w:cs="Arial"/>
          <w:lang w:eastAsia="ja-JP"/>
        </w:rPr>
      </w:pPr>
    </w:p>
    <w:p w14:paraId="7782303F" w14:textId="51A1505E" w:rsidR="00A215A7" w:rsidRDefault="00813DF2" w:rsidP="00597564">
      <w:pPr>
        <w:ind w:left="400"/>
        <w:rPr>
          <w:rFonts w:eastAsiaTheme="minorEastAsia" w:cs="Arial"/>
          <w:lang w:eastAsia="ja-JP"/>
        </w:rPr>
      </w:pPr>
      <w:r>
        <w:rPr>
          <w:rFonts w:eastAsiaTheme="minorEastAsia" w:cs="Arial" w:hint="eastAsia"/>
          <w:lang w:eastAsia="ja-JP"/>
        </w:rPr>
        <w:t xml:space="preserve">UE 1 and UE 2 use initial active </w:t>
      </w:r>
      <w:r w:rsidR="004300C8">
        <w:rPr>
          <w:rFonts w:eastAsiaTheme="minorEastAsia" w:cs="Arial"/>
          <w:lang w:eastAsia="ja-JP"/>
        </w:rPr>
        <w:t xml:space="preserve">DL </w:t>
      </w:r>
      <w:r>
        <w:rPr>
          <w:rFonts w:eastAsiaTheme="minorEastAsia" w:cs="Arial" w:hint="eastAsia"/>
          <w:lang w:eastAsia="ja-JP"/>
        </w:rPr>
        <w:t xml:space="preserve">BWP. </w:t>
      </w:r>
      <w:r>
        <w:rPr>
          <w:rFonts w:eastAsiaTheme="minorEastAsia" w:cs="Arial"/>
          <w:lang w:eastAsia="ja-JP"/>
        </w:rPr>
        <w:t xml:space="preserve">UE 1 and UE 2 share the same CSS. </w:t>
      </w:r>
      <w:r w:rsidR="004300C8">
        <w:rPr>
          <w:rFonts w:eastAsiaTheme="minorEastAsia" w:cs="Arial"/>
          <w:lang w:eastAsia="ja-JP"/>
        </w:rPr>
        <w:t xml:space="preserve">The </w:t>
      </w:r>
      <w:r>
        <w:rPr>
          <w:rFonts w:eastAsiaTheme="minorEastAsia" w:cs="Arial"/>
          <w:lang w:eastAsia="ja-JP"/>
        </w:rPr>
        <w:t>wider BWP size is different between UE 1 and UE2,</w:t>
      </w:r>
      <w:r w:rsidR="004300C8">
        <w:rPr>
          <w:rFonts w:eastAsiaTheme="minorEastAsia" w:cs="Arial"/>
          <w:lang w:eastAsia="ja-JP"/>
        </w:rPr>
        <w:t xml:space="preserve"> for example</w:t>
      </w:r>
      <w:r>
        <w:rPr>
          <w:rFonts w:eastAsiaTheme="minorEastAsia" w:cs="Arial"/>
          <w:lang w:eastAsia="ja-JP"/>
        </w:rPr>
        <w:t xml:space="preserve"> BWP 2 </w:t>
      </w:r>
      <w:r w:rsidR="004300C8">
        <w:rPr>
          <w:rFonts w:eastAsiaTheme="minorEastAsia" w:cs="Arial"/>
          <w:lang w:eastAsia="ja-JP"/>
        </w:rPr>
        <w:t xml:space="preserve">is </w:t>
      </w:r>
      <w:r>
        <w:rPr>
          <w:rFonts w:eastAsiaTheme="minorEastAsia" w:cs="Arial"/>
          <w:lang w:eastAsia="ja-JP"/>
        </w:rPr>
        <w:t>used for UE 1 and UE 2 respectively</w:t>
      </w:r>
      <w:r w:rsidR="004300C8" w:rsidRPr="004300C8">
        <w:rPr>
          <w:rFonts w:eastAsiaTheme="minorEastAsia" w:cs="Arial"/>
          <w:lang w:eastAsia="ja-JP"/>
        </w:rPr>
        <w:t xml:space="preserve"> </w:t>
      </w:r>
      <w:r w:rsidR="004300C8">
        <w:rPr>
          <w:rFonts w:eastAsiaTheme="minorEastAsia" w:cs="Arial"/>
          <w:lang w:eastAsia="ja-JP"/>
        </w:rPr>
        <w:t>in case of larger traffic</w:t>
      </w:r>
      <w:r>
        <w:rPr>
          <w:rFonts w:eastAsiaTheme="minorEastAsia" w:cs="Arial"/>
          <w:lang w:eastAsia="ja-JP"/>
        </w:rPr>
        <w:t xml:space="preserve">. UE 3 and UE 4 do not use initial active </w:t>
      </w:r>
      <w:r w:rsidR="004300C8">
        <w:rPr>
          <w:rFonts w:eastAsiaTheme="minorEastAsia" w:cs="Arial"/>
          <w:lang w:eastAsia="ja-JP"/>
        </w:rPr>
        <w:t xml:space="preserve">DL </w:t>
      </w:r>
      <w:r>
        <w:rPr>
          <w:rFonts w:eastAsiaTheme="minorEastAsia" w:cs="Arial"/>
          <w:lang w:eastAsia="ja-JP"/>
        </w:rPr>
        <w:t>BWP but use UE specific configured CSS. UE 3 and UE 4 share the same CSS. When</w:t>
      </w:r>
      <w:r w:rsidR="004300C8">
        <w:rPr>
          <w:rFonts w:eastAsiaTheme="minorEastAsia" w:cs="Arial"/>
          <w:lang w:eastAsia="ja-JP"/>
        </w:rPr>
        <w:t xml:space="preserve"> the</w:t>
      </w:r>
      <w:r>
        <w:rPr>
          <w:rFonts w:eastAsiaTheme="minorEastAsia" w:cs="Arial"/>
          <w:lang w:eastAsia="ja-JP"/>
        </w:rPr>
        <w:t xml:space="preserve"> traffic </w:t>
      </w:r>
      <w:r w:rsidR="00FC1C67">
        <w:rPr>
          <w:rFonts w:eastAsiaTheme="minorEastAsia" w:cs="Arial"/>
          <w:lang w:eastAsia="ja-JP"/>
        </w:rPr>
        <w:t xml:space="preserve">for UE 3 or UE 4 </w:t>
      </w:r>
      <w:r>
        <w:rPr>
          <w:rFonts w:eastAsiaTheme="minorEastAsia" w:cs="Arial"/>
          <w:lang w:eastAsia="ja-JP"/>
        </w:rPr>
        <w:t xml:space="preserve">is increased UE 3 </w:t>
      </w:r>
      <w:r w:rsidR="00FC1C67">
        <w:rPr>
          <w:rFonts w:eastAsiaTheme="minorEastAsia" w:cs="Arial"/>
          <w:lang w:eastAsia="ja-JP"/>
        </w:rPr>
        <w:t xml:space="preserve">or </w:t>
      </w:r>
      <w:r>
        <w:rPr>
          <w:rFonts w:eastAsiaTheme="minorEastAsia" w:cs="Arial"/>
          <w:lang w:eastAsia="ja-JP"/>
        </w:rPr>
        <w:t>UE 4 use</w:t>
      </w:r>
      <w:r w:rsidR="00FC1C67">
        <w:rPr>
          <w:rFonts w:eastAsiaTheme="minorEastAsia" w:cs="Arial"/>
          <w:lang w:eastAsia="ja-JP"/>
        </w:rPr>
        <w:t>s</w:t>
      </w:r>
      <w:r>
        <w:rPr>
          <w:rFonts w:eastAsiaTheme="minorEastAsia" w:cs="Arial"/>
          <w:lang w:eastAsia="ja-JP"/>
        </w:rPr>
        <w:t xml:space="preserve"> BWP2 respectively. </w:t>
      </w:r>
      <w:r w:rsidR="00A215A7">
        <w:rPr>
          <w:rFonts w:eastAsiaTheme="minorEastAsia" w:cs="Arial" w:hint="eastAsia"/>
          <w:lang w:eastAsia="ja-JP"/>
        </w:rPr>
        <w:t>W</w:t>
      </w:r>
      <w:r w:rsidR="00A215A7">
        <w:rPr>
          <w:rFonts w:eastAsiaTheme="minorEastAsia" w:cs="Arial"/>
          <w:lang w:eastAsia="ja-JP"/>
        </w:rPr>
        <w:t xml:space="preserve">hen the </w:t>
      </w:r>
      <w:r w:rsidR="004300C8">
        <w:rPr>
          <w:rFonts w:eastAsiaTheme="minorEastAsia" w:cs="Arial"/>
          <w:lang w:eastAsia="ja-JP"/>
        </w:rPr>
        <w:t xml:space="preserve">traffic load of </w:t>
      </w:r>
      <w:r w:rsidR="00A215A7">
        <w:rPr>
          <w:rFonts w:eastAsiaTheme="minorEastAsia" w:cs="Arial"/>
          <w:lang w:eastAsia="ja-JP"/>
        </w:rPr>
        <w:t xml:space="preserve">group of UE 1 and </w:t>
      </w:r>
      <w:r w:rsidR="00D56220">
        <w:rPr>
          <w:rFonts w:eastAsiaTheme="minorEastAsia" w:cs="Arial"/>
          <w:lang w:eastAsia="ja-JP"/>
        </w:rPr>
        <w:t xml:space="preserve">UE </w:t>
      </w:r>
      <w:r w:rsidR="00A215A7">
        <w:rPr>
          <w:rFonts w:eastAsiaTheme="minorEastAsia" w:cs="Arial"/>
          <w:lang w:eastAsia="ja-JP"/>
        </w:rPr>
        <w:t xml:space="preserve">2 is increased, new UE would be added the group belonging to UE3 and UE4. Or the gNB may configure </w:t>
      </w:r>
      <w:r w:rsidR="00FC1C67">
        <w:rPr>
          <w:rFonts w:eastAsiaTheme="minorEastAsia" w:cs="Arial"/>
          <w:lang w:eastAsia="ja-JP"/>
        </w:rPr>
        <w:t>another</w:t>
      </w:r>
      <w:r w:rsidR="00A215A7">
        <w:rPr>
          <w:rFonts w:eastAsiaTheme="minorEastAsia" w:cs="Arial"/>
          <w:lang w:eastAsia="ja-JP"/>
        </w:rPr>
        <w:t xml:space="preserve"> group of UEs to share yet another CSS.</w:t>
      </w:r>
      <w:r w:rsidR="001C76AC">
        <w:rPr>
          <w:rFonts w:eastAsiaTheme="minorEastAsia" w:cs="Arial"/>
          <w:lang w:eastAsia="ja-JP"/>
        </w:rPr>
        <w:t xml:space="preserve"> In order to achieve </w:t>
      </w:r>
      <w:r w:rsidR="00E01887">
        <w:rPr>
          <w:rFonts w:eastAsiaTheme="minorEastAsia" w:cs="Arial"/>
          <w:lang w:eastAsia="ja-JP"/>
        </w:rPr>
        <w:t>this</w:t>
      </w:r>
      <w:r w:rsidR="001C76AC">
        <w:rPr>
          <w:rFonts w:eastAsiaTheme="minorEastAsia" w:cs="Arial"/>
          <w:lang w:eastAsia="ja-JP"/>
        </w:rPr>
        <w:t xml:space="preserve"> behaviour, </w:t>
      </w:r>
      <w:r w:rsidR="00CD3785">
        <w:rPr>
          <w:rFonts w:eastAsiaTheme="minorEastAsia" w:cs="Arial"/>
          <w:lang w:eastAsia="ja-JP"/>
        </w:rPr>
        <w:t xml:space="preserve">frequency resource allocation size for DCI format 0-0/0-1 </w:t>
      </w:r>
      <w:r w:rsidR="00E01887">
        <w:rPr>
          <w:rFonts w:eastAsiaTheme="minorEastAsia" w:cs="Arial"/>
          <w:lang w:eastAsia="ja-JP"/>
        </w:rPr>
        <w:t xml:space="preserve">in CSS </w:t>
      </w:r>
      <w:r w:rsidR="00CD3785">
        <w:rPr>
          <w:rFonts w:eastAsiaTheme="minorEastAsia" w:cs="Arial"/>
          <w:lang w:eastAsia="ja-JP"/>
        </w:rPr>
        <w:t xml:space="preserve">needs to be aligned in the same </w:t>
      </w:r>
      <w:r w:rsidR="00E01887">
        <w:rPr>
          <w:rFonts w:eastAsiaTheme="minorEastAsia" w:cs="Arial"/>
          <w:lang w:eastAsia="ja-JP"/>
        </w:rPr>
        <w:t xml:space="preserve">group of </w:t>
      </w:r>
      <w:r w:rsidR="00CD3785">
        <w:rPr>
          <w:rFonts w:eastAsiaTheme="minorEastAsia" w:cs="Arial"/>
          <w:lang w:eastAsia="ja-JP"/>
        </w:rPr>
        <w:t xml:space="preserve">UE. By such operation, TPC related DCI format (2-2 and 2-3) can be shared. Such operation is also important to share DCI format 2-0 (GC-PDCCH) and DCI format 2-1 (pre-emption). </w:t>
      </w:r>
    </w:p>
    <w:p w14:paraId="2FFBC0D5" w14:textId="6FD87EB6" w:rsidR="00CD3785" w:rsidRDefault="00980D7D" w:rsidP="00597564">
      <w:pPr>
        <w:ind w:left="400"/>
        <w:rPr>
          <w:rFonts w:eastAsiaTheme="minorEastAsia" w:cs="Arial"/>
          <w:lang w:eastAsia="ja-JP"/>
        </w:rPr>
      </w:pPr>
      <w:r>
        <w:rPr>
          <w:rFonts w:eastAsiaTheme="minorEastAsia" w:cs="Arial" w:hint="eastAsia"/>
          <w:lang w:eastAsia="ja-JP"/>
        </w:rPr>
        <w:t>The behaviour described in Figure 1 can be realized by one of following method.</w:t>
      </w:r>
    </w:p>
    <w:p w14:paraId="797ABBAC" w14:textId="103E077A" w:rsidR="00BE6917" w:rsidRPr="00BE6917" w:rsidRDefault="00BE6917" w:rsidP="00BE6917">
      <w:pPr>
        <w:ind w:leftChars="400" w:left="800"/>
        <w:rPr>
          <w:rFonts w:eastAsiaTheme="minorEastAsia" w:cs="Arial"/>
          <w:lang w:eastAsia="ja-JP"/>
        </w:rPr>
      </w:pPr>
      <w:r>
        <w:rPr>
          <w:rFonts w:eastAsiaTheme="minorEastAsia" w:cs="Arial"/>
          <w:lang w:eastAsia="ja-JP"/>
        </w:rPr>
        <w:t xml:space="preserve">- </w:t>
      </w:r>
      <w:r w:rsidRPr="00BE6917">
        <w:rPr>
          <w:rFonts w:eastAsiaTheme="minorEastAsia" w:cs="Arial"/>
          <w:lang w:eastAsia="ja-JP"/>
        </w:rPr>
        <w:t>Option 1: DCI format 0-0/0-1 frequency resource allocation size in CSS is determined by</w:t>
      </w:r>
      <w:r w:rsidRPr="00E261EB">
        <w:rPr>
          <w:rFonts w:eastAsiaTheme="minorEastAsia" w:cs="Arial"/>
          <w:color w:val="FF0000"/>
          <w:lang w:eastAsia="ja-JP"/>
        </w:rPr>
        <w:t xml:space="preserve"> initial active </w:t>
      </w:r>
      <w:r w:rsidR="00A27A92">
        <w:rPr>
          <w:rFonts w:eastAsiaTheme="minorEastAsia" w:cs="Arial"/>
          <w:color w:val="FF0000"/>
          <w:lang w:eastAsia="ja-JP"/>
        </w:rPr>
        <w:t xml:space="preserve">DL </w:t>
      </w:r>
      <w:r w:rsidRPr="00E261EB">
        <w:rPr>
          <w:rFonts w:eastAsiaTheme="minorEastAsia" w:cs="Arial"/>
          <w:color w:val="FF0000"/>
          <w:lang w:eastAsia="ja-JP"/>
        </w:rPr>
        <w:t>BWP</w:t>
      </w:r>
      <w:r w:rsidRPr="00BE6917">
        <w:rPr>
          <w:rFonts w:eastAsiaTheme="minorEastAsia" w:cs="Arial"/>
          <w:lang w:eastAsia="ja-JP"/>
        </w:rPr>
        <w:t xml:space="preserve"> regardless of active BWP</w:t>
      </w:r>
    </w:p>
    <w:p w14:paraId="3C5A8F45" w14:textId="38E9D8E7" w:rsidR="00BE6917" w:rsidRPr="00BE6917" w:rsidRDefault="00BE6917" w:rsidP="00BE6917">
      <w:pPr>
        <w:ind w:leftChars="400" w:left="800"/>
        <w:rPr>
          <w:rFonts w:eastAsiaTheme="minorEastAsia" w:cs="Arial"/>
          <w:lang w:eastAsia="ja-JP"/>
        </w:rPr>
      </w:pPr>
      <w:r>
        <w:rPr>
          <w:rFonts w:eastAsiaTheme="minorEastAsia" w:cs="Arial"/>
          <w:lang w:eastAsia="ja-JP"/>
        </w:rPr>
        <w:t xml:space="preserve">- </w:t>
      </w:r>
      <w:r w:rsidRPr="00BE6917">
        <w:rPr>
          <w:rFonts w:eastAsiaTheme="minorEastAsia" w:cs="Arial"/>
          <w:lang w:eastAsia="ja-JP"/>
        </w:rPr>
        <w:t>Option 2: DCI format 0-0/0-1 frequency resource allocation size in CSS is determined by</w:t>
      </w:r>
      <w:r w:rsidRPr="00E261EB">
        <w:rPr>
          <w:rFonts w:eastAsiaTheme="minorEastAsia" w:cs="Arial"/>
          <w:color w:val="FF0000"/>
          <w:lang w:eastAsia="ja-JP"/>
        </w:rPr>
        <w:t xml:space="preserve"> first BWP</w:t>
      </w:r>
      <w:r w:rsidR="00551EC6">
        <w:rPr>
          <w:rFonts w:eastAsiaTheme="minorEastAsia" w:cs="Arial"/>
          <w:color w:val="FF0000"/>
          <w:lang w:eastAsia="ja-JP"/>
        </w:rPr>
        <w:t xml:space="preserve"> among configured BWPs</w:t>
      </w:r>
      <w:r w:rsidRPr="00E261EB">
        <w:rPr>
          <w:rFonts w:eastAsiaTheme="minorEastAsia" w:cs="Arial"/>
          <w:color w:val="FF0000"/>
          <w:lang w:eastAsia="ja-JP"/>
        </w:rPr>
        <w:t xml:space="preserve"> </w:t>
      </w:r>
      <w:r w:rsidRPr="00BE6917">
        <w:rPr>
          <w:rFonts w:eastAsiaTheme="minorEastAsia" w:cs="Arial"/>
          <w:lang w:eastAsia="ja-JP"/>
        </w:rPr>
        <w:t>regardless of active BWP</w:t>
      </w:r>
    </w:p>
    <w:p w14:paraId="6CB634CB" w14:textId="1A1287BA" w:rsidR="00BE6917" w:rsidRPr="00BE6917" w:rsidRDefault="00BE6917" w:rsidP="00BE6917">
      <w:pPr>
        <w:ind w:leftChars="400" w:left="800"/>
        <w:rPr>
          <w:rFonts w:eastAsiaTheme="minorEastAsia" w:cs="Arial"/>
          <w:lang w:eastAsia="ja-JP"/>
        </w:rPr>
      </w:pPr>
      <w:r>
        <w:rPr>
          <w:rFonts w:eastAsiaTheme="minorEastAsia" w:cs="Arial"/>
          <w:lang w:eastAsia="ja-JP"/>
        </w:rPr>
        <w:t xml:space="preserve">- </w:t>
      </w:r>
      <w:r w:rsidRPr="00BE6917">
        <w:rPr>
          <w:rFonts w:eastAsiaTheme="minorEastAsia" w:cs="Arial"/>
          <w:lang w:eastAsia="ja-JP"/>
        </w:rPr>
        <w:t xml:space="preserve">Option 3: DCI format 0-0/0-1 frequency resource allocation size in CSS is determined by </w:t>
      </w:r>
      <w:r w:rsidRPr="00E261EB">
        <w:rPr>
          <w:rFonts w:eastAsiaTheme="minorEastAsia" w:cs="Arial"/>
          <w:color w:val="FF0000"/>
          <w:lang w:eastAsia="ja-JP"/>
        </w:rPr>
        <w:t>the highest and lowest PRB of</w:t>
      </w:r>
      <w:r w:rsidR="00093F06">
        <w:rPr>
          <w:rFonts w:eastAsiaTheme="minorEastAsia" w:cs="Arial"/>
          <w:color w:val="FF0000"/>
          <w:lang w:eastAsia="ja-JP"/>
        </w:rPr>
        <w:t xml:space="preserve"> the</w:t>
      </w:r>
      <w:r w:rsidRPr="00E261EB">
        <w:rPr>
          <w:rFonts w:eastAsiaTheme="minorEastAsia" w:cs="Arial"/>
          <w:color w:val="FF0000"/>
          <w:lang w:eastAsia="ja-JP"/>
        </w:rPr>
        <w:t xml:space="preserve"> CSS CORESET size</w:t>
      </w:r>
      <w:r w:rsidRPr="00BE6917">
        <w:rPr>
          <w:rFonts w:eastAsiaTheme="minorEastAsia" w:cs="Arial"/>
          <w:lang w:eastAsia="ja-JP"/>
        </w:rPr>
        <w:t xml:space="preserve"> (The network configures CSS CORESET aligned among BWPs).</w:t>
      </w:r>
    </w:p>
    <w:p w14:paraId="1D8E1F83" w14:textId="3AA541E0" w:rsidR="00BE6917" w:rsidRDefault="00E261EB" w:rsidP="00BE6917">
      <w:pPr>
        <w:ind w:left="400"/>
        <w:rPr>
          <w:rFonts w:eastAsiaTheme="minorEastAsia" w:cs="Arial"/>
          <w:lang w:eastAsia="ja-JP"/>
        </w:rPr>
      </w:pPr>
      <w:r>
        <w:rPr>
          <w:rFonts w:eastAsiaTheme="minorEastAsia" w:cs="Arial" w:hint="eastAsia"/>
          <w:lang w:eastAsia="ja-JP"/>
        </w:rPr>
        <w:t xml:space="preserve">Option 1 </w:t>
      </w:r>
      <w:r>
        <w:rPr>
          <w:rFonts w:eastAsiaTheme="minorEastAsia" w:cs="Arial"/>
          <w:lang w:eastAsia="ja-JP"/>
        </w:rPr>
        <w:t xml:space="preserve">means the frequency resource allocation size is always initial active </w:t>
      </w:r>
      <w:r w:rsidR="00306EE5">
        <w:rPr>
          <w:rFonts w:eastAsiaTheme="minorEastAsia" w:cs="Arial"/>
          <w:lang w:eastAsia="ja-JP"/>
        </w:rPr>
        <w:t xml:space="preserve">DL </w:t>
      </w:r>
      <w:r>
        <w:rPr>
          <w:rFonts w:eastAsiaTheme="minorEastAsia" w:cs="Arial"/>
          <w:lang w:eastAsia="ja-JP"/>
        </w:rPr>
        <w:t>BWP even when CSS is not based on CORESET 0. The merit is the working assumption that payload size 2-2 and 2-3 are aligned with 0-0/1-0 defined by the initial</w:t>
      </w:r>
      <w:r w:rsidR="00306EE5">
        <w:rPr>
          <w:rFonts w:eastAsiaTheme="minorEastAsia" w:cs="Arial"/>
          <w:lang w:eastAsia="ja-JP"/>
        </w:rPr>
        <w:t xml:space="preserve"> active DL</w:t>
      </w:r>
      <w:r>
        <w:rPr>
          <w:rFonts w:eastAsiaTheme="minorEastAsia" w:cs="Arial"/>
          <w:lang w:eastAsia="ja-JP"/>
        </w:rPr>
        <w:t xml:space="preserve"> BWP</w:t>
      </w:r>
      <w:r w:rsidR="00F829D3">
        <w:rPr>
          <w:rFonts w:eastAsiaTheme="minorEastAsia" w:cs="Arial"/>
          <w:lang w:eastAsia="ja-JP"/>
        </w:rPr>
        <w:t xml:space="preserve"> is no modification</w:t>
      </w:r>
      <w:r>
        <w:rPr>
          <w:rFonts w:eastAsiaTheme="minorEastAsia" w:cs="Arial"/>
          <w:lang w:eastAsia="ja-JP"/>
        </w:rPr>
        <w:t>.</w:t>
      </w:r>
      <w:r w:rsidR="001C3901">
        <w:rPr>
          <w:rFonts w:eastAsiaTheme="minorEastAsia" w:cs="Arial"/>
          <w:lang w:eastAsia="ja-JP"/>
        </w:rPr>
        <w:t xml:space="preserve"> For the group of UEs to share CSS, the CSS location is aligned.</w:t>
      </w:r>
    </w:p>
    <w:p w14:paraId="77F8761B" w14:textId="2AB76003" w:rsidR="00614894" w:rsidRDefault="00614894" w:rsidP="00BE6917">
      <w:pPr>
        <w:ind w:left="400"/>
        <w:rPr>
          <w:rFonts w:eastAsiaTheme="minorEastAsia" w:cs="Arial"/>
          <w:lang w:eastAsia="ja-JP"/>
        </w:rPr>
      </w:pPr>
      <w:r>
        <w:rPr>
          <w:rFonts w:eastAsiaTheme="minorEastAsia" w:cs="Arial"/>
          <w:lang w:eastAsia="ja-JP"/>
        </w:rPr>
        <w:lastRenderedPageBreak/>
        <w:t>Option 2 can alleviate the limitation of initial active</w:t>
      </w:r>
      <w:r w:rsidR="00306EE5">
        <w:rPr>
          <w:rFonts w:eastAsiaTheme="minorEastAsia" w:cs="Arial"/>
          <w:lang w:eastAsia="ja-JP"/>
        </w:rPr>
        <w:t xml:space="preserve"> DL</w:t>
      </w:r>
      <w:r>
        <w:rPr>
          <w:rFonts w:eastAsiaTheme="minorEastAsia" w:cs="Arial"/>
          <w:lang w:eastAsia="ja-JP"/>
        </w:rPr>
        <w:t xml:space="preserve"> BWP when CSS is configured by UE specific RRC. The frequency resource allocation from DCI in CSS uses always the first BWP. The frequency resource allocation from DCI in USS uses </w:t>
      </w:r>
      <w:r w:rsidR="00A87E02">
        <w:rPr>
          <w:rFonts w:eastAsiaTheme="minorEastAsia" w:cs="Arial"/>
          <w:lang w:eastAsia="ja-JP"/>
        </w:rPr>
        <w:t xml:space="preserve">active BWP. </w:t>
      </w:r>
      <w:r w:rsidR="00F273B3">
        <w:rPr>
          <w:rFonts w:eastAsiaTheme="minorEastAsia" w:cs="Arial"/>
          <w:lang w:eastAsia="ja-JP"/>
        </w:rPr>
        <w:t>Although o</w:t>
      </w:r>
      <w:r w:rsidR="00A87E02">
        <w:rPr>
          <w:rFonts w:eastAsiaTheme="minorEastAsia" w:cs="Arial"/>
          <w:lang w:eastAsia="ja-JP"/>
        </w:rPr>
        <w:t>ur view is such behaviour is supported also by the single BWP capable UE</w:t>
      </w:r>
      <w:r w:rsidR="000E2D74">
        <w:rPr>
          <w:rFonts w:eastAsiaTheme="minorEastAsia" w:cs="Arial"/>
          <w:lang w:eastAsia="ja-JP"/>
        </w:rPr>
        <w:t>, d</w:t>
      </w:r>
      <w:r w:rsidR="00A87E02">
        <w:rPr>
          <w:rFonts w:eastAsiaTheme="minorEastAsia" w:cs="Arial"/>
          <w:lang w:eastAsia="ja-JP"/>
        </w:rPr>
        <w:t>epending on what is "single BWP supported UE", this might be categorized</w:t>
      </w:r>
      <w:r w:rsidR="008927CC">
        <w:rPr>
          <w:rFonts w:eastAsiaTheme="minorEastAsia" w:cs="Arial"/>
          <w:lang w:eastAsia="ja-JP"/>
        </w:rPr>
        <w:t xml:space="preserve"> as two BWP capable UE. For group of UEs to share CSS, the first BWP size/location is aligned in this option.</w:t>
      </w:r>
      <w:r w:rsidR="000E2D74">
        <w:rPr>
          <w:rFonts w:eastAsiaTheme="minorEastAsia" w:cs="Arial"/>
          <w:lang w:eastAsia="ja-JP"/>
        </w:rPr>
        <w:t xml:space="preserve"> The reason to use first BWP instead of the default BWP is,</w:t>
      </w:r>
      <w:r w:rsidR="00565AF4">
        <w:rPr>
          <w:rFonts w:eastAsiaTheme="minorEastAsia" w:cs="Arial"/>
          <w:lang w:eastAsia="ja-JP"/>
        </w:rPr>
        <w:t xml:space="preserve"> if the BWP timer is not configured</w:t>
      </w:r>
      <w:r w:rsidR="000E2D74">
        <w:rPr>
          <w:rFonts w:eastAsiaTheme="minorEastAsia" w:cs="Arial"/>
          <w:lang w:eastAsia="ja-JP"/>
        </w:rPr>
        <w:t xml:space="preserve">, </w:t>
      </w:r>
      <w:r w:rsidR="00565AF4">
        <w:rPr>
          <w:rFonts w:eastAsiaTheme="minorEastAsia" w:cs="Arial"/>
          <w:lang w:eastAsia="ja-JP"/>
        </w:rPr>
        <w:t xml:space="preserve">our understanding is the </w:t>
      </w:r>
      <w:r w:rsidR="000E2D74">
        <w:rPr>
          <w:rFonts w:eastAsiaTheme="minorEastAsia" w:cs="Arial"/>
          <w:lang w:eastAsia="ja-JP"/>
        </w:rPr>
        <w:t xml:space="preserve">default BWP is not </w:t>
      </w:r>
      <w:r w:rsidR="00565AF4">
        <w:rPr>
          <w:rFonts w:eastAsiaTheme="minorEastAsia" w:cs="Arial"/>
          <w:lang w:eastAsia="ja-JP"/>
        </w:rPr>
        <w:t xml:space="preserve">also </w:t>
      </w:r>
      <w:r w:rsidR="000E2D74">
        <w:rPr>
          <w:rFonts w:eastAsiaTheme="minorEastAsia" w:cs="Arial"/>
          <w:lang w:eastAsia="ja-JP"/>
        </w:rPr>
        <w:t>configured.</w:t>
      </w:r>
    </w:p>
    <w:p w14:paraId="50BBB40E" w14:textId="2425795A" w:rsidR="008927CC" w:rsidRDefault="008927CC" w:rsidP="00BE6917">
      <w:pPr>
        <w:ind w:left="400"/>
        <w:rPr>
          <w:rFonts w:eastAsiaTheme="minorEastAsia" w:cs="Arial"/>
          <w:lang w:eastAsia="ja-JP"/>
        </w:rPr>
      </w:pPr>
      <w:r>
        <w:rPr>
          <w:rFonts w:eastAsiaTheme="minorEastAsia" w:cs="Arial"/>
          <w:lang w:eastAsia="ja-JP"/>
        </w:rPr>
        <w:t xml:space="preserve">Option 3 means, by setting </w:t>
      </w:r>
      <w:r w:rsidR="00D466FE">
        <w:rPr>
          <w:rFonts w:eastAsiaTheme="minorEastAsia" w:cs="Arial"/>
          <w:lang w:eastAsia="ja-JP"/>
        </w:rPr>
        <w:t xml:space="preserve">the </w:t>
      </w:r>
      <w:r>
        <w:rPr>
          <w:rFonts w:eastAsiaTheme="minorEastAsia" w:cs="Arial"/>
          <w:lang w:eastAsia="ja-JP"/>
        </w:rPr>
        <w:t xml:space="preserve">CSS CORESET size as the resource allocation for </w:t>
      </w:r>
      <w:r w:rsidR="00D466FE">
        <w:rPr>
          <w:rFonts w:eastAsiaTheme="minorEastAsia" w:cs="Arial"/>
          <w:lang w:eastAsia="ja-JP"/>
        </w:rPr>
        <w:t xml:space="preserve">the </w:t>
      </w:r>
      <w:r>
        <w:rPr>
          <w:rFonts w:eastAsiaTheme="minorEastAsia" w:cs="Arial"/>
          <w:lang w:eastAsia="ja-JP"/>
        </w:rPr>
        <w:t xml:space="preserve">DCI in </w:t>
      </w:r>
      <w:r w:rsidR="00287D30">
        <w:rPr>
          <w:rFonts w:eastAsiaTheme="minorEastAsia" w:cs="Arial"/>
          <w:lang w:eastAsia="ja-JP"/>
        </w:rPr>
        <w:t xml:space="preserve">the </w:t>
      </w:r>
      <w:r w:rsidR="00D466FE">
        <w:rPr>
          <w:rFonts w:eastAsiaTheme="minorEastAsia" w:cs="Arial"/>
          <w:lang w:eastAsia="ja-JP"/>
        </w:rPr>
        <w:t xml:space="preserve">respective </w:t>
      </w:r>
      <w:r>
        <w:rPr>
          <w:rFonts w:eastAsiaTheme="minorEastAsia" w:cs="Arial"/>
          <w:lang w:eastAsia="ja-JP"/>
        </w:rPr>
        <w:t>CSS, the frequency resource assignment si</w:t>
      </w:r>
      <w:r w:rsidR="00D84E7F">
        <w:rPr>
          <w:rFonts w:eastAsiaTheme="minorEastAsia" w:cs="Arial"/>
          <w:lang w:eastAsia="ja-JP"/>
        </w:rPr>
        <w:t>ze</w:t>
      </w:r>
      <w:r w:rsidR="00287D30">
        <w:rPr>
          <w:rFonts w:eastAsiaTheme="minorEastAsia" w:cs="Arial"/>
          <w:lang w:eastAsia="ja-JP"/>
        </w:rPr>
        <w:t xml:space="preserve"> is</w:t>
      </w:r>
      <w:r w:rsidR="00D84E7F">
        <w:rPr>
          <w:rFonts w:eastAsiaTheme="minorEastAsia" w:cs="Arial"/>
          <w:lang w:eastAsia="ja-JP"/>
        </w:rPr>
        <w:t xml:space="preserve"> aligned among multiple BWPs</w:t>
      </w:r>
      <w:r w:rsidR="00A85128">
        <w:rPr>
          <w:rFonts w:eastAsiaTheme="minorEastAsia" w:cs="Arial"/>
          <w:lang w:eastAsia="ja-JP"/>
        </w:rPr>
        <w:t xml:space="preserve"> and among multiple UEs</w:t>
      </w:r>
      <w:r w:rsidR="00D84E7F">
        <w:rPr>
          <w:rFonts w:eastAsiaTheme="minorEastAsia" w:cs="Arial"/>
          <w:lang w:eastAsia="ja-JP"/>
        </w:rPr>
        <w:t>. The CSS frequency resource allocation size is limited by CORESET used bandwidth but it would be supp</w:t>
      </w:r>
      <w:r w:rsidR="004671C5">
        <w:rPr>
          <w:rFonts w:eastAsiaTheme="minorEastAsia" w:cs="Arial"/>
          <w:lang w:eastAsia="ja-JP"/>
        </w:rPr>
        <w:t>orted by single active BWP capable UEs.</w:t>
      </w:r>
    </w:p>
    <w:p w14:paraId="527D764E" w14:textId="6E0964E5" w:rsidR="00995CB2" w:rsidRDefault="00995CB2" w:rsidP="00BE6917">
      <w:pPr>
        <w:ind w:left="400"/>
        <w:rPr>
          <w:rFonts w:eastAsiaTheme="minorEastAsia" w:cs="Arial"/>
          <w:lang w:eastAsia="ja-JP"/>
        </w:rPr>
      </w:pPr>
      <w:r>
        <w:rPr>
          <w:rFonts w:eastAsiaTheme="minorEastAsia" w:cs="Arial"/>
          <w:lang w:eastAsia="ja-JP"/>
        </w:rPr>
        <w:t xml:space="preserve">We are ok with either of above option but at least one of option </w:t>
      </w:r>
      <w:r w:rsidR="00CC339F">
        <w:rPr>
          <w:rFonts w:eastAsiaTheme="minorEastAsia" w:cs="Arial"/>
          <w:lang w:eastAsia="ja-JP"/>
        </w:rPr>
        <w:t>should be taken.</w:t>
      </w:r>
    </w:p>
    <w:p w14:paraId="79708C5D" w14:textId="236418E8" w:rsidR="00BB79E4" w:rsidRDefault="00BB79E4" w:rsidP="00BE6917">
      <w:pPr>
        <w:ind w:left="400"/>
        <w:rPr>
          <w:rFonts w:eastAsiaTheme="minorEastAsia" w:cs="Arial"/>
          <w:lang w:eastAsia="ja-JP"/>
        </w:rPr>
      </w:pPr>
      <w:r>
        <w:rPr>
          <w:rFonts w:eastAsiaTheme="minorEastAsia" w:cs="Arial"/>
          <w:lang w:eastAsia="ja-JP"/>
        </w:rPr>
        <w:t>Based on above discussion, our proposal is following.</w:t>
      </w:r>
    </w:p>
    <w:p w14:paraId="43C0A3C6" w14:textId="661F3ED7" w:rsidR="00CC339F" w:rsidRDefault="00CC339F" w:rsidP="00CC339F">
      <w:pPr>
        <w:ind w:left="400"/>
        <w:rPr>
          <w:rFonts w:eastAsiaTheme="minorEastAsia" w:cs="Arial"/>
          <w:b/>
          <w:lang w:eastAsia="ja-JP"/>
        </w:rPr>
      </w:pPr>
      <w:r>
        <w:rPr>
          <w:rFonts w:eastAsiaTheme="minorEastAsia" w:cs="Arial"/>
          <w:b/>
          <w:lang w:eastAsia="ja-JP"/>
        </w:rPr>
        <w:t>Proposal</w:t>
      </w:r>
      <w:r w:rsidRPr="004A206B">
        <w:rPr>
          <w:rFonts w:eastAsiaTheme="minorEastAsia" w:cs="Arial"/>
          <w:b/>
          <w:lang w:eastAsia="ja-JP"/>
        </w:rPr>
        <w:t xml:space="preserve"> 1: </w:t>
      </w:r>
      <w:r w:rsidRPr="00CC339F">
        <w:rPr>
          <w:rFonts w:eastAsiaTheme="minorEastAsia" w:cs="Arial"/>
          <w:b/>
          <w:lang w:eastAsia="ja-JP"/>
        </w:rPr>
        <w:t xml:space="preserve">DCI format 0-0/0-1 frequency resource allocation size in CSS is determined by </w:t>
      </w:r>
      <w:r>
        <w:rPr>
          <w:rFonts w:eastAsiaTheme="minorEastAsia" w:cs="Arial"/>
          <w:b/>
          <w:lang w:eastAsia="ja-JP"/>
        </w:rPr>
        <w:t xml:space="preserve">either of 1) initial active BWP, 2) first BWP </w:t>
      </w:r>
      <w:r w:rsidR="00F73CD8" w:rsidRPr="00F73CD8">
        <w:rPr>
          <w:rFonts w:eastAsiaTheme="minorEastAsia" w:cs="Arial"/>
          <w:b/>
          <w:lang w:eastAsia="ja-JP"/>
        </w:rPr>
        <w:t xml:space="preserve">among configured BWPs </w:t>
      </w:r>
      <w:r>
        <w:rPr>
          <w:rFonts w:eastAsiaTheme="minorEastAsia" w:cs="Arial"/>
          <w:b/>
          <w:lang w:eastAsia="ja-JP"/>
        </w:rPr>
        <w:t>or 3) the highest and lowest P</w:t>
      </w:r>
      <w:r w:rsidR="00370ED7">
        <w:rPr>
          <w:rFonts w:eastAsiaTheme="minorEastAsia" w:cs="Arial"/>
          <w:b/>
          <w:lang w:eastAsia="ja-JP"/>
        </w:rPr>
        <w:t>R</w:t>
      </w:r>
      <w:r>
        <w:rPr>
          <w:rFonts w:eastAsiaTheme="minorEastAsia" w:cs="Arial"/>
          <w:b/>
          <w:lang w:eastAsia="ja-JP"/>
        </w:rPr>
        <w:t>B posit</w:t>
      </w:r>
      <w:r w:rsidR="00370ED7">
        <w:rPr>
          <w:rFonts w:eastAsiaTheme="minorEastAsia" w:cs="Arial"/>
          <w:b/>
          <w:lang w:eastAsia="ja-JP"/>
        </w:rPr>
        <w:t>i</w:t>
      </w:r>
      <w:r>
        <w:rPr>
          <w:rFonts w:eastAsiaTheme="minorEastAsia" w:cs="Arial"/>
          <w:b/>
          <w:lang w:eastAsia="ja-JP"/>
        </w:rPr>
        <w:t>on of CSS CORESET size.</w:t>
      </w:r>
    </w:p>
    <w:p w14:paraId="09014079" w14:textId="069989F3" w:rsidR="00CC339F" w:rsidRPr="00CC339F" w:rsidRDefault="00CF2517" w:rsidP="00BE6917">
      <w:pPr>
        <w:ind w:left="400"/>
        <w:rPr>
          <w:rFonts w:eastAsiaTheme="minorEastAsia" w:cs="Arial"/>
          <w:lang w:eastAsia="ja-JP"/>
        </w:rPr>
      </w:pPr>
      <w:r>
        <w:rPr>
          <w:rFonts w:eastAsiaTheme="minorEastAsia" w:cs="Arial"/>
          <w:b/>
          <w:lang w:eastAsia="ja-JP"/>
        </w:rPr>
        <w:t>Proposal 2: Payload size alignment agreement is modified as "</w:t>
      </w:r>
      <w:r w:rsidRPr="00CF2517">
        <w:rPr>
          <w:rFonts w:eastAsiaTheme="minorEastAsia" w:cs="Arial"/>
          <w:b/>
          <w:lang w:eastAsia="ja-JP"/>
        </w:rPr>
        <w:t>Payload sizes for 2-2 and 2-3 are padded (if needed) to match the size of formats 0-0/</w:t>
      </w:r>
      <w:r>
        <w:rPr>
          <w:rFonts w:eastAsiaTheme="minorEastAsia" w:cs="Arial"/>
          <w:b/>
          <w:lang w:eastAsia="ja-JP"/>
        </w:rPr>
        <w:t xml:space="preserve">1-0 </w:t>
      </w:r>
      <w:r w:rsidRPr="00CF2517">
        <w:rPr>
          <w:rFonts w:eastAsiaTheme="minorEastAsia" w:cs="Arial"/>
          <w:b/>
          <w:color w:val="FF0000"/>
          <w:lang w:eastAsia="ja-JP"/>
        </w:rPr>
        <w:t>in CSS</w:t>
      </w:r>
      <w:r w:rsidR="00E47DB1" w:rsidRPr="00612378">
        <w:rPr>
          <w:rFonts w:eastAsiaTheme="minorEastAsia" w:cs="Arial"/>
          <w:b/>
          <w:strike/>
          <w:color w:val="FF0000"/>
          <w:lang w:eastAsia="ja-JP"/>
        </w:rPr>
        <w:t xml:space="preserve"> as defined by the initial BWP</w:t>
      </w:r>
      <w:r>
        <w:rPr>
          <w:rFonts w:eastAsiaTheme="minorEastAsia" w:cs="Arial"/>
          <w:b/>
          <w:lang w:eastAsia="ja-JP"/>
        </w:rPr>
        <w:t>".</w:t>
      </w:r>
    </w:p>
    <w:p w14:paraId="1E9219AB" w14:textId="63A23669" w:rsidR="00A87E02" w:rsidRDefault="00A87E02" w:rsidP="00BE6917">
      <w:pPr>
        <w:ind w:left="400"/>
        <w:rPr>
          <w:rFonts w:eastAsiaTheme="minorEastAsia" w:cs="Arial"/>
          <w:lang w:eastAsia="ja-JP"/>
        </w:rPr>
      </w:pPr>
    </w:p>
    <w:p w14:paraId="3082B9D2" w14:textId="3AC9AAC7" w:rsidR="001E1215" w:rsidRPr="004A206B" w:rsidRDefault="001E1215" w:rsidP="001E1215">
      <w:pPr>
        <w:rPr>
          <w:rFonts w:eastAsiaTheme="minorEastAsia" w:cs="Arial"/>
          <w:b/>
          <w:u w:val="single"/>
          <w:lang w:eastAsia="ja-JP"/>
        </w:rPr>
      </w:pPr>
      <w:r>
        <w:rPr>
          <w:rFonts w:eastAsiaTheme="minorEastAsia" w:cs="Arial"/>
          <w:b/>
          <w:u w:val="single"/>
          <w:lang w:eastAsia="ja-JP"/>
        </w:rPr>
        <w:t xml:space="preserve">DCI 0-0/1-0 payload size alignment before and after </w:t>
      </w:r>
      <w:r w:rsidR="005F4BFF">
        <w:rPr>
          <w:rFonts w:eastAsiaTheme="minorEastAsia" w:cs="Arial"/>
          <w:b/>
          <w:u w:val="single"/>
          <w:lang w:eastAsia="ja-JP"/>
        </w:rPr>
        <w:t>RRC connection set-up</w:t>
      </w:r>
    </w:p>
    <w:p w14:paraId="610E5553" w14:textId="3C4E0921" w:rsidR="001E1215" w:rsidRDefault="00116E1D" w:rsidP="00BE6917">
      <w:pPr>
        <w:ind w:left="400"/>
        <w:rPr>
          <w:rFonts w:eastAsiaTheme="minorEastAsia" w:cs="Arial"/>
          <w:lang w:eastAsia="ja-JP"/>
        </w:rPr>
      </w:pPr>
      <w:r>
        <w:rPr>
          <w:rFonts w:eastAsiaTheme="minorEastAsia" w:cs="Arial"/>
          <w:lang w:eastAsia="ja-JP"/>
        </w:rPr>
        <w:t xml:space="preserve">Even after UE receives PBCH, the following field size of DCI format 1-0 is not determined. </w:t>
      </w:r>
    </w:p>
    <w:p w14:paraId="18C0F9E7" w14:textId="34479DCB" w:rsidR="00116E1D" w:rsidRDefault="00116E1D" w:rsidP="00683B1A">
      <w:pPr>
        <w:ind w:leftChars="400" w:left="800"/>
        <w:rPr>
          <w:rFonts w:eastAsiaTheme="minorEastAsia" w:cs="Arial"/>
          <w:lang w:eastAsia="ja-JP"/>
        </w:rPr>
      </w:pPr>
      <w:r>
        <w:rPr>
          <w:rFonts w:eastAsiaTheme="minorEastAsia" w:cs="Arial"/>
          <w:lang w:eastAsia="ja-JP"/>
        </w:rPr>
        <w:t>- the field size for identifier for DCI formats</w:t>
      </w:r>
    </w:p>
    <w:p w14:paraId="0A4ACD24" w14:textId="6B001AEB" w:rsidR="00116E1D" w:rsidRDefault="00116E1D" w:rsidP="00683B1A">
      <w:pPr>
        <w:ind w:leftChars="400" w:left="800"/>
        <w:rPr>
          <w:rFonts w:eastAsiaTheme="minorEastAsia" w:cs="Arial"/>
          <w:lang w:eastAsia="ja-JP"/>
        </w:rPr>
      </w:pPr>
      <w:r>
        <w:rPr>
          <w:rFonts w:eastAsiaTheme="minorEastAsia" w:cs="Arial"/>
          <w:lang w:eastAsia="ja-JP"/>
        </w:rPr>
        <w:t>- the field size for time domain resource assignment</w:t>
      </w:r>
    </w:p>
    <w:p w14:paraId="7E15A29A" w14:textId="4804FAD0" w:rsidR="00116E1D" w:rsidRDefault="00116E1D" w:rsidP="00683B1A">
      <w:pPr>
        <w:ind w:leftChars="400" w:left="800"/>
        <w:rPr>
          <w:rFonts w:eastAsiaTheme="minorEastAsia" w:cs="Arial"/>
          <w:lang w:eastAsia="ja-JP"/>
        </w:rPr>
      </w:pPr>
      <w:r>
        <w:rPr>
          <w:rFonts w:eastAsiaTheme="minorEastAsia" w:cs="Arial"/>
          <w:lang w:eastAsia="ja-JP"/>
        </w:rPr>
        <w:t>- whether VRB-to-PRB mapping field is required or not</w:t>
      </w:r>
    </w:p>
    <w:p w14:paraId="0216E617" w14:textId="28959707" w:rsidR="00116E1D" w:rsidRDefault="00116E1D" w:rsidP="00683B1A">
      <w:pPr>
        <w:ind w:leftChars="400" w:left="800"/>
        <w:rPr>
          <w:rFonts w:eastAsiaTheme="minorEastAsia" w:cs="Arial"/>
          <w:lang w:eastAsia="ja-JP"/>
        </w:rPr>
      </w:pPr>
      <w:r>
        <w:rPr>
          <w:rFonts w:eastAsiaTheme="minorEastAsia" w:cs="Arial"/>
          <w:lang w:eastAsia="ja-JP"/>
        </w:rPr>
        <w:t xml:space="preserve">- </w:t>
      </w:r>
      <w:r w:rsidR="00D1341D">
        <w:rPr>
          <w:rFonts w:eastAsiaTheme="minorEastAsia" w:cs="Arial"/>
          <w:lang w:eastAsia="ja-JP"/>
        </w:rPr>
        <w:t>TPC command for scheduling PUCCH</w:t>
      </w:r>
    </w:p>
    <w:p w14:paraId="62C13327" w14:textId="2242E910" w:rsidR="00D1341D" w:rsidRPr="001E1215" w:rsidRDefault="00D1341D" w:rsidP="00683B1A">
      <w:pPr>
        <w:ind w:leftChars="400" w:left="800"/>
        <w:rPr>
          <w:rFonts w:eastAsiaTheme="minorEastAsia" w:cs="Arial"/>
          <w:lang w:eastAsia="ja-JP"/>
        </w:rPr>
      </w:pPr>
      <w:r>
        <w:rPr>
          <w:rFonts w:eastAsiaTheme="minorEastAsia" w:cs="Arial"/>
          <w:lang w:eastAsia="ja-JP"/>
        </w:rPr>
        <w:t xml:space="preserve">- the field size for PUCCH resource indicator </w:t>
      </w:r>
    </w:p>
    <w:p w14:paraId="539645A6" w14:textId="18E985ED" w:rsidR="00BE6917" w:rsidRDefault="00D1341D" w:rsidP="00683B1A">
      <w:pPr>
        <w:ind w:leftChars="400" w:left="800"/>
        <w:rPr>
          <w:rFonts w:eastAsiaTheme="minorEastAsia" w:cs="Arial"/>
          <w:lang w:eastAsia="ja-JP"/>
        </w:rPr>
      </w:pPr>
      <w:r>
        <w:rPr>
          <w:rFonts w:eastAsiaTheme="minorEastAsia" w:cs="Arial"/>
          <w:lang w:eastAsia="ja-JP"/>
        </w:rPr>
        <w:t xml:space="preserve">- the field size for </w:t>
      </w:r>
      <w:r w:rsidRPr="00D1341D">
        <w:rPr>
          <w:rFonts w:eastAsiaTheme="minorEastAsia" w:cs="Arial"/>
          <w:lang w:eastAsia="ja-JP"/>
        </w:rPr>
        <w:t>PDSCH-to-HARQ_feedback timing indicator</w:t>
      </w:r>
    </w:p>
    <w:p w14:paraId="51C381E7" w14:textId="50EE1C33" w:rsidR="00D1341D" w:rsidRDefault="00683B1A" w:rsidP="00BE6917">
      <w:pPr>
        <w:ind w:left="400"/>
        <w:rPr>
          <w:rFonts w:eastAsiaTheme="minorEastAsia" w:cs="Arial"/>
          <w:lang w:eastAsia="ja-JP"/>
        </w:rPr>
      </w:pPr>
      <w:r>
        <w:rPr>
          <w:rFonts w:eastAsiaTheme="minorEastAsia" w:cs="Arial" w:hint="eastAsia"/>
          <w:lang w:eastAsia="ja-JP"/>
        </w:rPr>
        <w:t xml:space="preserve">After RMSI reception or after UE specific RRC configuration, the field size of above are determined. </w:t>
      </w:r>
      <w:r>
        <w:rPr>
          <w:rFonts w:eastAsiaTheme="minorEastAsia" w:cs="Arial"/>
          <w:lang w:eastAsia="ja-JP"/>
        </w:rPr>
        <w:t>If DCI 0-0/1-0 format size is aligned before and after RRC connection set-up</w:t>
      </w:r>
      <w:r w:rsidR="00A85128">
        <w:rPr>
          <w:rFonts w:eastAsiaTheme="minorEastAsia" w:cs="Arial"/>
          <w:lang w:eastAsia="ja-JP"/>
        </w:rPr>
        <w:t xml:space="preserve"> in order to satisfy a</w:t>
      </w:r>
      <w:r w:rsidR="00A85128" w:rsidRPr="00A85128">
        <w:rPr>
          <w:rFonts w:eastAsiaTheme="minorEastAsia" w:cs="Arial"/>
          <w:lang w:eastAsia="ja-JP"/>
        </w:rPr>
        <w:t>t most 4 different DCI sizes are monitored by the UE per slot</w:t>
      </w:r>
      <w:r>
        <w:rPr>
          <w:rFonts w:eastAsiaTheme="minorEastAsia" w:cs="Arial"/>
          <w:lang w:eastAsia="ja-JP"/>
        </w:rPr>
        <w:t xml:space="preserve">, above field size needs to be fixed at the time of PBCH reception. We see following approaches. </w:t>
      </w:r>
    </w:p>
    <w:p w14:paraId="40605ADE" w14:textId="17CBD2D8" w:rsidR="00F51E64" w:rsidRDefault="00F51E64" w:rsidP="00832BBC">
      <w:pPr>
        <w:ind w:leftChars="400" w:left="800"/>
        <w:rPr>
          <w:rFonts w:eastAsiaTheme="minorEastAsia" w:cs="Arial"/>
          <w:lang w:eastAsia="ja-JP"/>
        </w:rPr>
      </w:pPr>
      <w:r>
        <w:rPr>
          <w:rFonts w:eastAsiaTheme="minorEastAsia" w:cs="Arial"/>
          <w:lang w:eastAsia="ja-JP"/>
        </w:rPr>
        <w:t xml:space="preserve">- Option 1: Two </w:t>
      </w:r>
      <w:r w:rsidR="00C611C8">
        <w:rPr>
          <w:rFonts w:eastAsiaTheme="minorEastAsia" w:cs="Arial"/>
          <w:lang w:eastAsia="ja-JP"/>
        </w:rPr>
        <w:t xml:space="preserve">different size of </w:t>
      </w:r>
      <w:r>
        <w:rPr>
          <w:rFonts w:eastAsiaTheme="minorEastAsia" w:cs="Arial"/>
          <w:lang w:eastAsia="ja-JP"/>
        </w:rPr>
        <w:t>PDCCHs are used for the network.</w:t>
      </w:r>
      <w:r w:rsidR="00832BBC">
        <w:rPr>
          <w:rFonts w:eastAsiaTheme="minorEastAsia" w:cs="Arial" w:hint="eastAsia"/>
          <w:lang w:eastAsia="ja-JP"/>
        </w:rPr>
        <w:t xml:space="preserve"> </w:t>
      </w:r>
      <w:r>
        <w:rPr>
          <w:rFonts w:eastAsiaTheme="minorEastAsia" w:cs="Arial" w:hint="eastAsia"/>
          <w:lang w:eastAsia="ja-JP"/>
        </w:rPr>
        <w:t xml:space="preserve">DCI size configured by PBCH is </w:t>
      </w:r>
      <w:r w:rsidR="003D1D27">
        <w:rPr>
          <w:rFonts w:eastAsiaTheme="minorEastAsia" w:cs="Arial"/>
          <w:lang w:eastAsia="ja-JP"/>
        </w:rPr>
        <w:t xml:space="preserve">separately </w:t>
      </w:r>
      <w:r>
        <w:rPr>
          <w:rFonts w:eastAsiaTheme="minorEastAsia" w:cs="Arial" w:hint="eastAsia"/>
          <w:lang w:eastAsia="ja-JP"/>
        </w:rPr>
        <w:t>introduced.</w:t>
      </w:r>
      <w:r>
        <w:rPr>
          <w:rFonts w:eastAsiaTheme="minorEastAsia" w:cs="Arial"/>
          <w:lang w:eastAsia="ja-JP"/>
        </w:rPr>
        <w:t xml:space="preserve"> The 0-0/1-0 DCI format size in CSS configured by RMSI and configured by UE specific RRC are aligned</w:t>
      </w:r>
      <w:r w:rsidR="006C0D81">
        <w:rPr>
          <w:rFonts w:eastAsiaTheme="minorEastAsia" w:cs="Arial"/>
          <w:lang w:eastAsia="ja-JP"/>
        </w:rPr>
        <w:t>.</w:t>
      </w:r>
    </w:p>
    <w:p w14:paraId="2FBF4C4A" w14:textId="3E000CF1" w:rsidR="00374C1C" w:rsidRDefault="00B64B6F" w:rsidP="00832BBC">
      <w:pPr>
        <w:ind w:leftChars="400" w:left="800"/>
        <w:rPr>
          <w:rFonts w:eastAsiaTheme="minorEastAsia" w:cs="Arial"/>
          <w:lang w:eastAsia="ja-JP"/>
        </w:rPr>
      </w:pPr>
      <w:r>
        <w:rPr>
          <w:rFonts w:eastAsiaTheme="minorEastAsia" w:cs="Arial"/>
          <w:lang w:eastAsia="ja-JP"/>
        </w:rPr>
        <w:t xml:space="preserve">- Option 2: </w:t>
      </w:r>
      <w:r w:rsidRPr="00832BBC">
        <w:rPr>
          <w:rFonts w:eastAsiaTheme="minorEastAsia" w:cs="Arial"/>
          <w:lang w:eastAsia="ja-JP"/>
        </w:rPr>
        <w:t xml:space="preserve">DCI </w:t>
      </w:r>
      <w:r w:rsidR="00374C1C">
        <w:rPr>
          <w:rFonts w:eastAsiaTheme="minorEastAsia" w:cs="Arial"/>
          <w:lang w:eastAsia="ja-JP"/>
        </w:rPr>
        <w:t xml:space="preserve">size configured </w:t>
      </w:r>
      <w:r>
        <w:rPr>
          <w:rFonts w:eastAsiaTheme="minorEastAsia" w:cs="Arial"/>
          <w:lang w:eastAsia="ja-JP"/>
        </w:rPr>
        <w:t xml:space="preserve">by PBCH takes </w:t>
      </w:r>
      <w:r w:rsidR="00374C1C">
        <w:rPr>
          <w:rFonts w:eastAsiaTheme="minorEastAsia" w:cs="Arial"/>
          <w:lang w:eastAsia="ja-JP"/>
        </w:rPr>
        <w:t>maximum size of "size identifier, time domain resource allocation, VRB-to-PRB mapping, TPC command, PUCCH resource allocation, a</w:t>
      </w:r>
      <w:r w:rsidR="00E9330C">
        <w:rPr>
          <w:rFonts w:eastAsiaTheme="minorEastAsia" w:cs="Arial"/>
          <w:lang w:eastAsia="ja-JP"/>
        </w:rPr>
        <w:t>nd HARQ feedback</w:t>
      </w:r>
      <w:r w:rsidR="00374C1C">
        <w:rPr>
          <w:rFonts w:eastAsiaTheme="minorEastAsia" w:cs="Arial"/>
          <w:lang w:eastAsia="ja-JP"/>
        </w:rPr>
        <w:t xml:space="preserve"> timing".</w:t>
      </w:r>
    </w:p>
    <w:p w14:paraId="3C7AE073" w14:textId="537BA658" w:rsidR="00F541F6" w:rsidRDefault="00F541F6" w:rsidP="00F541F6">
      <w:pPr>
        <w:ind w:leftChars="400" w:left="800"/>
        <w:rPr>
          <w:rFonts w:eastAsiaTheme="minorEastAsia" w:cs="Arial"/>
          <w:lang w:eastAsia="ja-JP"/>
        </w:rPr>
      </w:pPr>
      <w:r>
        <w:rPr>
          <w:rFonts w:eastAsiaTheme="minorEastAsia" w:cs="Arial"/>
          <w:lang w:eastAsia="ja-JP"/>
        </w:rPr>
        <w:t xml:space="preserve">- Option 3: </w:t>
      </w:r>
      <w:r w:rsidRPr="00F541F6">
        <w:rPr>
          <w:rFonts w:eastAsiaTheme="minorEastAsia" w:cs="Arial"/>
          <w:lang w:eastAsia="ja-JP"/>
        </w:rPr>
        <w:t>DCI 0-0/1-0 format siz</w:t>
      </w:r>
      <w:r>
        <w:rPr>
          <w:rFonts w:eastAsiaTheme="minorEastAsia" w:cs="Arial"/>
          <w:lang w:eastAsia="ja-JP"/>
        </w:rPr>
        <w:t>e is indicated by PBCH</w:t>
      </w:r>
      <w:r w:rsidR="00C611C8">
        <w:rPr>
          <w:rFonts w:eastAsiaTheme="minorEastAsia" w:cs="Arial"/>
          <w:lang w:eastAsia="ja-JP"/>
        </w:rPr>
        <w:t>.</w:t>
      </w:r>
    </w:p>
    <w:p w14:paraId="059578C5" w14:textId="4756D1C6" w:rsidR="00EB60BF" w:rsidRDefault="00D35ECD" w:rsidP="00BE6917">
      <w:pPr>
        <w:ind w:left="400"/>
        <w:rPr>
          <w:rFonts w:eastAsiaTheme="minorEastAsia" w:cs="Arial"/>
          <w:lang w:eastAsia="ja-JP"/>
        </w:rPr>
      </w:pPr>
      <w:r>
        <w:rPr>
          <w:rFonts w:eastAsiaTheme="minorEastAsia" w:cs="Arial"/>
          <w:lang w:eastAsia="ja-JP"/>
        </w:rPr>
        <w:t xml:space="preserve">In our view, option 3 is difficult to realize </w:t>
      </w:r>
      <w:r w:rsidR="00CB231D">
        <w:rPr>
          <w:rFonts w:eastAsiaTheme="minorEastAsia" w:cs="Arial"/>
          <w:lang w:eastAsia="ja-JP"/>
        </w:rPr>
        <w:t xml:space="preserve">now </w:t>
      </w:r>
      <w:r>
        <w:rPr>
          <w:rFonts w:eastAsiaTheme="minorEastAsia" w:cs="Arial"/>
          <w:lang w:eastAsia="ja-JP"/>
        </w:rPr>
        <w:t>as PBCH payload size is already fixed. Option 2 takes always larger size has concern on overhead as DCI 0-0/1-0 for SI-RNTI, P-RNTI, RA-RNTI and TC-RNTI needs to cover the maximum coverage of th</w:t>
      </w:r>
      <w:r w:rsidR="00CB231D">
        <w:rPr>
          <w:rFonts w:eastAsiaTheme="minorEastAsia" w:cs="Arial"/>
          <w:lang w:eastAsia="ja-JP"/>
        </w:rPr>
        <w:t>e</w:t>
      </w:r>
      <w:r>
        <w:rPr>
          <w:rFonts w:eastAsiaTheme="minorEastAsia" w:cs="Arial"/>
          <w:lang w:eastAsia="ja-JP"/>
        </w:rPr>
        <w:t xml:space="preserve"> cell</w:t>
      </w:r>
      <w:r w:rsidR="00CB231D">
        <w:rPr>
          <w:rFonts w:eastAsiaTheme="minorEastAsia" w:cs="Arial"/>
          <w:lang w:eastAsia="ja-JP"/>
        </w:rPr>
        <w:t>, which uses higher aggregation level like 8 or 16</w:t>
      </w:r>
      <w:r>
        <w:rPr>
          <w:rFonts w:eastAsiaTheme="minorEastAsia" w:cs="Arial"/>
          <w:lang w:eastAsia="ja-JP"/>
        </w:rPr>
        <w:t xml:space="preserve">. </w:t>
      </w:r>
      <w:r w:rsidR="00EB60BF">
        <w:rPr>
          <w:rFonts w:eastAsiaTheme="minorEastAsia" w:cs="Arial"/>
          <w:lang w:eastAsia="ja-JP"/>
        </w:rPr>
        <w:t xml:space="preserve">Always to use highest payload increase the overhead. Option 1 requires two DCI size transmission but one size is minimized only for RMSI scheduling. Then based on RMSI configuration, DCI 0-0/1-0 for SI-RNTI, P-RNTI, RA-RNTI and TC-RNTI in CSS and DCI 0-0/1-0 for </w:t>
      </w:r>
      <w:r w:rsidR="007F2264">
        <w:rPr>
          <w:rFonts w:eastAsiaTheme="minorEastAsia" w:cs="Arial"/>
          <w:lang w:eastAsia="ja-JP"/>
        </w:rPr>
        <w:t>C-RNTI are aligned. In RRC connected mode, UE is not required to receive DCI configured by PBCH.</w:t>
      </w:r>
      <w:r w:rsidR="002D5573">
        <w:rPr>
          <w:rFonts w:eastAsiaTheme="minorEastAsia" w:cs="Arial"/>
          <w:lang w:eastAsia="ja-JP"/>
        </w:rPr>
        <w:t xml:space="preserve"> Then the number of sizes to be received by UE c</w:t>
      </w:r>
      <w:r w:rsidR="004B2D80">
        <w:rPr>
          <w:rFonts w:eastAsiaTheme="minorEastAsia" w:cs="Arial"/>
          <w:lang w:eastAsia="ja-JP"/>
        </w:rPr>
        <w:t>an be minimized in CSS as one.</w:t>
      </w:r>
    </w:p>
    <w:p w14:paraId="016EE842" w14:textId="25D05137" w:rsidR="00655CFC" w:rsidRDefault="00655CFC" w:rsidP="00BE6917">
      <w:pPr>
        <w:ind w:left="400"/>
        <w:rPr>
          <w:rFonts w:eastAsiaTheme="minorEastAsia" w:cs="Arial"/>
          <w:lang w:eastAsia="ja-JP"/>
        </w:rPr>
      </w:pPr>
      <w:r>
        <w:rPr>
          <w:rFonts w:eastAsiaTheme="minorEastAsia" w:cs="Arial" w:hint="eastAsia"/>
          <w:lang w:eastAsia="ja-JP"/>
        </w:rPr>
        <w:t xml:space="preserve">Based on the above discussion, we propose following. </w:t>
      </w:r>
    </w:p>
    <w:p w14:paraId="60836DA7" w14:textId="243A3032" w:rsidR="002C0F33" w:rsidRPr="00AD693C" w:rsidRDefault="00655CFC" w:rsidP="002C0F33">
      <w:pPr>
        <w:ind w:left="400"/>
        <w:rPr>
          <w:rFonts w:eastAsiaTheme="minorEastAsia" w:cs="Arial"/>
          <w:b/>
          <w:lang w:eastAsia="ja-JP"/>
        </w:rPr>
      </w:pPr>
      <w:r>
        <w:rPr>
          <w:rFonts w:eastAsiaTheme="minorEastAsia" w:cs="Arial"/>
          <w:b/>
          <w:lang w:eastAsia="ja-JP"/>
        </w:rPr>
        <w:lastRenderedPageBreak/>
        <w:t>Proposal</w:t>
      </w:r>
      <w:r w:rsidRPr="004A206B">
        <w:rPr>
          <w:rFonts w:eastAsiaTheme="minorEastAsia" w:cs="Arial"/>
          <w:b/>
          <w:lang w:eastAsia="ja-JP"/>
        </w:rPr>
        <w:t xml:space="preserve"> </w:t>
      </w:r>
      <w:r>
        <w:rPr>
          <w:rFonts w:eastAsiaTheme="minorEastAsia" w:cs="Arial"/>
          <w:b/>
          <w:lang w:eastAsia="ja-JP"/>
        </w:rPr>
        <w:t>3</w:t>
      </w:r>
      <w:r w:rsidRPr="004A206B">
        <w:rPr>
          <w:rFonts w:eastAsiaTheme="minorEastAsia" w:cs="Arial"/>
          <w:b/>
          <w:lang w:eastAsia="ja-JP"/>
        </w:rPr>
        <w:t xml:space="preserve">: </w:t>
      </w:r>
      <w:r w:rsidRPr="00CC339F">
        <w:rPr>
          <w:rFonts w:eastAsiaTheme="minorEastAsia" w:cs="Arial"/>
          <w:b/>
          <w:lang w:eastAsia="ja-JP"/>
        </w:rPr>
        <w:t xml:space="preserve">DCI </w:t>
      </w:r>
      <w:r w:rsidR="00EE4D5C">
        <w:rPr>
          <w:rFonts w:eastAsiaTheme="minorEastAsia" w:cs="Arial"/>
          <w:b/>
          <w:lang w:eastAsia="ja-JP"/>
        </w:rPr>
        <w:t xml:space="preserve">size determined by PBCH is separated from </w:t>
      </w:r>
      <w:r w:rsidR="00EA54CF">
        <w:rPr>
          <w:rFonts w:eastAsiaTheme="minorEastAsia" w:cs="Arial"/>
          <w:b/>
          <w:lang w:eastAsia="ja-JP"/>
        </w:rPr>
        <w:t xml:space="preserve">DCI </w:t>
      </w:r>
      <w:r w:rsidRPr="00CC339F">
        <w:rPr>
          <w:rFonts w:eastAsiaTheme="minorEastAsia" w:cs="Arial"/>
          <w:b/>
          <w:lang w:eastAsia="ja-JP"/>
        </w:rPr>
        <w:t xml:space="preserve">format 0-0/0-1 </w:t>
      </w:r>
      <w:r w:rsidR="00EA54CF">
        <w:rPr>
          <w:rFonts w:eastAsiaTheme="minorEastAsia" w:cs="Arial"/>
          <w:b/>
          <w:lang w:eastAsia="ja-JP"/>
        </w:rPr>
        <w:t xml:space="preserve">size configured by RMSI/UE specific RRC. The </w:t>
      </w:r>
      <w:r w:rsidR="00EA54CF" w:rsidRPr="00EA54CF">
        <w:rPr>
          <w:rFonts w:eastAsiaTheme="minorEastAsia" w:cs="Arial"/>
          <w:b/>
          <w:lang w:eastAsia="ja-JP"/>
        </w:rPr>
        <w:t>DCI format 0-0/0-1 size con</w:t>
      </w:r>
      <w:r w:rsidR="00EA54CF">
        <w:rPr>
          <w:rFonts w:eastAsiaTheme="minorEastAsia" w:cs="Arial"/>
          <w:b/>
          <w:lang w:eastAsia="ja-JP"/>
        </w:rPr>
        <w:t xml:space="preserve">figured by RMSI/UE specific RRC are used for </w:t>
      </w:r>
      <w:r w:rsidR="00EA54CF" w:rsidRPr="00EA54CF">
        <w:rPr>
          <w:rFonts w:eastAsiaTheme="minorEastAsia" w:cs="Arial"/>
          <w:b/>
          <w:lang w:eastAsia="ja-JP"/>
        </w:rPr>
        <w:t>SI-RNTI, P-RN</w:t>
      </w:r>
      <w:r w:rsidR="00EA54CF">
        <w:rPr>
          <w:rFonts w:eastAsiaTheme="minorEastAsia" w:cs="Arial"/>
          <w:b/>
          <w:lang w:eastAsia="ja-JP"/>
        </w:rPr>
        <w:t xml:space="preserve">TI, RA-RNTI, </w:t>
      </w:r>
      <w:r w:rsidR="00EA54CF" w:rsidRPr="00EA54CF">
        <w:rPr>
          <w:rFonts w:eastAsiaTheme="minorEastAsia" w:cs="Arial"/>
          <w:b/>
          <w:lang w:eastAsia="ja-JP"/>
        </w:rPr>
        <w:t>TC-RNTI</w:t>
      </w:r>
      <w:r w:rsidR="00EA54CF">
        <w:rPr>
          <w:rFonts w:eastAsiaTheme="minorEastAsia" w:cs="Arial"/>
          <w:b/>
          <w:lang w:eastAsia="ja-JP"/>
        </w:rPr>
        <w:t xml:space="preserve">, </w:t>
      </w:r>
      <w:r w:rsidR="00EA54CF" w:rsidRPr="00EA54CF">
        <w:rPr>
          <w:rFonts w:eastAsiaTheme="minorEastAsia" w:cs="Arial"/>
          <w:b/>
          <w:lang w:eastAsia="ja-JP"/>
        </w:rPr>
        <w:t>C-RNTI</w:t>
      </w:r>
      <w:r w:rsidR="00EA54CF">
        <w:rPr>
          <w:rFonts w:eastAsiaTheme="minorEastAsia" w:cs="Arial"/>
          <w:b/>
          <w:lang w:eastAsia="ja-JP"/>
        </w:rPr>
        <w:t xml:space="preserve"> and other RNTI in CSS.</w:t>
      </w:r>
    </w:p>
    <w:p w14:paraId="602290A2" w14:textId="77777777" w:rsidR="00167013" w:rsidRPr="004A206B" w:rsidRDefault="00167013" w:rsidP="002C0F33">
      <w:pPr>
        <w:ind w:left="400"/>
        <w:rPr>
          <w:rFonts w:eastAsiaTheme="minorEastAsia" w:cs="Arial"/>
          <w:b/>
          <w:lang w:eastAsia="ja-JP"/>
        </w:rPr>
      </w:pPr>
    </w:p>
    <w:p w14:paraId="2C9B8BA4" w14:textId="77777777" w:rsidR="00411953" w:rsidRPr="004A206B" w:rsidRDefault="00411953" w:rsidP="00411953">
      <w:pPr>
        <w:pStyle w:val="1"/>
        <w:tabs>
          <w:tab w:val="num" w:pos="426"/>
        </w:tabs>
        <w:ind w:left="426" w:hanging="426"/>
        <w:rPr>
          <w:szCs w:val="36"/>
          <w:lang w:eastAsia="ja-JP"/>
        </w:rPr>
      </w:pPr>
      <w:r w:rsidRPr="004A206B">
        <w:rPr>
          <w:szCs w:val="36"/>
          <w:lang w:eastAsia="ja-JP"/>
        </w:rPr>
        <w:t>Conclusion</w:t>
      </w:r>
    </w:p>
    <w:p w14:paraId="35A63081" w14:textId="69309C62" w:rsidR="00FD1CAA" w:rsidRPr="004A206B" w:rsidRDefault="00FD1CAA" w:rsidP="00FD1CAA">
      <w:pPr>
        <w:rPr>
          <w:rFonts w:eastAsiaTheme="minorEastAsia" w:cs="Arial"/>
          <w:lang w:eastAsia="ja-JP"/>
        </w:rPr>
      </w:pPr>
      <w:r w:rsidRPr="00B82B36">
        <w:rPr>
          <w:rFonts w:eastAsiaTheme="minorEastAsia" w:cs="Arial"/>
          <w:lang w:eastAsia="ja-JP"/>
        </w:rPr>
        <w:t xml:space="preserve">This document described our view on </w:t>
      </w:r>
      <w:r w:rsidR="009B695F" w:rsidRPr="00B82B36">
        <w:rPr>
          <w:rFonts w:eastAsiaTheme="minorEastAsia" w:cs="Arial"/>
          <w:lang w:eastAsia="ja-JP"/>
        </w:rPr>
        <w:t xml:space="preserve">payload size </w:t>
      </w:r>
      <w:r w:rsidR="005F11B8">
        <w:rPr>
          <w:rFonts w:eastAsiaTheme="minorEastAsia" w:cs="Arial"/>
          <w:lang w:eastAsia="ja-JP"/>
        </w:rPr>
        <w:t>alignments. Our observation and proposal are following</w:t>
      </w:r>
      <w:r w:rsidR="000F3C31">
        <w:rPr>
          <w:rFonts w:eastAsiaTheme="minorEastAsia" w:cs="Arial"/>
          <w:lang w:eastAsia="ja-JP"/>
        </w:rPr>
        <w:t>.</w:t>
      </w:r>
    </w:p>
    <w:p w14:paraId="39EEAFD0" w14:textId="77777777" w:rsidR="000F3C31" w:rsidRDefault="000F3C31" w:rsidP="00FC255D">
      <w:pPr>
        <w:ind w:left="400"/>
        <w:rPr>
          <w:rFonts w:eastAsiaTheme="minorEastAsia" w:cs="Arial"/>
          <w:b/>
          <w:lang w:eastAsia="ja-JP"/>
        </w:rPr>
      </w:pPr>
      <w:r w:rsidRPr="000F3C31">
        <w:rPr>
          <w:rFonts w:eastAsiaTheme="minorEastAsia" w:cs="Arial"/>
          <w:b/>
          <w:lang w:eastAsia="ja-JP"/>
        </w:rPr>
        <w:t>Observation 1: Current working assumption does not allow TPC related DCI size alignment when CSS(s) is not based on CORESET 0.</w:t>
      </w:r>
    </w:p>
    <w:p w14:paraId="3769BB2C" w14:textId="44B07DF1" w:rsidR="000F3C31" w:rsidRDefault="000F3C31" w:rsidP="000F3C31">
      <w:pPr>
        <w:ind w:left="400"/>
        <w:rPr>
          <w:rFonts w:eastAsiaTheme="minorEastAsia" w:cs="Arial"/>
          <w:b/>
          <w:lang w:eastAsia="ja-JP"/>
        </w:rPr>
      </w:pPr>
      <w:r>
        <w:rPr>
          <w:rFonts w:eastAsiaTheme="minorEastAsia" w:cs="Arial"/>
          <w:b/>
          <w:lang w:eastAsia="ja-JP"/>
        </w:rPr>
        <w:t>Proposal</w:t>
      </w:r>
      <w:r w:rsidRPr="004A206B">
        <w:rPr>
          <w:rFonts w:eastAsiaTheme="minorEastAsia" w:cs="Arial"/>
          <w:b/>
          <w:lang w:eastAsia="ja-JP"/>
        </w:rPr>
        <w:t xml:space="preserve"> 1: </w:t>
      </w:r>
      <w:r w:rsidRPr="00CC339F">
        <w:rPr>
          <w:rFonts w:eastAsiaTheme="minorEastAsia" w:cs="Arial"/>
          <w:b/>
          <w:lang w:eastAsia="ja-JP"/>
        </w:rPr>
        <w:t xml:space="preserve">DCI format 0-0/0-1 frequency resource allocation size in CSS is determined by </w:t>
      </w:r>
      <w:r>
        <w:rPr>
          <w:rFonts w:eastAsiaTheme="minorEastAsia" w:cs="Arial"/>
          <w:b/>
          <w:lang w:eastAsia="ja-JP"/>
        </w:rPr>
        <w:t>either of 1) initial active BWP, 2) first BWP</w:t>
      </w:r>
      <w:r w:rsidR="005E46AB">
        <w:rPr>
          <w:rFonts w:eastAsiaTheme="minorEastAsia" w:cs="Arial"/>
          <w:b/>
          <w:lang w:eastAsia="ja-JP"/>
        </w:rPr>
        <w:t xml:space="preserve"> </w:t>
      </w:r>
      <w:r w:rsidR="005E46AB" w:rsidRPr="005E46AB">
        <w:rPr>
          <w:rFonts w:eastAsiaTheme="minorEastAsia" w:cs="Arial"/>
          <w:b/>
          <w:lang w:eastAsia="ja-JP"/>
        </w:rPr>
        <w:t>among configured BWPs</w:t>
      </w:r>
      <w:r>
        <w:rPr>
          <w:rFonts w:eastAsiaTheme="minorEastAsia" w:cs="Arial"/>
          <w:b/>
          <w:lang w:eastAsia="ja-JP"/>
        </w:rPr>
        <w:t xml:space="preserve"> or 3) the highest and lowest P</w:t>
      </w:r>
      <w:r w:rsidR="00370ED7">
        <w:rPr>
          <w:rFonts w:eastAsiaTheme="minorEastAsia" w:cs="Arial"/>
          <w:b/>
          <w:lang w:eastAsia="ja-JP"/>
        </w:rPr>
        <w:t>R</w:t>
      </w:r>
      <w:r>
        <w:rPr>
          <w:rFonts w:eastAsiaTheme="minorEastAsia" w:cs="Arial"/>
          <w:b/>
          <w:lang w:eastAsia="ja-JP"/>
        </w:rPr>
        <w:t>B posit</w:t>
      </w:r>
      <w:r w:rsidR="00370ED7">
        <w:rPr>
          <w:rFonts w:eastAsiaTheme="minorEastAsia" w:cs="Arial"/>
          <w:b/>
          <w:lang w:eastAsia="ja-JP"/>
        </w:rPr>
        <w:t>i</w:t>
      </w:r>
      <w:r>
        <w:rPr>
          <w:rFonts w:eastAsiaTheme="minorEastAsia" w:cs="Arial"/>
          <w:b/>
          <w:lang w:eastAsia="ja-JP"/>
        </w:rPr>
        <w:t>on of CSS CORESET size.</w:t>
      </w:r>
    </w:p>
    <w:p w14:paraId="6E3E59A1" w14:textId="78BC0E6C" w:rsidR="000F3C31" w:rsidRPr="00CC339F" w:rsidRDefault="000F3C31" w:rsidP="000F3C31">
      <w:pPr>
        <w:ind w:left="400"/>
        <w:rPr>
          <w:rFonts w:eastAsiaTheme="minorEastAsia" w:cs="Arial"/>
          <w:lang w:eastAsia="ja-JP"/>
        </w:rPr>
      </w:pPr>
      <w:r>
        <w:rPr>
          <w:rFonts w:eastAsiaTheme="minorEastAsia" w:cs="Arial"/>
          <w:b/>
          <w:lang w:eastAsia="ja-JP"/>
        </w:rPr>
        <w:t>Proposal 2: Payload size alignment agreement is modified as "</w:t>
      </w:r>
      <w:r w:rsidRPr="00CF2517">
        <w:rPr>
          <w:rFonts w:eastAsiaTheme="minorEastAsia" w:cs="Arial"/>
          <w:b/>
          <w:lang w:eastAsia="ja-JP"/>
        </w:rPr>
        <w:t>Payload sizes for 2-2 and 2-3 are padded (if needed) to match the size of formats 0-0/</w:t>
      </w:r>
      <w:r>
        <w:rPr>
          <w:rFonts w:eastAsiaTheme="minorEastAsia" w:cs="Arial"/>
          <w:b/>
          <w:lang w:eastAsia="ja-JP"/>
        </w:rPr>
        <w:t xml:space="preserve">1-0 </w:t>
      </w:r>
      <w:r w:rsidRPr="00CF2517">
        <w:rPr>
          <w:rFonts w:eastAsiaTheme="minorEastAsia" w:cs="Arial"/>
          <w:b/>
          <w:color w:val="FF0000"/>
          <w:lang w:eastAsia="ja-JP"/>
        </w:rPr>
        <w:t>in CSS</w:t>
      </w:r>
      <w:r w:rsidR="00612378" w:rsidRPr="00612378">
        <w:rPr>
          <w:rFonts w:eastAsiaTheme="minorEastAsia" w:cs="Arial"/>
          <w:b/>
          <w:strike/>
          <w:color w:val="FF0000"/>
          <w:lang w:eastAsia="ja-JP"/>
        </w:rPr>
        <w:t xml:space="preserve"> as defined by the initial BWP</w:t>
      </w:r>
      <w:r w:rsidR="00612378">
        <w:rPr>
          <w:rFonts w:eastAsiaTheme="minorEastAsia" w:cs="Arial"/>
          <w:b/>
          <w:lang w:eastAsia="ja-JP"/>
        </w:rPr>
        <w:t xml:space="preserve"> </w:t>
      </w:r>
      <w:r>
        <w:rPr>
          <w:rFonts w:eastAsiaTheme="minorEastAsia" w:cs="Arial"/>
          <w:b/>
          <w:lang w:eastAsia="ja-JP"/>
        </w:rPr>
        <w:t>".</w:t>
      </w:r>
    </w:p>
    <w:p w14:paraId="135785FA" w14:textId="77777777" w:rsidR="000F3C31" w:rsidRDefault="000F3C31" w:rsidP="000F3C31">
      <w:pPr>
        <w:ind w:left="400"/>
        <w:rPr>
          <w:rFonts w:eastAsiaTheme="minorEastAsia" w:cs="Arial"/>
          <w:b/>
          <w:lang w:eastAsia="ja-JP"/>
        </w:rPr>
      </w:pPr>
      <w:r>
        <w:rPr>
          <w:rFonts w:eastAsiaTheme="minorEastAsia" w:cs="Arial"/>
          <w:b/>
          <w:lang w:eastAsia="ja-JP"/>
        </w:rPr>
        <w:t>Proposal</w:t>
      </w:r>
      <w:r w:rsidRPr="004A206B">
        <w:rPr>
          <w:rFonts w:eastAsiaTheme="minorEastAsia" w:cs="Arial"/>
          <w:b/>
          <w:lang w:eastAsia="ja-JP"/>
        </w:rPr>
        <w:t xml:space="preserve"> </w:t>
      </w:r>
      <w:r>
        <w:rPr>
          <w:rFonts w:eastAsiaTheme="minorEastAsia" w:cs="Arial"/>
          <w:b/>
          <w:lang w:eastAsia="ja-JP"/>
        </w:rPr>
        <w:t>3</w:t>
      </w:r>
      <w:r w:rsidRPr="004A206B">
        <w:rPr>
          <w:rFonts w:eastAsiaTheme="minorEastAsia" w:cs="Arial"/>
          <w:b/>
          <w:lang w:eastAsia="ja-JP"/>
        </w:rPr>
        <w:t xml:space="preserve">: </w:t>
      </w:r>
      <w:r w:rsidRPr="00CC339F">
        <w:rPr>
          <w:rFonts w:eastAsiaTheme="minorEastAsia" w:cs="Arial"/>
          <w:b/>
          <w:lang w:eastAsia="ja-JP"/>
        </w:rPr>
        <w:t xml:space="preserve">DCI </w:t>
      </w:r>
      <w:r>
        <w:rPr>
          <w:rFonts w:eastAsiaTheme="minorEastAsia" w:cs="Arial"/>
          <w:b/>
          <w:lang w:eastAsia="ja-JP"/>
        </w:rPr>
        <w:t xml:space="preserve">size determined by PBCH is separated from DCI </w:t>
      </w:r>
      <w:r w:rsidRPr="00CC339F">
        <w:rPr>
          <w:rFonts w:eastAsiaTheme="minorEastAsia" w:cs="Arial"/>
          <w:b/>
          <w:lang w:eastAsia="ja-JP"/>
        </w:rPr>
        <w:t xml:space="preserve">format 0-0/0-1 </w:t>
      </w:r>
      <w:r>
        <w:rPr>
          <w:rFonts w:eastAsiaTheme="minorEastAsia" w:cs="Arial"/>
          <w:b/>
          <w:lang w:eastAsia="ja-JP"/>
        </w:rPr>
        <w:t xml:space="preserve">size configured by RMSI/UE specific RRC. The </w:t>
      </w:r>
      <w:r w:rsidRPr="00EA54CF">
        <w:rPr>
          <w:rFonts w:eastAsiaTheme="minorEastAsia" w:cs="Arial"/>
          <w:b/>
          <w:lang w:eastAsia="ja-JP"/>
        </w:rPr>
        <w:t>DCI format 0-0/0-1 size con</w:t>
      </w:r>
      <w:r>
        <w:rPr>
          <w:rFonts w:eastAsiaTheme="minorEastAsia" w:cs="Arial"/>
          <w:b/>
          <w:lang w:eastAsia="ja-JP"/>
        </w:rPr>
        <w:t xml:space="preserve">figured by RMSI/UE specific RRC are used for </w:t>
      </w:r>
      <w:r w:rsidRPr="00EA54CF">
        <w:rPr>
          <w:rFonts w:eastAsiaTheme="minorEastAsia" w:cs="Arial"/>
          <w:b/>
          <w:lang w:eastAsia="ja-JP"/>
        </w:rPr>
        <w:t>SI-RNTI, P-RN</w:t>
      </w:r>
      <w:r>
        <w:rPr>
          <w:rFonts w:eastAsiaTheme="minorEastAsia" w:cs="Arial"/>
          <w:b/>
          <w:lang w:eastAsia="ja-JP"/>
        </w:rPr>
        <w:t xml:space="preserve">TI, RA-RNTI, </w:t>
      </w:r>
      <w:r w:rsidRPr="00EA54CF">
        <w:rPr>
          <w:rFonts w:eastAsiaTheme="minorEastAsia" w:cs="Arial"/>
          <w:b/>
          <w:lang w:eastAsia="ja-JP"/>
        </w:rPr>
        <w:t>TC-RNTI</w:t>
      </w:r>
      <w:r>
        <w:rPr>
          <w:rFonts w:eastAsiaTheme="minorEastAsia" w:cs="Arial"/>
          <w:b/>
          <w:lang w:eastAsia="ja-JP"/>
        </w:rPr>
        <w:t xml:space="preserve">, </w:t>
      </w:r>
      <w:r w:rsidRPr="00EA54CF">
        <w:rPr>
          <w:rFonts w:eastAsiaTheme="minorEastAsia" w:cs="Arial"/>
          <w:b/>
          <w:lang w:eastAsia="ja-JP"/>
        </w:rPr>
        <w:t>C-RNTI</w:t>
      </w:r>
      <w:r>
        <w:rPr>
          <w:rFonts w:eastAsiaTheme="minorEastAsia" w:cs="Arial"/>
          <w:b/>
          <w:lang w:eastAsia="ja-JP"/>
        </w:rPr>
        <w:t xml:space="preserve"> and other RNTI in CSS.</w:t>
      </w:r>
    </w:p>
    <w:p w14:paraId="186C9DB0" w14:textId="3B624DCA" w:rsidR="00182A21" w:rsidRPr="00FC255D" w:rsidRDefault="00182A21" w:rsidP="00C52ED5">
      <w:pPr>
        <w:rPr>
          <w:rFonts w:eastAsia="SimSun" w:cs="Arial"/>
          <w:lang w:eastAsia="zh-CN"/>
        </w:rPr>
      </w:pPr>
    </w:p>
    <w:p w14:paraId="53947347" w14:textId="32689091" w:rsidR="00182A21" w:rsidRPr="004A206B" w:rsidRDefault="00182A21" w:rsidP="00182A21">
      <w:pPr>
        <w:pStyle w:val="1"/>
        <w:numPr>
          <w:ilvl w:val="0"/>
          <w:numId w:val="0"/>
        </w:numPr>
        <w:ind w:left="26"/>
        <w:rPr>
          <w:szCs w:val="36"/>
          <w:lang w:eastAsia="ja-JP"/>
        </w:rPr>
      </w:pPr>
      <w:r w:rsidRPr="004A206B">
        <w:rPr>
          <w:szCs w:val="36"/>
          <w:lang w:eastAsia="ja-JP"/>
        </w:rPr>
        <w:t>Reference</w:t>
      </w:r>
    </w:p>
    <w:p w14:paraId="3B3D2495" w14:textId="77777777" w:rsidR="003E14C4" w:rsidRDefault="00182A21" w:rsidP="00575DE9">
      <w:pPr>
        <w:rPr>
          <w:rFonts w:eastAsia="SimSun" w:cs="Arial"/>
          <w:lang w:eastAsia="zh-CN"/>
        </w:rPr>
      </w:pPr>
      <w:r w:rsidRPr="004A206B">
        <w:rPr>
          <w:rFonts w:eastAsia="SimSun" w:cs="Arial"/>
          <w:lang w:eastAsia="zh-CN"/>
        </w:rPr>
        <w:t>[1]</w:t>
      </w:r>
      <w:r w:rsidRPr="004A206B">
        <w:rPr>
          <w:rFonts w:eastAsia="SimSun" w:cs="Arial"/>
          <w:lang w:eastAsia="zh-CN"/>
        </w:rPr>
        <w:tab/>
      </w:r>
      <w:r w:rsidRPr="004A206B">
        <w:rPr>
          <w:rFonts w:eastAsia="SimSun" w:cs="Arial"/>
          <w:lang w:eastAsia="zh-CN"/>
        </w:rPr>
        <w:tab/>
      </w:r>
      <w:r w:rsidR="003E14C4">
        <w:rPr>
          <w:rFonts w:eastAsia="SimSun" w:cs="Arial"/>
          <w:lang w:eastAsia="zh-CN"/>
        </w:rPr>
        <w:t>RAN1 NR ad-hoc chairman note</w:t>
      </w:r>
    </w:p>
    <w:p w14:paraId="3A57BAD1" w14:textId="2969BEF5" w:rsidR="00182A21" w:rsidRPr="00E5069C" w:rsidRDefault="00182A21" w:rsidP="00310D68">
      <w:pPr>
        <w:rPr>
          <w:rFonts w:eastAsia="SimSun" w:cs="Arial"/>
          <w:lang w:eastAsia="zh-CN"/>
        </w:rPr>
      </w:pPr>
    </w:p>
    <w:sectPr w:rsidR="00182A21" w:rsidRPr="00E5069C">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43426" w14:textId="77777777" w:rsidR="005B72D2" w:rsidRDefault="005B72D2">
      <w:r>
        <w:separator/>
      </w:r>
    </w:p>
  </w:endnote>
  <w:endnote w:type="continuationSeparator" w:id="0">
    <w:p w14:paraId="721337E3" w14:textId="77777777" w:rsidR="005B72D2" w:rsidRDefault="005B72D2">
      <w:r>
        <w:continuationSeparator/>
      </w:r>
    </w:p>
  </w:endnote>
  <w:endnote w:type="continuationNotice" w:id="1">
    <w:p w14:paraId="3F30B8B2" w14:textId="77777777" w:rsidR="005B72D2" w:rsidRDefault="005B72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332D23D5"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E937DA">
      <w:rPr>
        <w:rStyle w:val="af7"/>
      </w:rPr>
      <w:t>1</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1E5302" w14:textId="77777777" w:rsidR="005B72D2" w:rsidRDefault="005B72D2">
      <w:r>
        <w:separator/>
      </w:r>
    </w:p>
  </w:footnote>
  <w:footnote w:type="continuationSeparator" w:id="0">
    <w:p w14:paraId="3191EF1B" w14:textId="77777777" w:rsidR="005B72D2" w:rsidRDefault="005B72D2">
      <w:r>
        <w:continuationSeparator/>
      </w:r>
    </w:p>
  </w:footnote>
  <w:footnote w:type="continuationNotice" w:id="1">
    <w:p w14:paraId="697FEA4E" w14:textId="77777777" w:rsidR="005B72D2" w:rsidRDefault="005B72D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10C"/>
    <w:multiLevelType w:val="hybridMultilevel"/>
    <w:tmpl w:val="5672AE2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F860BF"/>
    <w:multiLevelType w:val="hybridMultilevel"/>
    <w:tmpl w:val="98B62834"/>
    <w:lvl w:ilvl="0" w:tplc="05B66BEA">
      <w:start w:val="1"/>
      <w:numFmt w:val="bullet"/>
      <w:lvlText w:val="-"/>
      <w:lvlJc w:val="left"/>
      <w:pPr>
        <w:ind w:left="420" w:hanging="420"/>
      </w:pPr>
      <w:rPr>
        <w:rFonts w:ascii="ＭＳ ゴシック" w:eastAsia="ＭＳ ゴシック" w:hAnsi="ＭＳ ゴシック" w:hint="eastAsia"/>
        <w:lang w:val="en-G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C0056"/>
    <w:multiLevelType w:val="hybridMultilevel"/>
    <w:tmpl w:val="024442C2"/>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0E543A4"/>
    <w:multiLevelType w:val="hybridMultilevel"/>
    <w:tmpl w:val="EF60BEBE"/>
    <w:lvl w:ilvl="0" w:tplc="B5D2D6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53667F"/>
    <w:multiLevelType w:val="hybridMultilevel"/>
    <w:tmpl w:val="A61E3AEA"/>
    <w:lvl w:ilvl="0" w:tplc="890634A2">
      <w:start w:val="1"/>
      <w:numFmt w:val="bullet"/>
      <w:lvlText w:val="•"/>
      <w:lvlJc w:val="left"/>
      <w:pPr>
        <w:tabs>
          <w:tab w:val="num" w:pos="1496"/>
        </w:tabs>
        <w:ind w:left="1496" w:hanging="360"/>
      </w:pPr>
      <w:rPr>
        <w:rFonts w:ascii="Arial" w:hAnsi="Arial" w:hint="default"/>
      </w:rPr>
    </w:lvl>
    <w:lvl w:ilvl="1" w:tplc="7A8A6794">
      <w:start w:val="1"/>
      <w:numFmt w:val="bullet"/>
      <w:lvlText w:val="•"/>
      <w:lvlJc w:val="left"/>
      <w:pPr>
        <w:tabs>
          <w:tab w:val="num" w:pos="2216"/>
        </w:tabs>
        <w:ind w:left="2216" w:hanging="360"/>
      </w:pPr>
      <w:rPr>
        <w:rFonts w:ascii="Arial" w:hAnsi="Arial" w:hint="default"/>
      </w:rPr>
    </w:lvl>
    <w:lvl w:ilvl="2" w:tplc="07E09AE4" w:tentative="1">
      <w:start w:val="1"/>
      <w:numFmt w:val="bullet"/>
      <w:lvlText w:val="•"/>
      <w:lvlJc w:val="left"/>
      <w:pPr>
        <w:tabs>
          <w:tab w:val="num" w:pos="2936"/>
        </w:tabs>
        <w:ind w:left="2936" w:hanging="360"/>
      </w:pPr>
      <w:rPr>
        <w:rFonts w:ascii="Arial" w:hAnsi="Arial" w:hint="default"/>
      </w:rPr>
    </w:lvl>
    <w:lvl w:ilvl="3" w:tplc="A140B1F0" w:tentative="1">
      <w:start w:val="1"/>
      <w:numFmt w:val="bullet"/>
      <w:lvlText w:val="•"/>
      <w:lvlJc w:val="left"/>
      <w:pPr>
        <w:tabs>
          <w:tab w:val="num" w:pos="3656"/>
        </w:tabs>
        <w:ind w:left="3656" w:hanging="360"/>
      </w:pPr>
      <w:rPr>
        <w:rFonts w:ascii="Arial" w:hAnsi="Arial" w:hint="default"/>
      </w:rPr>
    </w:lvl>
    <w:lvl w:ilvl="4" w:tplc="F18AE11A" w:tentative="1">
      <w:start w:val="1"/>
      <w:numFmt w:val="bullet"/>
      <w:lvlText w:val="•"/>
      <w:lvlJc w:val="left"/>
      <w:pPr>
        <w:tabs>
          <w:tab w:val="num" w:pos="4376"/>
        </w:tabs>
        <w:ind w:left="4376" w:hanging="360"/>
      </w:pPr>
      <w:rPr>
        <w:rFonts w:ascii="Arial" w:hAnsi="Arial" w:hint="default"/>
      </w:rPr>
    </w:lvl>
    <w:lvl w:ilvl="5" w:tplc="55806DE6" w:tentative="1">
      <w:start w:val="1"/>
      <w:numFmt w:val="bullet"/>
      <w:lvlText w:val="•"/>
      <w:lvlJc w:val="left"/>
      <w:pPr>
        <w:tabs>
          <w:tab w:val="num" w:pos="5096"/>
        </w:tabs>
        <w:ind w:left="5096" w:hanging="360"/>
      </w:pPr>
      <w:rPr>
        <w:rFonts w:ascii="Arial" w:hAnsi="Arial" w:hint="default"/>
      </w:rPr>
    </w:lvl>
    <w:lvl w:ilvl="6" w:tplc="8ABE02CA" w:tentative="1">
      <w:start w:val="1"/>
      <w:numFmt w:val="bullet"/>
      <w:lvlText w:val="•"/>
      <w:lvlJc w:val="left"/>
      <w:pPr>
        <w:tabs>
          <w:tab w:val="num" w:pos="5816"/>
        </w:tabs>
        <w:ind w:left="5816" w:hanging="360"/>
      </w:pPr>
      <w:rPr>
        <w:rFonts w:ascii="Arial" w:hAnsi="Arial" w:hint="default"/>
      </w:rPr>
    </w:lvl>
    <w:lvl w:ilvl="7" w:tplc="4E2436AE" w:tentative="1">
      <w:start w:val="1"/>
      <w:numFmt w:val="bullet"/>
      <w:lvlText w:val="•"/>
      <w:lvlJc w:val="left"/>
      <w:pPr>
        <w:tabs>
          <w:tab w:val="num" w:pos="6536"/>
        </w:tabs>
        <w:ind w:left="6536" w:hanging="360"/>
      </w:pPr>
      <w:rPr>
        <w:rFonts w:ascii="Arial" w:hAnsi="Arial" w:hint="default"/>
      </w:rPr>
    </w:lvl>
    <w:lvl w:ilvl="8" w:tplc="088C28C0" w:tentative="1">
      <w:start w:val="1"/>
      <w:numFmt w:val="bullet"/>
      <w:lvlText w:val="•"/>
      <w:lvlJc w:val="left"/>
      <w:pPr>
        <w:tabs>
          <w:tab w:val="num" w:pos="7256"/>
        </w:tabs>
        <w:ind w:left="7256" w:hanging="360"/>
      </w:pPr>
      <w:rPr>
        <w:rFonts w:ascii="Arial" w:hAnsi="Arial" w:hint="default"/>
      </w:rPr>
    </w:lvl>
  </w:abstractNum>
  <w:abstractNum w:abstractNumId="10"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4" w15:restartNumberingAfterBreak="0">
    <w:nsid w:val="2660654D"/>
    <w:multiLevelType w:val="hybridMultilevel"/>
    <w:tmpl w:val="7136BB68"/>
    <w:lvl w:ilvl="0" w:tplc="5AC83632">
      <w:start w:val="1"/>
      <w:numFmt w:val="bullet"/>
      <w:lvlText w:val="•"/>
      <w:lvlJc w:val="left"/>
      <w:pPr>
        <w:ind w:left="36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9FE38D0"/>
    <w:multiLevelType w:val="hybridMultilevel"/>
    <w:tmpl w:val="46DCE1A0"/>
    <w:lvl w:ilvl="0" w:tplc="5AC83632">
      <w:start w:val="1"/>
      <w:numFmt w:val="bullet"/>
      <w:lvlText w:val="•"/>
      <w:lvlJc w:val="left"/>
      <w:pPr>
        <w:ind w:left="36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CC673D0"/>
    <w:multiLevelType w:val="hybridMultilevel"/>
    <w:tmpl w:val="644401F2"/>
    <w:lvl w:ilvl="0" w:tplc="041D0001">
      <w:start w:val="1"/>
      <w:numFmt w:val="bullet"/>
      <w:lvlText w:val=""/>
      <w:lvlJc w:val="left"/>
      <w:pPr>
        <w:tabs>
          <w:tab w:val="num" w:pos="720"/>
        </w:tabs>
        <w:ind w:left="720" w:hanging="360"/>
      </w:pPr>
      <w:rPr>
        <w:rFonts w:ascii="Symbol" w:hAnsi="Symbol" w:hint="default"/>
      </w:rPr>
    </w:lvl>
    <w:lvl w:ilvl="1" w:tplc="1DFA68C4">
      <w:start w:val="1"/>
      <w:numFmt w:val="bullet"/>
      <w:lvlText w:val="–"/>
      <w:lvlJc w:val="left"/>
      <w:pPr>
        <w:tabs>
          <w:tab w:val="num" w:pos="1440"/>
        </w:tabs>
        <w:ind w:left="1440" w:hanging="360"/>
      </w:pPr>
      <w:rPr>
        <w:rFonts w:ascii="Arial" w:hAnsi="Arial" w:hint="default"/>
      </w:rPr>
    </w:lvl>
    <w:lvl w:ilvl="2" w:tplc="975C3CAA">
      <w:start w:val="1"/>
      <w:numFmt w:val="bullet"/>
      <w:lvlText w:val="–"/>
      <w:lvlJc w:val="left"/>
      <w:pPr>
        <w:tabs>
          <w:tab w:val="num" w:pos="2160"/>
        </w:tabs>
        <w:ind w:left="2160" w:hanging="360"/>
      </w:pPr>
      <w:rPr>
        <w:rFonts w:ascii="Arial" w:hAnsi="Arial" w:hint="default"/>
      </w:rPr>
    </w:lvl>
    <w:lvl w:ilvl="3" w:tplc="C194FAF0" w:tentative="1">
      <w:start w:val="1"/>
      <w:numFmt w:val="bullet"/>
      <w:lvlText w:val="–"/>
      <w:lvlJc w:val="left"/>
      <w:pPr>
        <w:tabs>
          <w:tab w:val="num" w:pos="2880"/>
        </w:tabs>
        <w:ind w:left="2880" w:hanging="360"/>
      </w:pPr>
      <w:rPr>
        <w:rFonts w:ascii="Arial" w:hAnsi="Arial" w:hint="default"/>
      </w:rPr>
    </w:lvl>
    <w:lvl w:ilvl="4" w:tplc="5C14F5A4" w:tentative="1">
      <w:start w:val="1"/>
      <w:numFmt w:val="bullet"/>
      <w:lvlText w:val="–"/>
      <w:lvlJc w:val="left"/>
      <w:pPr>
        <w:tabs>
          <w:tab w:val="num" w:pos="3600"/>
        </w:tabs>
        <w:ind w:left="3600" w:hanging="360"/>
      </w:pPr>
      <w:rPr>
        <w:rFonts w:ascii="Arial" w:hAnsi="Arial" w:hint="default"/>
      </w:rPr>
    </w:lvl>
    <w:lvl w:ilvl="5" w:tplc="5FF0F8AE" w:tentative="1">
      <w:start w:val="1"/>
      <w:numFmt w:val="bullet"/>
      <w:lvlText w:val="–"/>
      <w:lvlJc w:val="left"/>
      <w:pPr>
        <w:tabs>
          <w:tab w:val="num" w:pos="4320"/>
        </w:tabs>
        <w:ind w:left="4320" w:hanging="360"/>
      </w:pPr>
      <w:rPr>
        <w:rFonts w:ascii="Arial" w:hAnsi="Arial" w:hint="default"/>
      </w:rPr>
    </w:lvl>
    <w:lvl w:ilvl="6" w:tplc="D208266E" w:tentative="1">
      <w:start w:val="1"/>
      <w:numFmt w:val="bullet"/>
      <w:lvlText w:val="–"/>
      <w:lvlJc w:val="left"/>
      <w:pPr>
        <w:tabs>
          <w:tab w:val="num" w:pos="5040"/>
        </w:tabs>
        <w:ind w:left="5040" w:hanging="360"/>
      </w:pPr>
      <w:rPr>
        <w:rFonts w:ascii="Arial" w:hAnsi="Arial" w:hint="default"/>
      </w:rPr>
    </w:lvl>
    <w:lvl w:ilvl="7" w:tplc="A5006E38" w:tentative="1">
      <w:start w:val="1"/>
      <w:numFmt w:val="bullet"/>
      <w:lvlText w:val="–"/>
      <w:lvlJc w:val="left"/>
      <w:pPr>
        <w:tabs>
          <w:tab w:val="num" w:pos="5760"/>
        </w:tabs>
        <w:ind w:left="5760" w:hanging="360"/>
      </w:pPr>
      <w:rPr>
        <w:rFonts w:ascii="Arial" w:hAnsi="Arial" w:hint="default"/>
      </w:rPr>
    </w:lvl>
    <w:lvl w:ilvl="8" w:tplc="E74AB86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4CF790F"/>
    <w:multiLevelType w:val="hybridMultilevel"/>
    <w:tmpl w:val="E506D110"/>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31" w15:restartNumberingAfterBreak="0">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8F22D9"/>
    <w:multiLevelType w:val="hybridMultilevel"/>
    <w:tmpl w:val="1D745226"/>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5FED466F"/>
    <w:multiLevelType w:val="hybridMultilevel"/>
    <w:tmpl w:val="97B6A46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40"/>
  </w:num>
  <w:num w:numId="2">
    <w:abstractNumId w:val="43"/>
  </w:num>
  <w:num w:numId="3">
    <w:abstractNumId w:val="21"/>
  </w:num>
  <w:num w:numId="4">
    <w:abstractNumId w:val="37"/>
  </w:num>
  <w:num w:numId="5">
    <w:abstractNumId w:val="26"/>
  </w:num>
  <w:num w:numId="6">
    <w:abstractNumId w:val="27"/>
  </w:num>
  <w:num w:numId="7">
    <w:abstractNumId w:val="24"/>
  </w:num>
  <w:num w:numId="8">
    <w:abstractNumId w:val="41"/>
  </w:num>
  <w:num w:numId="9">
    <w:abstractNumId w:val="12"/>
  </w:num>
  <w:num w:numId="10">
    <w:abstractNumId w:val="20"/>
  </w:num>
  <w:num w:numId="11">
    <w:abstractNumId w:val="23"/>
  </w:num>
  <w:num w:numId="1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28"/>
  </w:num>
  <w:num w:numId="16">
    <w:abstractNumId w:val="30"/>
  </w:num>
  <w:num w:numId="17">
    <w:abstractNumId w:val="39"/>
  </w:num>
  <w:num w:numId="18">
    <w:abstractNumId w:val="36"/>
  </w:num>
  <w:num w:numId="19">
    <w:abstractNumId w:val="45"/>
  </w:num>
  <w:num w:numId="20">
    <w:abstractNumId w:val="32"/>
  </w:num>
  <w:num w:numId="21">
    <w:abstractNumId w:val="18"/>
  </w:num>
  <w:num w:numId="22">
    <w:abstractNumId w:val="3"/>
  </w:num>
  <w:num w:numId="23">
    <w:abstractNumId w:val="34"/>
  </w:num>
  <w:num w:numId="24">
    <w:abstractNumId w:val="8"/>
  </w:num>
  <w:num w:numId="25">
    <w:abstractNumId w:val="10"/>
  </w:num>
  <w:num w:numId="26">
    <w:abstractNumId w:val="42"/>
  </w:num>
  <w:num w:numId="27">
    <w:abstractNumId w:val="11"/>
  </w:num>
  <w:num w:numId="28">
    <w:abstractNumId w:val="29"/>
  </w:num>
  <w:num w:numId="29">
    <w:abstractNumId w:val="44"/>
  </w:num>
  <w:num w:numId="30">
    <w:abstractNumId w:val="1"/>
  </w:num>
  <w:num w:numId="31">
    <w:abstractNumId w:val="13"/>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9"/>
  </w:num>
  <w:num w:numId="35">
    <w:abstractNumId w:val="35"/>
  </w:num>
  <w:num w:numId="36">
    <w:abstractNumId w:val="16"/>
  </w:num>
  <w:num w:numId="37">
    <w:abstractNumId w:val="5"/>
  </w:num>
  <w:num w:numId="38">
    <w:abstractNumId w:val="6"/>
  </w:num>
  <w:num w:numId="39">
    <w:abstractNumId w:val="2"/>
  </w:num>
  <w:num w:numId="40">
    <w:abstractNumId w:val="22"/>
  </w:num>
  <w:num w:numId="41">
    <w:abstractNumId w:val="33"/>
  </w:num>
  <w:num w:numId="42">
    <w:abstractNumId w:val="4"/>
  </w:num>
  <w:num w:numId="43">
    <w:abstractNumId w:val="9"/>
  </w:num>
  <w:num w:numId="44">
    <w:abstractNumId w:val="25"/>
  </w:num>
  <w:num w:numId="45">
    <w:abstractNumId w:val="14"/>
  </w:num>
  <w:num w:numId="46">
    <w:abstractNumId w:val="15"/>
  </w:num>
  <w:num w:numId="47">
    <w:abstractNumId w:val="0"/>
  </w:num>
  <w:num w:numId="48">
    <w:abstractNumId w:val="31"/>
  </w:num>
  <w:num w:numId="4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07F55"/>
    <w:rsid w:val="00010508"/>
    <w:rsid w:val="00010D87"/>
    <w:rsid w:val="00010D8F"/>
    <w:rsid w:val="0001175D"/>
    <w:rsid w:val="00011885"/>
    <w:rsid w:val="00011D9F"/>
    <w:rsid w:val="00011F63"/>
    <w:rsid w:val="0001206A"/>
    <w:rsid w:val="00012351"/>
    <w:rsid w:val="00013795"/>
    <w:rsid w:val="00013C4A"/>
    <w:rsid w:val="00013CE7"/>
    <w:rsid w:val="00013E6F"/>
    <w:rsid w:val="00013F83"/>
    <w:rsid w:val="0001480E"/>
    <w:rsid w:val="000150E7"/>
    <w:rsid w:val="000152CC"/>
    <w:rsid w:val="00015BBE"/>
    <w:rsid w:val="00015F39"/>
    <w:rsid w:val="00015F5E"/>
    <w:rsid w:val="00016DF6"/>
    <w:rsid w:val="0001728A"/>
    <w:rsid w:val="00017972"/>
    <w:rsid w:val="00020117"/>
    <w:rsid w:val="000201FC"/>
    <w:rsid w:val="00020386"/>
    <w:rsid w:val="000206CA"/>
    <w:rsid w:val="00020753"/>
    <w:rsid w:val="00020A07"/>
    <w:rsid w:val="00020D88"/>
    <w:rsid w:val="000214DF"/>
    <w:rsid w:val="000215FD"/>
    <w:rsid w:val="00021CF5"/>
    <w:rsid w:val="00022325"/>
    <w:rsid w:val="00022AE1"/>
    <w:rsid w:val="000230F1"/>
    <w:rsid w:val="000233D5"/>
    <w:rsid w:val="0002364D"/>
    <w:rsid w:val="000239B9"/>
    <w:rsid w:val="00023AE3"/>
    <w:rsid w:val="00023CCE"/>
    <w:rsid w:val="00024144"/>
    <w:rsid w:val="00024F2A"/>
    <w:rsid w:val="00025853"/>
    <w:rsid w:val="00026415"/>
    <w:rsid w:val="00026B2D"/>
    <w:rsid w:val="0003061E"/>
    <w:rsid w:val="000308A1"/>
    <w:rsid w:val="000310E6"/>
    <w:rsid w:val="00031400"/>
    <w:rsid w:val="00031E0C"/>
    <w:rsid w:val="00031F78"/>
    <w:rsid w:val="00031F8C"/>
    <w:rsid w:val="00032060"/>
    <w:rsid w:val="00032486"/>
    <w:rsid w:val="0003260D"/>
    <w:rsid w:val="00032B9D"/>
    <w:rsid w:val="000331C6"/>
    <w:rsid w:val="000332CA"/>
    <w:rsid w:val="000334FE"/>
    <w:rsid w:val="00033A53"/>
    <w:rsid w:val="00033C8D"/>
    <w:rsid w:val="00034302"/>
    <w:rsid w:val="0003483D"/>
    <w:rsid w:val="00034C07"/>
    <w:rsid w:val="00035574"/>
    <w:rsid w:val="000361FA"/>
    <w:rsid w:val="00036A11"/>
    <w:rsid w:val="00036F38"/>
    <w:rsid w:val="00037478"/>
    <w:rsid w:val="00037B0C"/>
    <w:rsid w:val="00037CBE"/>
    <w:rsid w:val="00040D18"/>
    <w:rsid w:val="0004128F"/>
    <w:rsid w:val="00041836"/>
    <w:rsid w:val="00041AD9"/>
    <w:rsid w:val="00041E8D"/>
    <w:rsid w:val="00042100"/>
    <w:rsid w:val="00042E74"/>
    <w:rsid w:val="0004510F"/>
    <w:rsid w:val="000456B2"/>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730"/>
    <w:rsid w:val="00053C42"/>
    <w:rsid w:val="000540D4"/>
    <w:rsid w:val="00054885"/>
    <w:rsid w:val="00054C50"/>
    <w:rsid w:val="0005544C"/>
    <w:rsid w:val="00057557"/>
    <w:rsid w:val="00057AA6"/>
    <w:rsid w:val="0006043B"/>
    <w:rsid w:val="00060784"/>
    <w:rsid w:val="000611F9"/>
    <w:rsid w:val="00061B2D"/>
    <w:rsid w:val="0006224C"/>
    <w:rsid w:val="00062449"/>
    <w:rsid w:val="000628C9"/>
    <w:rsid w:val="00062963"/>
    <w:rsid w:val="00063ACA"/>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4B7"/>
    <w:rsid w:val="00071630"/>
    <w:rsid w:val="00071B1F"/>
    <w:rsid w:val="00071B78"/>
    <w:rsid w:val="00071C0F"/>
    <w:rsid w:val="00072162"/>
    <w:rsid w:val="000739F6"/>
    <w:rsid w:val="00074024"/>
    <w:rsid w:val="00075BB7"/>
    <w:rsid w:val="0007690F"/>
    <w:rsid w:val="00077F75"/>
    <w:rsid w:val="000800FB"/>
    <w:rsid w:val="00080395"/>
    <w:rsid w:val="000803A0"/>
    <w:rsid w:val="00080BF7"/>
    <w:rsid w:val="00081405"/>
    <w:rsid w:val="00081998"/>
    <w:rsid w:val="00082CEE"/>
    <w:rsid w:val="00083B28"/>
    <w:rsid w:val="00083C62"/>
    <w:rsid w:val="00085483"/>
    <w:rsid w:val="00085A5C"/>
    <w:rsid w:val="00085D07"/>
    <w:rsid w:val="00085E8B"/>
    <w:rsid w:val="000865D7"/>
    <w:rsid w:val="00087E13"/>
    <w:rsid w:val="00087F01"/>
    <w:rsid w:val="00087FB3"/>
    <w:rsid w:val="0009048D"/>
    <w:rsid w:val="000908EC"/>
    <w:rsid w:val="00090C94"/>
    <w:rsid w:val="00090E2D"/>
    <w:rsid w:val="0009157D"/>
    <w:rsid w:val="00092E5A"/>
    <w:rsid w:val="00092EA0"/>
    <w:rsid w:val="00093263"/>
    <w:rsid w:val="00093617"/>
    <w:rsid w:val="000937B6"/>
    <w:rsid w:val="00093843"/>
    <w:rsid w:val="00093F06"/>
    <w:rsid w:val="000944E7"/>
    <w:rsid w:val="00094778"/>
    <w:rsid w:val="00095395"/>
    <w:rsid w:val="00096002"/>
    <w:rsid w:val="0009639E"/>
    <w:rsid w:val="00096543"/>
    <w:rsid w:val="00097555"/>
    <w:rsid w:val="00097918"/>
    <w:rsid w:val="00097D66"/>
    <w:rsid w:val="00097ED4"/>
    <w:rsid w:val="000A0AF2"/>
    <w:rsid w:val="000A1408"/>
    <w:rsid w:val="000A2457"/>
    <w:rsid w:val="000A2470"/>
    <w:rsid w:val="000A2B63"/>
    <w:rsid w:val="000A2F81"/>
    <w:rsid w:val="000A3132"/>
    <w:rsid w:val="000A3512"/>
    <w:rsid w:val="000A3A30"/>
    <w:rsid w:val="000A3C0F"/>
    <w:rsid w:val="000A42F7"/>
    <w:rsid w:val="000A51D7"/>
    <w:rsid w:val="000A5BD3"/>
    <w:rsid w:val="000A65C8"/>
    <w:rsid w:val="000A6BB2"/>
    <w:rsid w:val="000A6E29"/>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8DF"/>
    <w:rsid w:val="000C3BF8"/>
    <w:rsid w:val="000C3EA7"/>
    <w:rsid w:val="000C4321"/>
    <w:rsid w:val="000C4771"/>
    <w:rsid w:val="000C4B08"/>
    <w:rsid w:val="000C4C69"/>
    <w:rsid w:val="000C5251"/>
    <w:rsid w:val="000C5BF8"/>
    <w:rsid w:val="000C5D4C"/>
    <w:rsid w:val="000C656D"/>
    <w:rsid w:val="000C67C1"/>
    <w:rsid w:val="000C6DE9"/>
    <w:rsid w:val="000C7B42"/>
    <w:rsid w:val="000C7FF3"/>
    <w:rsid w:val="000D04ED"/>
    <w:rsid w:val="000D06C1"/>
    <w:rsid w:val="000D0AAE"/>
    <w:rsid w:val="000D0D9D"/>
    <w:rsid w:val="000D0EA6"/>
    <w:rsid w:val="000D19C1"/>
    <w:rsid w:val="000D1A83"/>
    <w:rsid w:val="000D1E84"/>
    <w:rsid w:val="000D2440"/>
    <w:rsid w:val="000D2B1C"/>
    <w:rsid w:val="000D2DB8"/>
    <w:rsid w:val="000D2E56"/>
    <w:rsid w:val="000D397A"/>
    <w:rsid w:val="000D3BAD"/>
    <w:rsid w:val="000D3D6D"/>
    <w:rsid w:val="000D4E15"/>
    <w:rsid w:val="000D5107"/>
    <w:rsid w:val="000D59A5"/>
    <w:rsid w:val="000D5D0E"/>
    <w:rsid w:val="000D65DC"/>
    <w:rsid w:val="000D6922"/>
    <w:rsid w:val="000D7A9E"/>
    <w:rsid w:val="000D7B5E"/>
    <w:rsid w:val="000E00E0"/>
    <w:rsid w:val="000E06B2"/>
    <w:rsid w:val="000E0F9C"/>
    <w:rsid w:val="000E2A29"/>
    <w:rsid w:val="000E2D74"/>
    <w:rsid w:val="000E3220"/>
    <w:rsid w:val="000E33DF"/>
    <w:rsid w:val="000E4C04"/>
    <w:rsid w:val="000E51E3"/>
    <w:rsid w:val="000E58AD"/>
    <w:rsid w:val="000E5A9A"/>
    <w:rsid w:val="000E5D88"/>
    <w:rsid w:val="000E5EC4"/>
    <w:rsid w:val="000E6138"/>
    <w:rsid w:val="000E6C1F"/>
    <w:rsid w:val="000F0375"/>
    <w:rsid w:val="000F056A"/>
    <w:rsid w:val="000F05AA"/>
    <w:rsid w:val="000F0DA5"/>
    <w:rsid w:val="000F12BC"/>
    <w:rsid w:val="000F255F"/>
    <w:rsid w:val="000F2810"/>
    <w:rsid w:val="000F29F2"/>
    <w:rsid w:val="000F36BC"/>
    <w:rsid w:val="000F3C31"/>
    <w:rsid w:val="000F3D68"/>
    <w:rsid w:val="000F592A"/>
    <w:rsid w:val="000F5FB5"/>
    <w:rsid w:val="000F72C1"/>
    <w:rsid w:val="000F766C"/>
    <w:rsid w:val="000F7713"/>
    <w:rsid w:val="000F7805"/>
    <w:rsid w:val="0010011E"/>
    <w:rsid w:val="0010053A"/>
    <w:rsid w:val="00100CDE"/>
    <w:rsid w:val="0010146D"/>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31A"/>
    <w:rsid w:val="001168DF"/>
    <w:rsid w:val="00116C10"/>
    <w:rsid w:val="00116C9C"/>
    <w:rsid w:val="00116DEE"/>
    <w:rsid w:val="00116E1D"/>
    <w:rsid w:val="00117194"/>
    <w:rsid w:val="00117641"/>
    <w:rsid w:val="00117F1F"/>
    <w:rsid w:val="00117F83"/>
    <w:rsid w:val="00120153"/>
    <w:rsid w:val="00120603"/>
    <w:rsid w:val="001214C1"/>
    <w:rsid w:val="001224FE"/>
    <w:rsid w:val="001225D8"/>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0C25"/>
    <w:rsid w:val="00131C62"/>
    <w:rsid w:val="001320FB"/>
    <w:rsid w:val="001322EF"/>
    <w:rsid w:val="00132618"/>
    <w:rsid w:val="00133987"/>
    <w:rsid w:val="00133AC1"/>
    <w:rsid w:val="00133CDF"/>
    <w:rsid w:val="001342AE"/>
    <w:rsid w:val="001343BE"/>
    <w:rsid w:val="001348F9"/>
    <w:rsid w:val="00134BD7"/>
    <w:rsid w:val="00134F59"/>
    <w:rsid w:val="00135362"/>
    <w:rsid w:val="00135BC5"/>
    <w:rsid w:val="00135BF0"/>
    <w:rsid w:val="00135EBE"/>
    <w:rsid w:val="00136301"/>
    <w:rsid w:val="001367DA"/>
    <w:rsid w:val="00136BFA"/>
    <w:rsid w:val="00137388"/>
    <w:rsid w:val="001400CB"/>
    <w:rsid w:val="00140912"/>
    <w:rsid w:val="00140C2F"/>
    <w:rsid w:val="00142434"/>
    <w:rsid w:val="00142F9A"/>
    <w:rsid w:val="0014360F"/>
    <w:rsid w:val="00143766"/>
    <w:rsid w:val="001455E4"/>
    <w:rsid w:val="00145997"/>
    <w:rsid w:val="00145B95"/>
    <w:rsid w:val="00146A8F"/>
    <w:rsid w:val="001473EE"/>
    <w:rsid w:val="00147509"/>
    <w:rsid w:val="001479B6"/>
    <w:rsid w:val="00150573"/>
    <w:rsid w:val="00150870"/>
    <w:rsid w:val="00150944"/>
    <w:rsid w:val="0015154C"/>
    <w:rsid w:val="00152351"/>
    <w:rsid w:val="00152393"/>
    <w:rsid w:val="00152BE6"/>
    <w:rsid w:val="00152EDA"/>
    <w:rsid w:val="00153372"/>
    <w:rsid w:val="001535EC"/>
    <w:rsid w:val="00153D5F"/>
    <w:rsid w:val="00154130"/>
    <w:rsid w:val="0015416B"/>
    <w:rsid w:val="00154768"/>
    <w:rsid w:val="00155230"/>
    <w:rsid w:val="001555EE"/>
    <w:rsid w:val="00155620"/>
    <w:rsid w:val="001564A4"/>
    <w:rsid w:val="001565E5"/>
    <w:rsid w:val="00156971"/>
    <w:rsid w:val="00157160"/>
    <w:rsid w:val="0015760F"/>
    <w:rsid w:val="00160041"/>
    <w:rsid w:val="0016034C"/>
    <w:rsid w:val="001603FD"/>
    <w:rsid w:val="001605C6"/>
    <w:rsid w:val="001605D3"/>
    <w:rsid w:val="001618B6"/>
    <w:rsid w:val="00161C4C"/>
    <w:rsid w:val="00162CB3"/>
    <w:rsid w:val="00163551"/>
    <w:rsid w:val="00163841"/>
    <w:rsid w:val="001651C5"/>
    <w:rsid w:val="0016550F"/>
    <w:rsid w:val="00166026"/>
    <w:rsid w:val="00166356"/>
    <w:rsid w:val="001667AA"/>
    <w:rsid w:val="001669A0"/>
    <w:rsid w:val="00166E0D"/>
    <w:rsid w:val="00167013"/>
    <w:rsid w:val="00167CB4"/>
    <w:rsid w:val="001706F9"/>
    <w:rsid w:val="00170FA7"/>
    <w:rsid w:val="00171507"/>
    <w:rsid w:val="001720FD"/>
    <w:rsid w:val="00172E7C"/>
    <w:rsid w:val="001730FB"/>
    <w:rsid w:val="001732BB"/>
    <w:rsid w:val="00173C53"/>
    <w:rsid w:val="00173F1B"/>
    <w:rsid w:val="001743A5"/>
    <w:rsid w:val="00174789"/>
    <w:rsid w:val="00174B3C"/>
    <w:rsid w:val="0017525D"/>
    <w:rsid w:val="0017645C"/>
    <w:rsid w:val="00176944"/>
    <w:rsid w:val="00176C74"/>
    <w:rsid w:val="0017796A"/>
    <w:rsid w:val="00177D5C"/>
    <w:rsid w:val="00177E50"/>
    <w:rsid w:val="00177F56"/>
    <w:rsid w:val="00180010"/>
    <w:rsid w:val="0018034C"/>
    <w:rsid w:val="00180F86"/>
    <w:rsid w:val="00181E2B"/>
    <w:rsid w:val="001820BF"/>
    <w:rsid w:val="0018259F"/>
    <w:rsid w:val="001827CC"/>
    <w:rsid w:val="00182A0D"/>
    <w:rsid w:val="00182A21"/>
    <w:rsid w:val="00182F10"/>
    <w:rsid w:val="00183562"/>
    <w:rsid w:val="00183992"/>
    <w:rsid w:val="001842BA"/>
    <w:rsid w:val="00184315"/>
    <w:rsid w:val="00184741"/>
    <w:rsid w:val="00184CFE"/>
    <w:rsid w:val="0018574D"/>
    <w:rsid w:val="00185933"/>
    <w:rsid w:val="00185992"/>
    <w:rsid w:val="00186179"/>
    <w:rsid w:val="001863D2"/>
    <w:rsid w:val="001863E3"/>
    <w:rsid w:val="001866E9"/>
    <w:rsid w:val="00186ECE"/>
    <w:rsid w:val="00187151"/>
    <w:rsid w:val="00187656"/>
    <w:rsid w:val="00187695"/>
    <w:rsid w:val="0018798E"/>
    <w:rsid w:val="00190C74"/>
    <w:rsid w:val="0019122A"/>
    <w:rsid w:val="00191C14"/>
    <w:rsid w:val="001926EC"/>
    <w:rsid w:val="00193AA8"/>
    <w:rsid w:val="00195154"/>
    <w:rsid w:val="00195181"/>
    <w:rsid w:val="00195842"/>
    <w:rsid w:val="001958AF"/>
    <w:rsid w:val="00196E6C"/>
    <w:rsid w:val="0019753D"/>
    <w:rsid w:val="0019773E"/>
    <w:rsid w:val="00197E18"/>
    <w:rsid w:val="001A0C7D"/>
    <w:rsid w:val="001A1165"/>
    <w:rsid w:val="001A1581"/>
    <w:rsid w:val="001A1DDE"/>
    <w:rsid w:val="001A21CC"/>
    <w:rsid w:val="001A2F5A"/>
    <w:rsid w:val="001A3319"/>
    <w:rsid w:val="001A386B"/>
    <w:rsid w:val="001A3BF3"/>
    <w:rsid w:val="001A45ED"/>
    <w:rsid w:val="001A4693"/>
    <w:rsid w:val="001A4B69"/>
    <w:rsid w:val="001A548D"/>
    <w:rsid w:val="001A6022"/>
    <w:rsid w:val="001A6366"/>
    <w:rsid w:val="001A66F8"/>
    <w:rsid w:val="001A6799"/>
    <w:rsid w:val="001A6CB4"/>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1C7"/>
    <w:rsid w:val="001B43B1"/>
    <w:rsid w:val="001B4573"/>
    <w:rsid w:val="001B4583"/>
    <w:rsid w:val="001B48B1"/>
    <w:rsid w:val="001B4C69"/>
    <w:rsid w:val="001B4ECD"/>
    <w:rsid w:val="001B4F38"/>
    <w:rsid w:val="001B4F90"/>
    <w:rsid w:val="001B5D2D"/>
    <w:rsid w:val="001B6151"/>
    <w:rsid w:val="001B7243"/>
    <w:rsid w:val="001B739E"/>
    <w:rsid w:val="001B7952"/>
    <w:rsid w:val="001B7A83"/>
    <w:rsid w:val="001B7E74"/>
    <w:rsid w:val="001C095C"/>
    <w:rsid w:val="001C0F66"/>
    <w:rsid w:val="001C148B"/>
    <w:rsid w:val="001C1999"/>
    <w:rsid w:val="001C2F8F"/>
    <w:rsid w:val="001C3363"/>
    <w:rsid w:val="001C37FB"/>
    <w:rsid w:val="001C3850"/>
    <w:rsid w:val="001C3901"/>
    <w:rsid w:val="001C4D1D"/>
    <w:rsid w:val="001C4FC0"/>
    <w:rsid w:val="001C5A08"/>
    <w:rsid w:val="001C5CA7"/>
    <w:rsid w:val="001C76AC"/>
    <w:rsid w:val="001D04F9"/>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215"/>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1848"/>
    <w:rsid w:val="001F21B7"/>
    <w:rsid w:val="001F2420"/>
    <w:rsid w:val="001F24E3"/>
    <w:rsid w:val="001F2683"/>
    <w:rsid w:val="001F31ED"/>
    <w:rsid w:val="001F42E7"/>
    <w:rsid w:val="001F466F"/>
    <w:rsid w:val="001F4E37"/>
    <w:rsid w:val="001F6363"/>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43B"/>
    <w:rsid w:val="002067F3"/>
    <w:rsid w:val="0020685A"/>
    <w:rsid w:val="00206948"/>
    <w:rsid w:val="00206AB0"/>
    <w:rsid w:val="00206AEB"/>
    <w:rsid w:val="00206B58"/>
    <w:rsid w:val="0020727C"/>
    <w:rsid w:val="00207B8F"/>
    <w:rsid w:val="00207C92"/>
    <w:rsid w:val="00210541"/>
    <w:rsid w:val="00210FF7"/>
    <w:rsid w:val="00212D23"/>
    <w:rsid w:val="00212D25"/>
    <w:rsid w:val="00213584"/>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0C8"/>
    <w:rsid w:val="00222369"/>
    <w:rsid w:val="00222445"/>
    <w:rsid w:val="002226F9"/>
    <w:rsid w:val="00222DE4"/>
    <w:rsid w:val="00223440"/>
    <w:rsid w:val="00223D1C"/>
    <w:rsid w:val="00224D74"/>
    <w:rsid w:val="002252B4"/>
    <w:rsid w:val="00225F39"/>
    <w:rsid w:val="00226167"/>
    <w:rsid w:val="00226787"/>
    <w:rsid w:val="00226B9B"/>
    <w:rsid w:val="00227452"/>
    <w:rsid w:val="00230070"/>
    <w:rsid w:val="0023094B"/>
    <w:rsid w:val="00230F0D"/>
    <w:rsid w:val="00231AF0"/>
    <w:rsid w:val="00233541"/>
    <w:rsid w:val="00234680"/>
    <w:rsid w:val="00234923"/>
    <w:rsid w:val="00234ACA"/>
    <w:rsid w:val="002352CB"/>
    <w:rsid w:val="002355E1"/>
    <w:rsid w:val="002368D5"/>
    <w:rsid w:val="002374E2"/>
    <w:rsid w:val="00237750"/>
    <w:rsid w:val="00237AEB"/>
    <w:rsid w:val="00237B34"/>
    <w:rsid w:val="00237D0B"/>
    <w:rsid w:val="00240AD3"/>
    <w:rsid w:val="00241E1F"/>
    <w:rsid w:val="002424EB"/>
    <w:rsid w:val="00242940"/>
    <w:rsid w:val="002435E7"/>
    <w:rsid w:val="002436DF"/>
    <w:rsid w:val="00243AD9"/>
    <w:rsid w:val="002441B1"/>
    <w:rsid w:val="00244DDE"/>
    <w:rsid w:val="00245839"/>
    <w:rsid w:val="00245E25"/>
    <w:rsid w:val="0024619B"/>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3C2F"/>
    <w:rsid w:val="002540DF"/>
    <w:rsid w:val="002541CB"/>
    <w:rsid w:val="00255346"/>
    <w:rsid w:val="002553FE"/>
    <w:rsid w:val="00255F10"/>
    <w:rsid w:val="0025623D"/>
    <w:rsid w:val="002578B0"/>
    <w:rsid w:val="00257920"/>
    <w:rsid w:val="002579BD"/>
    <w:rsid w:val="00257F3A"/>
    <w:rsid w:val="00260961"/>
    <w:rsid w:val="00260AC9"/>
    <w:rsid w:val="00260B3D"/>
    <w:rsid w:val="0026128F"/>
    <w:rsid w:val="00261439"/>
    <w:rsid w:val="00261A2A"/>
    <w:rsid w:val="00261BDA"/>
    <w:rsid w:val="00262240"/>
    <w:rsid w:val="002625BC"/>
    <w:rsid w:val="00262A5F"/>
    <w:rsid w:val="0026344D"/>
    <w:rsid w:val="002639F0"/>
    <w:rsid w:val="00264079"/>
    <w:rsid w:val="00264209"/>
    <w:rsid w:val="002647BC"/>
    <w:rsid w:val="00264827"/>
    <w:rsid w:val="00265927"/>
    <w:rsid w:val="002676D3"/>
    <w:rsid w:val="00267727"/>
    <w:rsid w:val="002678EC"/>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5AA4"/>
    <w:rsid w:val="00275D27"/>
    <w:rsid w:val="00276254"/>
    <w:rsid w:val="00276BB6"/>
    <w:rsid w:val="00276E11"/>
    <w:rsid w:val="00276E89"/>
    <w:rsid w:val="002772DB"/>
    <w:rsid w:val="002809CD"/>
    <w:rsid w:val="0028164A"/>
    <w:rsid w:val="00283225"/>
    <w:rsid w:val="0028393C"/>
    <w:rsid w:val="00283BF6"/>
    <w:rsid w:val="00284032"/>
    <w:rsid w:val="00284E44"/>
    <w:rsid w:val="0028530E"/>
    <w:rsid w:val="002873DF"/>
    <w:rsid w:val="002877FB"/>
    <w:rsid w:val="00287A5A"/>
    <w:rsid w:val="00287B8D"/>
    <w:rsid w:val="00287D30"/>
    <w:rsid w:val="00290836"/>
    <w:rsid w:val="00290D7A"/>
    <w:rsid w:val="00291098"/>
    <w:rsid w:val="002913DD"/>
    <w:rsid w:val="0029160B"/>
    <w:rsid w:val="00291A3F"/>
    <w:rsid w:val="00291DB7"/>
    <w:rsid w:val="002926A5"/>
    <w:rsid w:val="00292E4C"/>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E15"/>
    <w:rsid w:val="00297FAD"/>
    <w:rsid w:val="002A0398"/>
    <w:rsid w:val="002A0A6D"/>
    <w:rsid w:val="002A1562"/>
    <w:rsid w:val="002A237A"/>
    <w:rsid w:val="002A25D0"/>
    <w:rsid w:val="002A2815"/>
    <w:rsid w:val="002A464B"/>
    <w:rsid w:val="002A4839"/>
    <w:rsid w:val="002A4EEB"/>
    <w:rsid w:val="002A512D"/>
    <w:rsid w:val="002A5188"/>
    <w:rsid w:val="002A5D13"/>
    <w:rsid w:val="002A5E54"/>
    <w:rsid w:val="002B0675"/>
    <w:rsid w:val="002B0927"/>
    <w:rsid w:val="002B0953"/>
    <w:rsid w:val="002B1348"/>
    <w:rsid w:val="002B19FC"/>
    <w:rsid w:val="002B1ACB"/>
    <w:rsid w:val="002B1D19"/>
    <w:rsid w:val="002B27D9"/>
    <w:rsid w:val="002B321E"/>
    <w:rsid w:val="002B32FB"/>
    <w:rsid w:val="002B5376"/>
    <w:rsid w:val="002B5A19"/>
    <w:rsid w:val="002B5D46"/>
    <w:rsid w:val="002B5E92"/>
    <w:rsid w:val="002B5F5B"/>
    <w:rsid w:val="002B5FC1"/>
    <w:rsid w:val="002B61BD"/>
    <w:rsid w:val="002B65BF"/>
    <w:rsid w:val="002B68E2"/>
    <w:rsid w:val="002B6F5B"/>
    <w:rsid w:val="002B7924"/>
    <w:rsid w:val="002B7A27"/>
    <w:rsid w:val="002B7AB5"/>
    <w:rsid w:val="002C04A3"/>
    <w:rsid w:val="002C0503"/>
    <w:rsid w:val="002C0628"/>
    <w:rsid w:val="002C09A4"/>
    <w:rsid w:val="002C0F33"/>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0F19"/>
    <w:rsid w:val="002D14D8"/>
    <w:rsid w:val="002D15B8"/>
    <w:rsid w:val="002D16D2"/>
    <w:rsid w:val="002D20EF"/>
    <w:rsid w:val="002D21BC"/>
    <w:rsid w:val="002D262D"/>
    <w:rsid w:val="002D2FDB"/>
    <w:rsid w:val="002D33B3"/>
    <w:rsid w:val="002D3853"/>
    <w:rsid w:val="002D414D"/>
    <w:rsid w:val="002D4A66"/>
    <w:rsid w:val="002D4CA8"/>
    <w:rsid w:val="002D4DCA"/>
    <w:rsid w:val="002D5301"/>
    <w:rsid w:val="002D5573"/>
    <w:rsid w:val="002D5A4F"/>
    <w:rsid w:val="002D626B"/>
    <w:rsid w:val="002D661E"/>
    <w:rsid w:val="002D6CC0"/>
    <w:rsid w:val="002D6E1D"/>
    <w:rsid w:val="002D7CA0"/>
    <w:rsid w:val="002E0092"/>
    <w:rsid w:val="002E01E3"/>
    <w:rsid w:val="002E181D"/>
    <w:rsid w:val="002E1ACD"/>
    <w:rsid w:val="002E2606"/>
    <w:rsid w:val="002E2888"/>
    <w:rsid w:val="002E2C24"/>
    <w:rsid w:val="002E2DC9"/>
    <w:rsid w:val="002E34B4"/>
    <w:rsid w:val="002E38BA"/>
    <w:rsid w:val="002E3979"/>
    <w:rsid w:val="002E3CD2"/>
    <w:rsid w:val="002E3FE6"/>
    <w:rsid w:val="002E41B2"/>
    <w:rsid w:val="002E50ED"/>
    <w:rsid w:val="002E55D3"/>
    <w:rsid w:val="002E5912"/>
    <w:rsid w:val="002E5947"/>
    <w:rsid w:val="002E5EA0"/>
    <w:rsid w:val="002E68ED"/>
    <w:rsid w:val="002E79F5"/>
    <w:rsid w:val="002E7A40"/>
    <w:rsid w:val="002E7AC0"/>
    <w:rsid w:val="002E7F1C"/>
    <w:rsid w:val="002F001A"/>
    <w:rsid w:val="002F062F"/>
    <w:rsid w:val="002F10E9"/>
    <w:rsid w:val="002F1811"/>
    <w:rsid w:val="002F1F01"/>
    <w:rsid w:val="002F253F"/>
    <w:rsid w:val="002F27A4"/>
    <w:rsid w:val="002F2A75"/>
    <w:rsid w:val="002F38C0"/>
    <w:rsid w:val="002F4691"/>
    <w:rsid w:val="002F4A78"/>
    <w:rsid w:val="002F5D01"/>
    <w:rsid w:val="002F6069"/>
    <w:rsid w:val="002F6892"/>
    <w:rsid w:val="002F6BC6"/>
    <w:rsid w:val="002F70A9"/>
    <w:rsid w:val="003001F4"/>
    <w:rsid w:val="003003B0"/>
    <w:rsid w:val="003004B5"/>
    <w:rsid w:val="00300729"/>
    <w:rsid w:val="0030093F"/>
    <w:rsid w:val="003009BB"/>
    <w:rsid w:val="00301BCA"/>
    <w:rsid w:val="00301CB2"/>
    <w:rsid w:val="00301CC9"/>
    <w:rsid w:val="00302A40"/>
    <w:rsid w:val="00303142"/>
    <w:rsid w:val="003031EC"/>
    <w:rsid w:val="00303A58"/>
    <w:rsid w:val="00303CCD"/>
    <w:rsid w:val="003046F4"/>
    <w:rsid w:val="00304C1C"/>
    <w:rsid w:val="00304E10"/>
    <w:rsid w:val="0030520F"/>
    <w:rsid w:val="0030530B"/>
    <w:rsid w:val="0030540E"/>
    <w:rsid w:val="00305BDF"/>
    <w:rsid w:val="00306EE5"/>
    <w:rsid w:val="00306EFD"/>
    <w:rsid w:val="00310B73"/>
    <w:rsid w:val="00310D68"/>
    <w:rsid w:val="003111F3"/>
    <w:rsid w:val="003113FD"/>
    <w:rsid w:val="00311DB9"/>
    <w:rsid w:val="00312700"/>
    <w:rsid w:val="00312AAE"/>
    <w:rsid w:val="00312FB8"/>
    <w:rsid w:val="00314218"/>
    <w:rsid w:val="0031425F"/>
    <w:rsid w:val="00314F73"/>
    <w:rsid w:val="00315E64"/>
    <w:rsid w:val="00316084"/>
    <w:rsid w:val="00316643"/>
    <w:rsid w:val="0031679D"/>
    <w:rsid w:val="0031686B"/>
    <w:rsid w:val="00316C6B"/>
    <w:rsid w:val="00316D51"/>
    <w:rsid w:val="0031720A"/>
    <w:rsid w:val="00317A50"/>
    <w:rsid w:val="00320A9E"/>
    <w:rsid w:val="00320BAE"/>
    <w:rsid w:val="0032103A"/>
    <w:rsid w:val="0032172E"/>
    <w:rsid w:val="00321E8A"/>
    <w:rsid w:val="00322FE7"/>
    <w:rsid w:val="00323028"/>
    <w:rsid w:val="00323048"/>
    <w:rsid w:val="00323396"/>
    <w:rsid w:val="00323F1C"/>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51C5"/>
    <w:rsid w:val="00335411"/>
    <w:rsid w:val="00335B40"/>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41F"/>
    <w:rsid w:val="00344DDC"/>
    <w:rsid w:val="00345530"/>
    <w:rsid w:val="00345FC4"/>
    <w:rsid w:val="00346261"/>
    <w:rsid w:val="00346B73"/>
    <w:rsid w:val="003472E6"/>
    <w:rsid w:val="00347B0D"/>
    <w:rsid w:val="00347F6B"/>
    <w:rsid w:val="00347FC8"/>
    <w:rsid w:val="00350562"/>
    <w:rsid w:val="00350CD1"/>
    <w:rsid w:val="00351FCB"/>
    <w:rsid w:val="00352260"/>
    <w:rsid w:val="00354CD8"/>
    <w:rsid w:val="0035546D"/>
    <w:rsid w:val="003572D2"/>
    <w:rsid w:val="0035761B"/>
    <w:rsid w:val="00357F85"/>
    <w:rsid w:val="003601F7"/>
    <w:rsid w:val="003612FC"/>
    <w:rsid w:val="0036143D"/>
    <w:rsid w:val="00361689"/>
    <w:rsid w:val="003619F3"/>
    <w:rsid w:val="0036204C"/>
    <w:rsid w:val="003626AA"/>
    <w:rsid w:val="00362ED2"/>
    <w:rsid w:val="00363F50"/>
    <w:rsid w:val="00365954"/>
    <w:rsid w:val="00366069"/>
    <w:rsid w:val="00367424"/>
    <w:rsid w:val="00367C06"/>
    <w:rsid w:val="00367C5D"/>
    <w:rsid w:val="0037063E"/>
    <w:rsid w:val="0037064E"/>
    <w:rsid w:val="00370E67"/>
    <w:rsid w:val="00370ED7"/>
    <w:rsid w:val="00371AC7"/>
    <w:rsid w:val="00372277"/>
    <w:rsid w:val="0037242B"/>
    <w:rsid w:val="00372C8C"/>
    <w:rsid w:val="00372E30"/>
    <w:rsid w:val="003735B3"/>
    <w:rsid w:val="00373B03"/>
    <w:rsid w:val="00374322"/>
    <w:rsid w:val="00374655"/>
    <w:rsid w:val="00374C1C"/>
    <w:rsid w:val="0037528F"/>
    <w:rsid w:val="00375351"/>
    <w:rsid w:val="00375480"/>
    <w:rsid w:val="003756F7"/>
    <w:rsid w:val="00376092"/>
    <w:rsid w:val="00376319"/>
    <w:rsid w:val="0037637F"/>
    <w:rsid w:val="00377B5A"/>
    <w:rsid w:val="00380B2A"/>
    <w:rsid w:val="00380C96"/>
    <w:rsid w:val="00381872"/>
    <w:rsid w:val="00381AF4"/>
    <w:rsid w:val="00382C18"/>
    <w:rsid w:val="00382E5C"/>
    <w:rsid w:val="00382F66"/>
    <w:rsid w:val="00383089"/>
    <w:rsid w:val="003831E7"/>
    <w:rsid w:val="003847FD"/>
    <w:rsid w:val="00384AC6"/>
    <w:rsid w:val="0038553B"/>
    <w:rsid w:val="0038573F"/>
    <w:rsid w:val="003857EB"/>
    <w:rsid w:val="003858EF"/>
    <w:rsid w:val="00385AAD"/>
    <w:rsid w:val="00385C26"/>
    <w:rsid w:val="003860B3"/>
    <w:rsid w:val="00386680"/>
    <w:rsid w:val="00386816"/>
    <w:rsid w:val="00386BDE"/>
    <w:rsid w:val="00386C02"/>
    <w:rsid w:val="00386CF6"/>
    <w:rsid w:val="00387057"/>
    <w:rsid w:val="003873B6"/>
    <w:rsid w:val="00387AC8"/>
    <w:rsid w:val="00390118"/>
    <w:rsid w:val="00390765"/>
    <w:rsid w:val="00390AD8"/>
    <w:rsid w:val="0039134B"/>
    <w:rsid w:val="0039178F"/>
    <w:rsid w:val="00392193"/>
    <w:rsid w:val="00392284"/>
    <w:rsid w:val="0039230D"/>
    <w:rsid w:val="00392A34"/>
    <w:rsid w:val="00392CAB"/>
    <w:rsid w:val="00393011"/>
    <w:rsid w:val="00393E22"/>
    <w:rsid w:val="00394005"/>
    <w:rsid w:val="00394143"/>
    <w:rsid w:val="003945F8"/>
    <w:rsid w:val="003950DB"/>
    <w:rsid w:val="00395564"/>
    <w:rsid w:val="00396027"/>
    <w:rsid w:val="00396BEB"/>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56A"/>
    <w:rsid w:val="003A76D1"/>
    <w:rsid w:val="003B16CD"/>
    <w:rsid w:val="003B1A71"/>
    <w:rsid w:val="003B1F5B"/>
    <w:rsid w:val="003B25EB"/>
    <w:rsid w:val="003B2D20"/>
    <w:rsid w:val="003B359C"/>
    <w:rsid w:val="003B3942"/>
    <w:rsid w:val="003B3B29"/>
    <w:rsid w:val="003B481A"/>
    <w:rsid w:val="003B4B7F"/>
    <w:rsid w:val="003B5BAA"/>
    <w:rsid w:val="003B5C47"/>
    <w:rsid w:val="003B63E2"/>
    <w:rsid w:val="003B6E44"/>
    <w:rsid w:val="003B6FC4"/>
    <w:rsid w:val="003B776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3B0"/>
    <w:rsid w:val="003C465D"/>
    <w:rsid w:val="003C482B"/>
    <w:rsid w:val="003C4B4E"/>
    <w:rsid w:val="003C5025"/>
    <w:rsid w:val="003C54FD"/>
    <w:rsid w:val="003C56D7"/>
    <w:rsid w:val="003C676E"/>
    <w:rsid w:val="003C70E5"/>
    <w:rsid w:val="003C752A"/>
    <w:rsid w:val="003C75BE"/>
    <w:rsid w:val="003C7DA1"/>
    <w:rsid w:val="003D09A3"/>
    <w:rsid w:val="003D0D85"/>
    <w:rsid w:val="003D1842"/>
    <w:rsid w:val="003D1D27"/>
    <w:rsid w:val="003D3A66"/>
    <w:rsid w:val="003D5CF7"/>
    <w:rsid w:val="003D5E70"/>
    <w:rsid w:val="003D6010"/>
    <w:rsid w:val="003D659B"/>
    <w:rsid w:val="003D671C"/>
    <w:rsid w:val="003D7D10"/>
    <w:rsid w:val="003E0111"/>
    <w:rsid w:val="003E0231"/>
    <w:rsid w:val="003E08B3"/>
    <w:rsid w:val="003E0B9B"/>
    <w:rsid w:val="003E14C4"/>
    <w:rsid w:val="003E153F"/>
    <w:rsid w:val="003E210D"/>
    <w:rsid w:val="003E27FA"/>
    <w:rsid w:val="003E2A08"/>
    <w:rsid w:val="003E34D8"/>
    <w:rsid w:val="003E380A"/>
    <w:rsid w:val="003E441D"/>
    <w:rsid w:val="003E4559"/>
    <w:rsid w:val="003E4E6E"/>
    <w:rsid w:val="003E5099"/>
    <w:rsid w:val="003E528A"/>
    <w:rsid w:val="003E56B9"/>
    <w:rsid w:val="003E570B"/>
    <w:rsid w:val="003E5D22"/>
    <w:rsid w:val="003E6E6D"/>
    <w:rsid w:val="003E7840"/>
    <w:rsid w:val="003E7B17"/>
    <w:rsid w:val="003F01E1"/>
    <w:rsid w:val="003F117C"/>
    <w:rsid w:val="003F11ED"/>
    <w:rsid w:val="003F1C39"/>
    <w:rsid w:val="003F229D"/>
    <w:rsid w:val="003F23C5"/>
    <w:rsid w:val="003F28C6"/>
    <w:rsid w:val="003F330C"/>
    <w:rsid w:val="003F3D22"/>
    <w:rsid w:val="003F3D28"/>
    <w:rsid w:val="003F4603"/>
    <w:rsid w:val="003F489A"/>
    <w:rsid w:val="003F4CE9"/>
    <w:rsid w:val="003F50B7"/>
    <w:rsid w:val="003F54FE"/>
    <w:rsid w:val="003F5E8A"/>
    <w:rsid w:val="003F6F52"/>
    <w:rsid w:val="003F7B22"/>
    <w:rsid w:val="003F7C34"/>
    <w:rsid w:val="004009BA"/>
    <w:rsid w:val="00400B59"/>
    <w:rsid w:val="00400C3F"/>
    <w:rsid w:val="00400CCA"/>
    <w:rsid w:val="00400ED6"/>
    <w:rsid w:val="004011DD"/>
    <w:rsid w:val="00402FC7"/>
    <w:rsid w:val="004034D6"/>
    <w:rsid w:val="00403722"/>
    <w:rsid w:val="004037BE"/>
    <w:rsid w:val="0040382E"/>
    <w:rsid w:val="00404221"/>
    <w:rsid w:val="00404D4E"/>
    <w:rsid w:val="0040549E"/>
    <w:rsid w:val="004055F5"/>
    <w:rsid w:val="004060DD"/>
    <w:rsid w:val="00407F2A"/>
    <w:rsid w:val="00410EED"/>
    <w:rsid w:val="004112F2"/>
    <w:rsid w:val="00411624"/>
    <w:rsid w:val="00411953"/>
    <w:rsid w:val="00411A51"/>
    <w:rsid w:val="00411B09"/>
    <w:rsid w:val="00411BA3"/>
    <w:rsid w:val="004126B3"/>
    <w:rsid w:val="0041271A"/>
    <w:rsid w:val="004128B8"/>
    <w:rsid w:val="00413E1F"/>
    <w:rsid w:val="0041464E"/>
    <w:rsid w:val="004147A1"/>
    <w:rsid w:val="00414820"/>
    <w:rsid w:val="00415452"/>
    <w:rsid w:val="004155A5"/>
    <w:rsid w:val="00415A9A"/>
    <w:rsid w:val="00415C3B"/>
    <w:rsid w:val="00415DC2"/>
    <w:rsid w:val="00416FFF"/>
    <w:rsid w:val="0041747B"/>
    <w:rsid w:val="004200D6"/>
    <w:rsid w:val="00420A79"/>
    <w:rsid w:val="00420C29"/>
    <w:rsid w:val="00420D35"/>
    <w:rsid w:val="00420EE5"/>
    <w:rsid w:val="004213EB"/>
    <w:rsid w:val="004221F2"/>
    <w:rsid w:val="00422760"/>
    <w:rsid w:val="0042299B"/>
    <w:rsid w:val="00422A10"/>
    <w:rsid w:val="00423CAA"/>
    <w:rsid w:val="004245E8"/>
    <w:rsid w:val="004252A4"/>
    <w:rsid w:val="004258B3"/>
    <w:rsid w:val="00427358"/>
    <w:rsid w:val="004300C8"/>
    <w:rsid w:val="004300FE"/>
    <w:rsid w:val="004304E9"/>
    <w:rsid w:val="0043064B"/>
    <w:rsid w:val="00430B72"/>
    <w:rsid w:val="00430ECB"/>
    <w:rsid w:val="0043100B"/>
    <w:rsid w:val="00431EF9"/>
    <w:rsid w:val="0043261E"/>
    <w:rsid w:val="004328EC"/>
    <w:rsid w:val="00433244"/>
    <w:rsid w:val="00433943"/>
    <w:rsid w:val="004340C4"/>
    <w:rsid w:val="00434755"/>
    <w:rsid w:val="0043478D"/>
    <w:rsid w:val="004349EF"/>
    <w:rsid w:val="00434C07"/>
    <w:rsid w:val="00434C24"/>
    <w:rsid w:val="00434FD2"/>
    <w:rsid w:val="004358E1"/>
    <w:rsid w:val="004366A9"/>
    <w:rsid w:val="00436EBC"/>
    <w:rsid w:val="00437610"/>
    <w:rsid w:val="00440318"/>
    <w:rsid w:val="004404B0"/>
    <w:rsid w:val="004404D8"/>
    <w:rsid w:val="00440C30"/>
    <w:rsid w:val="0044178B"/>
    <w:rsid w:val="00442900"/>
    <w:rsid w:val="00442DD2"/>
    <w:rsid w:val="004430E2"/>
    <w:rsid w:val="004434FE"/>
    <w:rsid w:val="00443832"/>
    <w:rsid w:val="00443A3B"/>
    <w:rsid w:val="00443B1F"/>
    <w:rsid w:val="00443C2A"/>
    <w:rsid w:val="0044454A"/>
    <w:rsid w:val="0044523E"/>
    <w:rsid w:val="004452A0"/>
    <w:rsid w:val="00445B08"/>
    <w:rsid w:val="00445BC3"/>
    <w:rsid w:val="004465F8"/>
    <w:rsid w:val="0044673D"/>
    <w:rsid w:val="0044675C"/>
    <w:rsid w:val="00446D1B"/>
    <w:rsid w:val="00446DF7"/>
    <w:rsid w:val="0044749B"/>
    <w:rsid w:val="00447A4E"/>
    <w:rsid w:val="00447D01"/>
    <w:rsid w:val="004504E9"/>
    <w:rsid w:val="004508CA"/>
    <w:rsid w:val="00450EC2"/>
    <w:rsid w:val="00451536"/>
    <w:rsid w:val="0045206B"/>
    <w:rsid w:val="00452238"/>
    <w:rsid w:val="00452285"/>
    <w:rsid w:val="004523A1"/>
    <w:rsid w:val="00452DFC"/>
    <w:rsid w:val="00453048"/>
    <w:rsid w:val="00453487"/>
    <w:rsid w:val="0045355C"/>
    <w:rsid w:val="0045387B"/>
    <w:rsid w:val="0045394B"/>
    <w:rsid w:val="00453D43"/>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71C5"/>
    <w:rsid w:val="00467CA4"/>
    <w:rsid w:val="004708FE"/>
    <w:rsid w:val="00470BFF"/>
    <w:rsid w:val="004716F1"/>
    <w:rsid w:val="00471CC5"/>
    <w:rsid w:val="00471E49"/>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69F"/>
    <w:rsid w:val="00483CBA"/>
    <w:rsid w:val="004842E1"/>
    <w:rsid w:val="00484A69"/>
    <w:rsid w:val="00484D5B"/>
    <w:rsid w:val="00484ED4"/>
    <w:rsid w:val="00484FB2"/>
    <w:rsid w:val="004850B7"/>
    <w:rsid w:val="004856A5"/>
    <w:rsid w:val="00485CDE"/>
    <w:rsid w:val="004862CD"/>
    <w:rsid w:val="004864FE"/>
    <w:rsid w:val="00486A50"/>
    <w:rsid w:val="00486E13"/>
    <w:rsid w:val="00486E6A"/>
    <w:rsid w:val="004872DD"/>
    <w:rsid w:val="0049183B"/>
    <w:rsid w:val="00491C0C"/>
    <w:rsid w:val="00491F76"/>
    <w:rsid w:val="00492071"/>
    <w:rsid w:val="0049256A"/>
    <w:rsid w:val="00492595"/>
    <w:rsid w:val="00492B79"/>
    <w:rsid w:val="00492C30"/>
    <w:rsid w:val="004932F4"/>
    <w:rsid w:val="00493991"/>
    <w:rsid w:val="00494032"/>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6B"/>
    <w:rsid w:val="004A20E7"/>
    <w:rsid w:val="004A229F"/>
    <w:rsid w:val="004A3156"/>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15F6"/>
    <w:rsid w:val="004B1EE0"/>
    <w:rsid w:val="004B2915"/>
    <w:rsid w:val="004B2D80"/>
    <w:rsid w:val="004B2F20"/>
    <w:rsid w:val="004B3B4B"/>
    <w:rsid w:val="004B3BDE"/>
    <w:rsid w:val="004B3D02"/>
    <w:rsid w:val="004B45AF"/>
    <w:rsid w:val="004B47A0"/>
    <w:rsid w:val="004B4D9D"/>
    <w:rsid w:val="004B4EA3"/>
    <w:rsid w:val="004B5AEE"/>
    <w:rsid w:val="004B6974"/>
    <w:rsid w:val="004B697E"/>
    <w:rsid w:val="004B6F2F"/>
    <w:rsid w:val="004B707E"/>
    <w:rsid w:val="004B71DB"/>
    <w:rsid w:val="004B76CA"/>
    <w:rsid w:val="004B7E5C"/>
    <w:rsid w:val="004B7FE3"/>
    <w:rsid w:val="004C0D98"/>
    <w:rsid w:val="004C12F8"/>
    <w:rsid w:val="004C1EF2"/>
    <w:rsid w:val="004C200F"/>
    <w:rsid w:val="004C202E"/>
    <w:rsid w:val="004C29EE"/>
    <w:rsid w:val="004C347B"/>
    <w:rsid w:val="004C3A0B"/>
    <w:rsid w:val="004C3BC4"/>
    <w:rsid w:val="004C4A78"/>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49"/>
    <w:rsid w:val="004D5C9A"/>
    <w:rsid w:val="004D6178"/>
    <w:rsid w:val="004D6464"/>
    <w:rsid w:val="004D6551"/>
    <w:rsid w:val="004D71A7"/>
    <w:rsid w:val="004D7619"/>
    <w:rsid w:val="004D794F"/>
    <w:rsid w:val="004D7951"/>
    <w:rsid w:val="004D7958"/>
    <w:rsid w:val="004D7AC7"/>
    <w:rsid w:val="004E006C"/>
    <w:rsid w:val="004E07C4"/>
    <w:rsid w:val="004E0B4E"/>
    <w:rsid w:val="004E0B6B"/>
    <w:rsid w:val="004E0D52"/>
    <w:rsid w:val="004E1C12"/>
    <w:rsid w:val="004E223B"/>
    <w:rsid w:val="004E3934"/>
    <w:rsid w:val="004E3FEF"/>
    <w:rsid w:val="004E45A2"/>
    <w:rsid w:val="004E5042"/>
    <w:rsid w:val="004E51A5"/>
    <w:rsid w:val="004E5466"/>
    <w:rsid w:val="004E6176"/>
    <w:rsid w:val="004E65B4"/>
    <w:rsid w:val="004E7427"/>
    <w:rsid w:val="004E7F59"/>
    <w:rsid w:val="004F0749"/>
    <w:rsid w:val="004F1FAB"/>
    <w:rsid w:val="004F230C"/>
    <w:rsid w:val="004F285D"/>
    <w:rsid w:val="004F28E8"/>
    <w:rsid w:val="004F331D"/>
    <w:rsid w:val="004F3C98"/>
    <w:rsid w:val="004F3EF7"/>
    <w:rsid w:val="004F437A"/>
    <w:rsid w:val="004F4947"/>
    <w:rsid w:val="004F495F"/>
    <w:rsid w:val="004F4A72"/>
    <w:rsid w:val="004F605B"/>
    <w:rsid w:val="004F6165"/>
    <w:rsid w:val="004F68EF"/>
    <w:rsid w:val="004F6C47"/>
    <w:rsid w:val="004F7481"/>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2C4"/>
    <w:rsid w:val="00510402"/>
    <w:rsid w:val="00511034"/>
    <w:rsid w:val="005114C5"/>
    <w:rsid w:val="00511786"/>
    <w:rsid w:val="00512655"/>
    <w:rsid w:val="00512867"/>
    <w:rsid w:val="00512B4A"/>
    <w:rsid w:val="00513B4C"/>
    <w:rsid w:val="00513C30"/>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27E9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477"/>
    <w:rsid w:val="00542A21"/>
    <w:rsid w:val="005437E4"/>
    <w:rsid w:val="00543A7A"/>
    <w:rsid w:val="00543BB0"/>
    <w:rsid w:val="00543CEF"/>
    <w:rsid w:val="00543D31"/>
    <w:rsid w:val="00545239"/>
    <w:rsid w:val="00547059"/>
    <w:rsid w:val="00547731"/>
    <w:rsid w:val="005479EF"/>
    <w:rsid w:val="00547B01"/>
    <w:rsid w:val="005500EB"/>
    <w:rsid w:val="0055057D"/>
    <w:rsid w:val="0055084C"/>
    <w:rsid w:val="005512D6"/>
    <w:rsid w:val="0055153D"/>
    <w:rsid w:val="00551EC6"/>
    <w:rsid w:val="00552164"/>
    <w:rsid w:val="005524A8"/>
    <w:rsid w:val="005527A3"/>
    <w:rsid w:val="005529F5"/>
    <w:rsid w:val="0055305D"/>
    <w:rsid w:val="00553666"/>
    <w:rsid w:val="00553739"/>
    <w:rsid w:val="00553DB7"/>
    <w:rsid w:val="00553DFD"/>
    <w:rsid w:val="005543AE"/>
    <w:rsid w:val="005546EA"/>
    <w:rsid w:val="0055486E"/>
    <w:rsid w:val="00554A18"/>
    <w:rsid w:val="00554E5A"/>
    <w:rsid w:val="00555815"/>
    <w:rsid w:val="00555EBC"/>
    <w:rsid w:val="00555F7C"/>
    <w:rsid w:val="00556F60"/>
    <w:rsid w:val="00557750"/>
    <w:rsid w:val="0056017B"/>
    <w:rsid w:val="005605DB"/>
    <w:rsid w:val="0056094F"/>
    <w:rsid w:val="00561704"/>
    <w:rsid w:val="00561E90"/>
    <w:rsid w:val="005620C1"/>
    <w:rsid w:val="00562864"/>
    <w:rsid w:val="0056453F"/>
    <w:rsid w:val="00565AF4"/>
    <w:rsid w:val="00565D97"/>
    <w:rsid w:val="0056611B"/>
    <w:rsid w:val="0056698A"/>
    <w:rsid w:val="00567575"/>
    <w:rsid w:val="00567D33"/>
    <w:rsid w:val="00570C2B"/>
    <w:rsid w:val="005716D6"/>
    <w:rsid w:val="0057183C"/>
    <w:rsid w:val="00573284"/>
    <w:rsid w:val="005746F0"/>
    <w:rsid w:val="00575DE9"/>
    <w:rsid w:val="00576BF9"/>
    <w:rsid w:val="00576CD5"/>
    <w:rsid w:val="005772C1"/>
    <w:rsid w:val="005773DA"/>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4FED"/>
    <w:rsid w:val="0059550E"/>
    <w:rsid w:val="00595846"/>
    <w:rsid w:val="00595C58"/>
    <w:rsid w:val="00596108"/>
    <w:rsid w:val="00596126"/>
    <w:rsid w:val="005961E2"/>
    <w:rsid w:val="0059629C"/>
    <w:rsid w:val="00596481"/>
    <w:rsid w:val="00596D75"/>
    <w:rsid w:val="0059733B"/>
    <w:rsid w:val="00597564"/>
    <w:rsid w:val="00597593"/>
    <w:rsid w:val="00597BF8"/>
    <w:rsid w:val="005A004D"/>
    <w:rsid w:val="005A06C7"/>
    <w:rsid w:val="005A07CA"/>
    <w:rsid w:val="005A145E"/>
    <w:rsid w:val="005A1AF8"/>
    <w:rsid w:val="005A1CEF"/>
    <w:rsid w:val="005A244C"/>
    <w:rsid w:val="005A306F"/>
    <w:rsid w:val="005A30CD"/>
    <w:rsid w:val="005A4B10"/>
    <w:rsid w:val="005A5298"/>
    <w:rsid w:val="005A5447"/>
    <w:rsid w:val="005A5538"/>
    <w:rsid w:val="005A66D2"/>
    <w:rsid w:val="005A7B23"/>
    <w:rsid w:val="005B00F3"/>
    <w:rsid w:val="005B01DB"/>
    <w:rsid w:val="005B0309"/>
    <w:rsid w:val="005B0661"/>
    <w:rsid w:val="005B0784"/>
    <w:rsid w:val="005B15A7"/>
    <w:rsid w:val="005B1BE5"/>
    <w:rsid w:val="005B2B21"/>
    <w:rsid w:val="005B419F"/>
    <w:rsid w:val="005B43F8"/>
    <w:rsid w:val="005B52B7"/>
    <w:rsid w:val="005B6FF8"/>
    <w:rsid w:val="005B72D2"/>
    <w:rsid w:val="005B7553"/>
    <w:rsid w:val="005C0827"/>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474"/>
    <w:rsid w:val="005C6616"/>
    <w:rsid w:val="005C6ABE"/>
    <w:rsid w:val="005C6BEC"/>
    <w:rsid w:val="005C6C28"/>
    <w:rsid w:val="005C7D72"/>
    <w:rsid w:val="005D00BB"/>
    <w:rsid w:val="005D09BD"/>
    <w:rsid w:val="005D0F3D"/>
    <w:rsid w:val="005D1E5B"/>
    <w:rsid w:val="005D260C"/>
    <w:rsid w:val="005D2A12"/>
    <w:rsid w:val="005D2ED1"/>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46AB"/>
    <w:rsid w:val="005E5222"/>
    <w:rsid w:val="005E53D7"/>
    <w:rsid w:val="005E5837"/>
    <w:rsid w:val="005E5D5F"/>
    <w:rsid w:val="005E5FBE"/>
    <w:rsid w:val="005E62C6"/>
    <w:rsid w:val="005E6447"/>
    <w:rsid w:val="005E64DB"/>
    <w:rsid w:val="005E663B"/>
    <w:rsid w:val="005E68F1"/>
    <w:rsid w:val="005E6D4E"/>
    <w:rsid w:val="005F0217"/>
    <w:rsid w:val="005F11B8"/>
    <w:rsid w:val="005F24E6"/>
    <w:rsid w:val="005F3020"/>
    <w:rsid w:val="005F361F"/>
    <w:rsid w:val="005F3B5E"/>
    <w:rsid w:val="005F3C62"/>
    <w:rsid w:val="005F41AF"/>
    <w:rsid w:val="005F45C1"/>
    <w:rsid w:val="005F4704"/>
    <w:rsid w:val="005F4BFF"/>
    <w:rsid w:val="005F4E29"/>
    <w:rsid w:val="005F570E"/>
    <w:rsid w:val="005F5F79"/>
    <w:rsid w:val="005F6091"/>
    <w:rsid w:val="005F6652"/>
    <w:rsid w:val="005F6DB2"/>
    <w:rsid w:val="005F736D"/>
    <w:rsid w:val="005F7474"/>
    <w:rsid w:val="005F7AB2"/>
    <w:rsid w:val="005F7BBF"/>
    <w:rsid w:val="006000FE"/>
    <w:rsid w:val="0060017E"/>
    <w:rsid w:val="006003CC"/>
    <w:rsid w:val="006004DC"/>
    <w:rsid w:val="00600972"/>
    <w:rsid w:val="00602511"/>
    <w:rsid w:val="00602601"/>
    <w:rsid w:val="006031C0"/>
    <w:rsid w:val="006031D7"/>
    <w:rsid w:val="00603FCE"/>
    <w:rsid w:val="0060438C"/>
    <w:rsid w:val="006048FB"/>
    <w:rsid w:val="00604DE1"/>
    <w:rsid w:val="00605AE1"/>
    <w:rsid w:val="00606AD7"/>
    <w:rsid w:val="00606B17"/>
    <w:rsid w:val="006073A6"/>
    <w:rsid w:val="00607731"/>
    <w:rsid w:val="00607A25"/>
    <w:rsid w:val="00607EED"/>
    <w:rsid w:val="00610198"/>
    <w:rsid w:val="0061020A"/>
    <w:rsid w:val="00610851"/>
    <w:rsid w:val="0061091F"/>
    <w:rsid w:val="00611C24"/>
    <w:rsid w:val="00612378"/>
    <w:rsid w:val="006123AA"/>
    <w:rsid w:val="00613441"/>
    <w:rsid w:val="006134C3"/>
    <w:rsid w:val="006134E3"/>
    <w:rsid w:val="00613714"/>
    <w:rsid w:val="006137F6"/>
    <w:rsid w:val="006140BF"/>
    <w:rsid w:val="00614718"/>
    <w:rsid w:val="00614894"/>
    <w:rsid w:val="00614C4D"/>
    <w:rsid w:val="00615748"/>
    <w:rsid w:val="00615832"/>
    <w:rsid w:val="00615AE6"/>
    <w:rsid w:val="00616572"/>
    <w:rsid w:val="00616D43"/>
    <w:rsid w:val="00616FEA"/>
    <w:rsid w:val="006170DE"/>
    <w:rsid w:val="00617598"/>
    <w:rsid w:val="00617722"/>
    <w:rsid w:val="0061780E"/>
    <w:rsid w:val="00620137"/>
    <w:rsid w:val="00620A49"/>
    <w:rsid w:val="006212D7"/>
    <w:rsid w:val="00621BA1"/>
    <w:rsid w:val="006221B2"/>
    <w:rsid w:val="00622225"/>
    <w:rsid w:val="006224DE"/>
    <w:rsid w:val="006226E4"/>
    <w:rsid w:val="0062513F"/>
    <w:rsid w:val="006253FE"/>
    <w:rsid w:val="00625A2D"/>
    <w:rsid w:val="0062623E"/>
    <w:rsid w:val="00626313"/>
    <w:rsid w:val="006277EF"/>
    <w:rsid w:val="00627CE3"/>
    <w:rsid w:val="00627DA8"/>
    <w:rsid w:val="006300B6"/>
    <w:rsid w:val="00630942"/>
    <w:rsid w:val="0063101D"/>
    <w:rsid w:val="0063124C"/>
    <w:rsid w:val="00631A95"/>
    <w:rsid w:val="00631D2C"/>
    <w:rsid w:val="00632992"/>
    <w:rsid w:val="00632F59"/>
    <w:rsid w:val="0063393B"/>
    <w:rsid w:val="00633BC0"/>
    <w:rsid w:val="00634555"/>
    <w:rsid w:val="006348C9"/>
    <w:rsid w:val="006357FC"/>
    <w:rsid w:val="00635C58"/>
    <w:rsid w:val="00637797"/>
    <w:rsid w:val="0063791D"/>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3E0A"/>
    <w:rsid w:val="00653ECC"/>
    <w:rsid w:val="0065427B"/>
    <w:rsid w:val="00654F9B"/>
    <w:rsid w:val="0065519E"/>
    <w:rsid w:val="00655CFC"/>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62D"/>
    <w:rsid w:val="006828D2"/>
    <w:rsid w:val="00682932"/>
    <w:rsid w:val="00683339"/>
    <w:rsid w:val="00683B1A"/>
    <w:rsid w:val="006845DC"/>
    <w:rsid w:val="00684CFC"/>
    <w:rsid w:val="00685843"/>
    <w:rsid w:val="00685929"/>
    <w:rsid w:val="00685B8E"/>
    <w:rsid w:val="00686005"/>
    <w:rsid w:val="006863FE"/>
    <w:rsid w:val="006868D4"/>
    <w:rsid w:val="00686D6D"/>
    <w:rsid w:val="006870C5"/>
    <w:rsid w:val="00687159"/>
    <w:rsid w:val="00687522"/>
    <w:rsid w:val="006906BF"/>
    <w:rsid w:val="0069145B"/>
    <w:rsid w:val="006918DF"/>
    <w:rsid w:val="0069195B"/>
    <w:rsid w:val="00691D32"/>
    <w:rsid w:val="0069337F"/>
    <w:rsid w:val="006934D1"/>
    <w:rsid w:val="00693DD0"/>
    <w:rsid w:val="00694A2B"/>
    <w:rsid w:val="006950B1"/>
    <w:rsid w:val="006951CF"/>
    <w:rsid w:val="0069548C"/>
    <w:rsid w:val="0069587E"/>
    <w:rsid w:val="00695C91"/>
    <w:rsid w:val="00695D52"/>
    <w:rsid w:val="00695E67"/>
    <w:rsid w:val="00697152"/>
    <w:rsid w:val="0069734E"/>
    <w:rsid w:val="006976AD"/>
    <w:rsid w:val="00697EA8"/>
    <w:rsid w:val="00697F63"/>
    <w:rsid w:val="006A0855"/>
    <w:rsid w:val="006A0B90"/>
    <w:rsid w:val="006A2D4C"/>
    <w:rsid w:val="006A3717"/>
    <w:rsid w:val="006A3BE4"/>
    <w:rsid w:val="006A4C31"/>
    <w:rsid w:val="006A57DA"/>
    <w:rsid w:val="006A5C2E"/>
    <w:rsid w:val="006A67CF"/>
    <w:rsid w:val="006A692B"/>
    <w:rsid w:val="006A69CD"/>
    <w:rsid w:val="006A6D9D"/>
    <w:rsid w:val="006A772B"/>
    <w:rsid w:val="006A7CB3"/>
    <w:rsid w:val="006B0454"/>
    <w:rsid w:val="006B0D05"/>
    <w:rsid w:val="006B0E97"/>
    <w:rsid w:val="006B101E"/>
    <w:rsid w:val="006B113E"/>
    <w:rsid w:val="006B1315"/>
    <w:rsid w:val="006B136B"/>
    <w:rsid w:val="006B1919"/>
    <w:rsid w:val="006B1E75"/>
    <w:rsid w:val="006B2573"/>
    <w:rsid w:val="006B2854"/>
    <w:rsid w:val="006B3077"/>
    <w:rsid w:val="006B30E4"/>
    <w:rsid w:val="006B3451"/>
    <w:rsid w:val="006B35CB"/>
    <w:rsid w:val="006B39BB"/>
    <w:rsid w:val="006B4B25"/>
    <w:rsid w:val="006B6330"/>
    <w:rsid w:val="006B6A80"/>
    <w:rsid w:val="006B7239"/>
    <w:rsid w:val="006B768A"/>
    <w:rsid w:val="006B7DE9"/>
    <w:rsid w:val="006B7E7B"/>
    <w:rsid w:val="006B7FBA"/>
    <w:rsid w:val="006C0D81"/>
    <w:rsid w:val="006C1561"/>
    <w:rsid w:val="006C17FB"/>
    <w:rsid w:val="006C1AA4"/>
    <w:rsid w:val="006C1DFE"/>
    <w:rsid w:val="006C1EC5"/>
    <w:rsid w:val="006C22E6"/>
    <w:rsid w:val="006C292F"/>
    <w:rsid w:val="006C3734"/>
    <w:rsid w:val="006C3CB8"/>
    <w:rsid w:val="006C4029"/>
    <w:rsid w:val="006C45AD"/>
    <w:rsid w:val="006C4CF9"/>
    <w:rsid w:val="006C4D46"/>
    <w:rsid w:val="006C537B"/>
    <w:rsid w:val="006C5954"/>
    <w:rsid w:val="006C5F7B"/>
    <w:rsid w:val="006C6025"/>
    <w:rsid w:val="006C7546"/>
    <w:rsid w:val="006C759F"/>
    <w:rsid w:val="006C762E"/>
    <w:rsid w:val="006C76CE"/>
    <w:rsid w:val="006C7F5B"/>
    <w:rsid w:val="006D05BF"/>
    <w:rsid w:val="006D0C2F"/>
    <w:rsid w:val="006D142D"/>
    <w:rsid w:val="006D18B5"/>
    <w:rsid w:val="006D254D"/>
    <w:rsid w:val="006D2864"/>
    <w:rsid w:val="006D3179"/>
    <w:rsid w:val="006D370F"/>
    <w:rsid w:val="006D406B"/>
    <w:rsid w:val="006D45F7"/>
    <w:rsid w:val="006D6369"/>
    <w:rsid w:val="006D713A"/>
    <w:rsid w:val="006D7744"/>
    <w:rsid w:val="006D7897"/>
    <w:rsid w:val="006D78BD"/>
    <w:rsid w:val="006D7C31"/>
    <w:rsid w:val="006E02C4"/>
    <w:rsid w:val="006E0341"/>
    <w:rsid w:val="006E0646"/>
    <w:rsid w:val="006E0876"/>
    <w:rsid w:val="006E08DB"/>
    <w:rsid w:val="006E0950"/>
    <w:rsid w:val="006E0BA3"/>
    <w:rsid w:val="006E15EF"/>
    <w:rsid w:val="006E1746"/>
    <w:rsid w:val="006E1A2A"/>
    <w:rsid w:val="006E1FAA"/>
    <w:rsid w:val="006E2B54"/>
    <w:rsid w:val="006E2D31"/>
    <w:rsid w:val="006E3453"/>
    <w:rsid w:val="006E4312"/>
    <w:rsid w:val="006E5219"/>
    <w:rsid w:val="006E5D3C"/>
    <w:rsid w:val="006E64D5"/>
    <w:rsid w:val="006E6C55"/>
    <w:rsid w:val="006E72C9"/>
    <w:rsid w:val="006E7617"/>
    <w:rsid w:val="006E779C"/>
    <w:rsid w:val="006E7DDA"/>
    <w:rsid w:val="006E7F9E"/>
    <w:rsid w:val="006F065F"/>
    <w:rsid w:val="006F0829"/>
    <w:rsid w:val="006F0F1C"/>
    <w:rsid w:val="006F1B3D"/>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1E93"/>
    <w:rsid w:val="00702187"/>
    <w:rsid w:val="007024D0"/>
    <w:rsid w:val="00702CCD"/>
    <w:rsid w:val="00702EFC"/>
    <w:rsid w:val="007032D6"/>
    <w:rsid w:val="0070332C"/>
    <w:rsid w:val="00703951"/>
    <w:rsid w:val="00704690"/>
    <w:rsid w:val="00705297"/>
    <w:rsid w:val="007052D0"/>
    <w:rsid w:val="00705304"/>
    <w:rsid w:val="007063B7"/>
    <w:rsid w:val="0070777D"/>
    <w:rsid w:val="00707CBD"/>
    <w:rsid w:val="00707CFC"/>
    <w:rsid w:val="00710205"/>
    <w:rsid w:val="00710468"/>
    <w:rsid w:val="00710958"/>
    <w:rsid w:val="00710DDC"/>
    <w:rsid w:val="00710DF7"/>
    <w:rsid w:val="007117F4"/>
    <w:rsid w:val="0071213A"/>
    <w:rsid w:val="0071221F"/>
    <w:rsid w:val="0071246C"/>
    <w:rsid w:val="00713D13"/>
    <w:rsid w:val="007144E3"/>
    <w:rsid w:val="00714FAC"/>
    <w:rsid w:val="00715200"/>
    <w:rsid w:val="00715D4D"/>
    <w:rsid w:val="007175BD"/>
    <w:rsid w:val="007176AE"/>
    <w:rsid w:val="00717955"/>
    <w:rsid w:val="007200F6"/>
    <w:rsid w:val="0072048D"/>
    <w:rsid w:val="00720C14"/>
    <w:rsid w:val="00720E1E"/>
    <w:rsid w:val="00720E42"/>
    <w:rsid w:val="00721713"/>
    <w:rsid w:val="00721C13"/>
    <w:rsid w:val="00721CC3"/>
    <w:rsid w:val="007224F2"/>
    <w:rsid w:val="00722738"/>
    <w:rsid w:val="00722A16"/>
    <w:rsid w:val="00722BD3"/>
    <w:rsid w:val="00722FA4"/>
    <w:rsid w:val="0072328F"/>
    <w:rsid w:val="007234A5"/>
    <w:rsid w:val="00723847"/>
    <w:rsid w:val="00723A0F"/>
    <w:rsid w:val="007255A8"/>
    <w:rsid w:val="00725F29"/>
    <w:rsid w:val="007261AC"/>
    <w:rsid w:val="00727E4C"/>
    <w:rsid w:val="00727EBC"/>
    <w:rsid w:val="00730563"/>
    <w:rsid w:val="0073065D"/>
    <w:rsid w:val="00732408"/>
    <w:rsid w:val="00732B88"/>
    <w:rsid w:val="007334AC"/>
    <w:rsid w:val="00733755"/>
    <w:rsid w:val="00733C9C"/>
    <w:rsid w:val="00734180"/>
    <w:rsid w:val="00734A1D"/>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8DA"/>
    <w:rsid w:val="00744DF3"/>
    <w:rsid w:val="0074509A"/>
    <w:rsid w:val="007451E0"/>
    <w:rsid w:val="0074520C"/>
    <w:rsid w:val="007454BA"/>
    <w:rsid w:val="007454E8"/>
    <w:rsid w:val="00745ACC"/>
    <w:rsid w:val="00746A20"/>
    <w:rsid w:val="00746AAF"/>
    <w:rsid w:val="00746D91"/>
    <w:rsid w:val="00747F73"/>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57EE0"/>
    <w:rsid w:val="00760071"/>
    <w:rsid w:val="0076028E"/>
    <w:rsid w:val="00760DA2"/>
    <w:rsid w:val="0076114E"/>
    <w:rsid w:val="0076124A"/>
    <w:rsid w:val="007618C1"/>
    <w:rsid w:val="00761DCE"/>
    <w:rsid w:val="00762295"/>
    <w:rsid w:val="0076253C"/>
    <w:rsid w:val="007631EE"/>
    <w:rsid w:val="007632AB"/>
    <w:rsid w:val="00763839"/>
    <w:rsid w:val="00763A9C"/>
    <w:rsid w:val="007641A2"/>
    <w:rsid w:val="007647C5"/>
    <w:rsid w:val="007649E8"/>
    <w:rsid w:val="00764B3B"/>
    <w:rsid w:val="00764E9F"/>
    <w:rsid w:val="00765577"/>
    <w:rsid w:val="007658BB"/>
    <w:rsid w:val="00765D32"/>
    <w:rsid w:val="007664AC"/>
    <w:rsid w:val="00766939"/>
    <w:rsid w:val="00767306"/>
    <w:rsid w:val="00767C7A"/>
    <w:rsid w:val="00767CAB"/>
    <w:rsid w:val="00767F2D"/>
    <w:rsid w:val="00771C9A"/>
    <w:rsid w:val="00774714"/>
    <w:rsid w:val="00774806"/>
    <w:rsid w:val="00775639"/>
    <w:rsid w:val="007767C2"/>
    <w:rsid w:val="00776A97"/>
    <w:rsid w:val="00780256"/>
    <w:rsid w:val="007802BA"/>
    <w:rsid w:val="007804A5"/>
    <w:rsid w:val="007809E2"/>
    <w:rsid w:val="00780A60"/>
    <w:rsid w:val="00780D5C"/>
    <w:rsid w:val="007811DF"/>
    <w:rsid w:val="00781BF2"/>
    <w:rsid w:val="00781FDD"/>
    <w:rsid w:val="00782115"/>
    <w:rsid w:val="00782123"/>
    <w:rsid w:val="00783AAF"/>
    <w:rsid w:val="00783DAC"/>
    <w:rsid w:val="00784194"/>
    <w:rsid w:val="00784BB8"/>
    <w:rsid w:val="00785B41"/>
    <w:rsid w:val="00785DCA"/>
    <w:rsid w:val="00785ED3"/>
    <w:rsid w:val="00786455"/>
    <w:rsid w:val="007877C6"/>
    <w:rsid w:val="00787BA2"/>
    <w:rsid w:val="00787C11"/>
    <w:rsid w:val="00790255"/>
    <w:rsid w:val="007902CC"/>
    <w:rsid w:val="00791702"/>
    <w:rsid w:val="00791A49"/>
    <w:rsid w:val="00792220"/>
    <w:rsid w:val="0079247E"/>
    <w:rsid w:val="007924B5"/>
    <w:rsid w:val="0079255A"/>
    <w:rsid w:val="007925EB"/>
    <w:rsid w:val="007929AD"/>
    <w:rsid w:val="007930F0"/>
    <w:rsid w:val="00793667"/>
    <w:rsid w:val="007938CE"/>
    <w:rsid w:val="00793914"/>
    <w:rsid w:val="00794AAF"/>
    <w:rsid w:val="007954A8"/>
    <w:rsid w:val="00797C29"/>
    <w:rsid w:val="007A00FA"/>
    <w:rsid w:val="007A02D1"/>
    <w:rsid w:val="007A0613"/>
    <w:rsid w:val="007A128D"/>
    <w:rsid w:val="007A196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2FC"/>
    <w:rsid w:val="007B3AED"/>
    <w:rsid w:val="007B3D6C"/>
    <w:rsid w:val="007B5280"/>
    <w:rsid w:val="007B56DA"/>
    <w:rsid w:val="007B5828"/>
    <w:rsid w:val="007B5AAE"/>
    <w:rsid w:val="007B6522"/>
    <w:rsid w:val="007B6595"/>
    <w:rsid w:val="007B70A0"/>
    <w:rsid w:val="007B73B7"/>
    <w:rsid w:val="007B74D9"/>
    <w:rsid w:val="007C02F4"/>
    <w:rsid w:val="007C0E1C"/>
    <w:rsid w:val="007C0E26"/>
    <w:rsid w:val="007C10D0"/>
    <w:rsid w:val="007C15DD"/>
    <w:rsid w:val="007C1AFD"/>
    <w:rsid w:val="007C2023"/>
    <w:rsid w:val="007C2348"/>
    <w:rsid w:val="007C288A"/>
    <w:rsid w:val="007C2A09"/>
    <w:rsid w:val="007C2C8C"/>
    <w:rsid w:val="007C30FA"/>
    <w:rsid w:val="007C33D7"/>
    <w:rsid w:val="007C3639"/>
    <w:rsid w:val="007C3F1D"/>
    <w:rsid w:val="007C4814"/>
    <w:rsid w:val="007C4A70"/>
    <w:rsid w:val="007C4FFE"/>
    <w:rsid w:val="007C5298"/>
    <w:rsid w:val="007C5299"/>
    <w:rsid w:val="007C5E4A"/>
    <w:rsid w:val="007C61E1"/>
    <w:rsid w:val="007C6228"/>
    <w:rsid w:val="007C6B7C"/>
    <w:rsid w:val="007C7DBB"/>
    <w:rsid w:val="007C7F30"/>
    <w:rsid w:val="007D13A5"/>
    <w:rsid w:val="007D15D1"/>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674"/>
    <w:rsid w:val="007E0BBC"/>
    <w:rsid w:val="007E0C85"/>
    <w:rsid w:val="007E2B46"/>
    <w:rsid w:val="007E2DB0"/>
    <w:rsid w:val="007E3DE0"/>
    <w:rsid w:val="007E4448"/>
    <w:rsid w:val="007E467D"/>
    <w:rsid w:val="007E4B0F"/>
    <w:rsid w:val="007E4B5F"/>
    <w:rsid w:val="007E4E59"/>
    <w:rsid w:val="007E536E"/>
    <w:rsid w:val="007E59CE"/>
    <w:rsid w:val="007E5C50"/>
    <w:rsid w:val="007E6117"/>
    <w:rsid w:val="007E6B37"/>
    <w:rsid w:val="007E6F52"/>
    <w:rsid w:val="007E7219"/>
    <w:rsid w:val="007E788E"/>
    <w:rsid w:val="007E7E37"/>
    <w:rsid w:val="007E7F75"/>
    <w:rsid w:val="007F0A09"/>
    <w:rsid w:val="007F1161"/>
    <w:rsid w:val="007F1316"/>
    <w:rsid w:val="007F1748"/>
    <w:rsid w:val="007F1CCB"/>
    <w:rsid w:val="007F1FFF"/>
    <w:rsid w:val="007F20FF"/>
    <w:rsid w:val="007F2264"/>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2529"/>
    <w:rsid w:val="00802D4C"/>
    <w:rsid w:val="0080301C"/>
    <w:rsid w:val="00803337"/>
    <w:rsid w:val="00803BED"/>
    <w:rsid w:val="008044A1"/>
    <w:rsid w:val="00805037"/>
    <w:rsid w:val="0080535C"/>
    <w:rsid w:val="008057F3"/>
    <w:rsid w:val="00806200"/>
    <w:rsid w:val="008069D9"/>
    <w:rsid w:val="00807DE2"/>
    <w:rsid w:val="0081010A"/>
    <w:rsid w:val="00810955"/>
    <w:rsid w:val="00810DFC"/>
    <w:rsid w:val="008111C7"/>
    <w:rsid w:val="008113DB"/>
    <w:rsid w:val="00811730"/>
    <w:rsid w:val="00811945"/>
    <w:rsid w:val="00811CDE"/>
    <w:rsid w:val="00812376"/>
    <w:rsid w:val="00812601"/>
    <w:rsid w:val="0081369B"/>
    <w:rsid w:val="0081394F"/>
    <w:rsid w:val="00813C47"/>
    <w:rsid w:val="00813DF2"/>
    <w:rsid w:val="0081489D"/>
    <w:rsid w:val="00814C8F"/>
    <w:rsid w:val="00814D5B"/>
    <w:rsid w:val="008155F3"/>
    <w:rsid w:val="008157A4"/>
    <w:rsid w:val="00816174"/>
    <w:rsid w:val="0081629F"/>
    <w:rsid w:val="008163AA"/>
    <w:rsid w:val="0081664B"/>
    <w:rsid w:val="008166DF"/>
    <w:rsid w:val="00817248"/>
    <w:rsid w:val="00817631"/>
    <w:rsid w:val="00817CFB"/>
    <w:rsid w:val="00820966"/>
    <w:rsid w:val="00820B86"/>
    <w:rsid w:val="0082121C"/>
    <w:rsid w:val="0082228A"/>
    <w:rsid w:val="00822AB9"/>
    <w:rsid w:val="00822B7B"/>
    <w:rsid w:val="00822C35"/>
    <w:rsid w:val="0082376A"/>
    <w:rsid w:val="00823A79"/>
    <w:rsid w:val="00824922"/>
    <w:rsid w:val="00824BC3"/>
    <w:rsid w:val="00824F03"/>
    <w:rsid w:val="00825265"/>
    <w:rsid w:val="00825930"/>
    <w:rsid w:val="00827093"/>
    <w:rsid w:val="008303E6"/>
    <w:rsid w:val="008308AE"/>
    <w:rsid w:val="00831F0D"/>
    <w:rsid w:val="008322F7"/>
    <w:rsid w:val="008328B8"/>
    <w:rsid w:val="00832B13"/>
    <w:rsid w:val="00832BBC"/>
    <w:rsid w:val="0083388A"/>
    <w:rsid w:val="00833C21"/>
    <w:rsid w:val="008347C5"/>
    <w:rsid w:val="00835684"/>
    <w:rsid w:val="00835FB0"/>
    <w:rsid w:val="008362B1"/>
    <w:rsid w:val="0083634B"/>
    <w:rsid w:val="008368D2"/>
    <w:rsid w:val="00836C3E"/>
    <w:rsid w:val="008376BA"/>
    <w:rsid w:val="00837F53"/>
    <w:rsid w:val="00840091"/>
    <w:rsid w:val="00841275"/>
    <w:rsid w:val="008413BE"/>
    <w:rsid w:val="0084177B"/>
    <w:rsid w:val="00841F07"/>
    <w:rsid w:val="008427C8"/>
    <w:rsid w:val="00842EF7"/>
    <w:rsid w:val="008432ED"/>
    <w:rsid w:val="0084375F"/>
    <w:rsid w:val="0084379B"/>
    <w:rsid w:val="008439EE"/>
    <w:rsid w:val="00843E45"/>
    <w:rsid w:val="00844C65"/>
    <w:rsid w:val="00845058"/>
    <w:rsid w:val="008460B0"/>
    <w:rsid w:val="008466B3"/>
    <w:rsid w:val="0084762B"/>
    <w:rsid w:val="0085014F"/>
    <w:rsid w:val="00851025"/>
    <w:rsid w:val="00851083"/>
    <w:rsid w:val="0085177B"/>
    <w:rsid w:val="00851E22"/>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0831"/>
    <w:rsid w:val="008710B4"/>
    <w:rsid w:val="0087118B"/>
    <w:rsid w:val="0087165B"/>
    <w:rsid w:val="00871D37"/>
    <w:rsid w:val="008726B9"/>
    <w:rsid w:val="0087296D"/>
    <w:rsid w:val="00872FAA"/>
    <w:rsid w:val="0087380E"/>
    <w:rsid w:val="00873B45"/>
    <w:rsid w:val="0087462A"/>
    <w:rsid w:val="0087471E"/>
    <w:rsid w:val="00874C6B"/>
    <w:rsid w:val="008764D8"/>
    <w:rsid w:val="0087664C"/>
    <w:rsid w:val="00876926"/>
    <w:rsid w:val="00877163"/>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3ADA"/>
    <w:rsid w:val="0088421A"/>
    <w:rsid w:val="00884A24"/>
    <w:rsid w:val="00884BE3"/>
    <w:rsid w:val="00885042"/>
    <w:rsid w:val="00885B1B"/>
    <w:rsid w:val="00885EB8"/>
    <w:rsid w:val="00886485"/>
    <w:rsid w:val="00886B17"/>
    <w:rsid w:val="00887380"/>
    <w:rsid w:val="008873F4"/>
    <w:rsid w:val="00887C04"/>
    <w:rsid w:val="00891785"/>
    <w:rsid w:val="0089212F"/>
    <w:rsid w:val="008927CC"/>
    <w:rsid w:val="00892F00"/>
    <w:rsid w:val="00894D70"/>
    <w:rsid w:val="0089510F"/>
    <w:rsid w:val="00895412"/>
    <w:rsid w:val="008959F2"/>
    <w:rsid w:val="00895DC4"/>
    <w:rsid w:val="00895E07"/>
    <w:rsid w:val="0089640C"/>
    <w:rsid w:val="008964EB"/>
    <w:rsid w:val="00896805"/>
    <w:rsid w:val="00896C24"/>
    <w:rsid w:val="008974A5"/>
    <w:rsid w:val="0089798A"/>
    <w:rsid w:val="008A0F79"/>
    <w:rsid w:val="008A10CB"/>
    <w:rsid w:val="008A158E"/>
    <w:rsid w:val="008A170F"/>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4EB4"/>
    <w:rsid w:val="008B5997"/>
    <w:rsid w:val="008B5999"/>
    <w:rsid w:val="008B5F4E"/>
    <w:rsid w:val="008B6464"/>
    <w:rsid w:val="008B6B9D"/>
    <w:rsid w:val="008B7ECA"/>
    <w:rsid w:val="008C039C"/>
    <w:rsid w:val="008C073E"/>
    <w:rsid w:val="008C1838"/>
    <w:rsid w:val="008C1CCF"/>
    <w:rsid w:val="008C2310"/>
    <w:rsid w:val="008C2666"/>
    <w:rsid w:val="008C2D34"/>
    <w:rsid w:val="008C310B"/>
    <w:rsid w:val="008C42F0"/>
    <w:rsid w:val="008C434D"/>
    <w:rsid w:val="008C5CB4"/>
    <w:rsid w:val="008C649F"/>
    <w:rsid w:val="008C6B42"/>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E00E2"/>
    <w:rsid w:val="008E0D9F"/>
    <w:rsid w:val="008E0DC7"/>
    <w:rsid w:val="008E101F"/>
    <w:rsid w:val="008E109C"/>
    <w:rsid w:val="008E1259"/>
    <w:rsid w:val="008E1341"/>
    <w:rsid w:val="008E154C"/>
    <w:rsid w:val="008E1E20"/>
    <w:rsid w:val="008E2195"/>
    <w:rsid w:val="008E2281"/>
    <w:rsid w:val="008E33B4"/>
    <w:rsid w:val="008E39CA"/>
    <w:rsid w:val="008E3A31"/>
    <w:rsid w:val="008E50AC"/>
    <w:rsid w:val="008E5438"/>
    <w:rsid w:val="008E691A"/>
    <w:rsid w:val="008E711A"/>
    <w:rsid w:val="008E7F65"/>
    <w:rsid w:val="008F0807"/>
    <w:rsid w:val="008F1812"/>
    <w:rsid w:val="008F1ED1"/>
    <w:rsid w:val="008F2858"/>
    <w:rsid w:val="008F2BAD"/>
    <w:rsid w:val="008F3183"/>
    <w:rsid w:val="008F38A3"/>
    <w:rsid w:val="008F3BED"/>
    <w:rsid w:val="008F3C4D"/>
    <w:rsid w:val="008F5C41"/>
    <w:rsid w:val="008F6537"/>
    <w:rsid w:val="008F69F9"/>
    <w:rsid w:val="008F6E52"/>
    <w:rsid w:val="008F70F1"/>
    <w:rsid w:val="008F74F3"/>
    <w:rsid w:val="008F75B3"/>
    <w:rsid w:val="008F7AEB"/>
    <w:rsid w:val="008F7B7C"/>
    <w:rsid w:val="00900A3B"/>
    <w:rsid w:val="00900D3E"/>
    <w:rsid w:val="00902F42"/>
    <w:rsid w:val="00902FB2"/>
    <w:rsid w:val="00904369"/>
    <w:rsid w:val="00904AA2"/>
    <w:rsid w:val="00904AEC"/>
    <w:rsid w:val="00905383"/>
    <w:rsid w:val="00905D64"/>
    <w:rsid w:val="009061A5"/>
    <w:rsid w:val="009061BA"/>
    <w:rsid w:val="0090623F"/>
    <w:rsid w:val="009062AF"/>
    <w:rsid w:val="0090678C"/>
    <w:rsid w:val="009073E9"/>
    <w:rsid w:val="00910A04"/>
    <w:rsid w:val="00910EBE"/>
    <w:rsid w:val="00913135"/>
    <w:rsid w:val="00913898"/>
    <w:rsid w:val="00913F3F"/>
    <w:rsid w:val="00914B6D"/>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2CE0"/>
    <w:rsid w:val="00923855"/>
    <w:rsid w:val="009248C1"/>
    <w:rsid w:val="00924F54"/>
    <w:rsid w:val="00924F8A"/>
    <w:rsid w:val="00925220"/>
    <w:rsid w:val="0092582A"/>
    <w:rsid w:val="0092672E"/>
    <w:rsid w:val="00926CFC"/>
    <w:rsid w:val="00926EB4"/>
    <w:rsid w:val="0092719E"/>
    <w:rsid w:val="009271BA"/>
    <w:rsid w:val="00927618"/>
    <w:rsid w:val="00927706"/>
    <w:rsid w:val="00927817"/>
    <w:rsid w:val="00927F15"/>
    <w:rsid w:val="00930049"/>
    <w:rsid w:val="00930A48"/>
    <w:rsid w:val="00931797"/>
    <w:rsid w:val="00931ED0"/>
    <w:rsid w:val="00931FF7"/>
    <w:rsid w:val="00933794"/>
    <w:rsid w:val="0093481B"/>
    <w:rsid w:val="009349A1"/>
    <w:rsid w:val="00934D47"/>
    <w:rsid w:val="0093553E"/>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A00"/>
    <w:rsid w:val="00940B00"/>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987"/>
    <w:rsid w:val="00947B90"/>
    <w:rsid w:val="00950AB0"/>
    <w:rsid w:val="009517D0"/>
    <w:rsid w:val="009517FE"/>
    <w:rsid w:val="00952253"/>
    <w:rsid w:val="009529CD"/>
    <w:rsid w:val="00952B3C"/>
    <w:rsid w:val="009533F5"/>
    <w:rsid w:val="00953F31"/>
    <w:rsid w:val="009542D7"/>
    <w:rsid w:val="00954759"/>
    <w:rsid w:val="009561CD"/>
    <w:rsid w:val="00956205"/>
    <w:rsid w:val="00956C7A"/>
    <w:rsid w:val="00956C87"/>
    <w:rsid w:val="00957227"/>
    <w:rsid w:val="00957EC8"/>
    <w:rsid w:val="00957F60"/>
    <w:rsid w:val="00960583"/>
    <w:rsid w:val="00960FEC"/>
    <w:rsid w:val="00961AC5"/>
    <w:rsid w:val="00961F54"/>
    <w:rsid w:val="0096295F"/>
    <w:rsid w:val="00963126"/>
    <w:rsid w:val="009648E6"/>
    <w:rsid w:val="00965531"/>
    <w:rsid w:val="00965DD6"/>
    <w:rsid w:val="00966194"/>
    <w:rsid w:val="00966240"/>
    <w:rsid w:val="0096721B"/>
    <w:rsid w:val="00967F8F"/>
    <w:rsid w:val="0097083D"/>
    <w:rsid w:val="00970FFA"/>
    <w:rsid w:val="00971132"/>
    <w:rsid w:val="00971BEC"/>
    <w:rsid w:val="009721B4"/>
    <w:rsid w:val="00972CCB"/>
    <w:rsid w:val="00972CE6"/>
    <w:rsid w:val="00973D08"/>
    <w:rsid w:val="0097484F"/>
    <w:rsid w:val="009761D8"/>
    <w:rsid w:val="00976533"/>
    <w:rsid w:val="00976842"/>
    <w:rsid w:val="00976AC1"/>
    <w:rsid w:val="00976F61"/>
    <w:rsid w:val="00977664"/>
    <w:rsid w:val="0097775D"/>
    <w:rsid w:val="00980D7D"/>
    <w:rsid w:val="0098121A"/>
    <w:rsid w:val="00981415"/>
    <w:rsid w:val="0098320B"/>
    <w:rsid w:val="009833BF"/>
    <w:rsid w:val="00983509"/>
    <w:rsid w:val="00983634"/>
    <w:rsid w:val="0098366B"/>
    <w:rsid w:val="00984275"/>
    <w:rsid w:val="00986285"/>
    <w:rsid w:val="00986539"/>
    <w:rsid w:val="009866D7"/>
    <w:rsid w:val="009866EC"/>
    <w:rsid w:val="00986FDD"/>
    <w:rsid w:val="00987418"/>
    <w:rsid w:val="00987460"/>
    <w:rsid w:val="009875CE"/>
    <w:rsid w:val="009879A8"/>
    <w:rsid w:val="00987F43"/>
    <w:rsid w:val="00990322"/>
    <w:rsid w:val="00990547"/>
    <w:rsid w:val="00990D0D"/>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5CB2"/>
    <w:rsid w:val="009973B1"/>
    <w:rsid w:val="009978D9"/>
    <w:rsid w:val="00997D96"/>
    <w:rsid w:val="00997DCC"/>
    <w:rsid w:val="00997DEF"/>
    <w:rsid w:val="009A0B3C"/>
    <w:rsid w:val="009A1966"/>
    <w:rsid w:val="009A1B17"/>
    <w:rsid w:val="009A1BF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D3"/>
    <w:rsid w:val="009B01C7"/>
    <w:rsid w:val="009B05BE"/>
    <w:rsid w:val="009B1A1B"/>
    <w:rsid w:val="009B1A22"/>
    <w:rsid w:val="009B1D7B"/>
    <w:rsid w:val="009B1DDD"/>
    <w:rsid w:val="009B215B"/>
    <w:rsid w:val="009B3045"/>
    <w:rsid w:val="009B4503"/>
    <w:rsid w:val="009B450E"/>
    <w:rsid w:val="009B4533"/>
    <w:rsid w:val="009B49D2"/>
    <w:rsid w:val="009B59BB"/>
    <w:rsid w:val="009B5CA3"/>
    <w:rsid w:val="009B5DBC"/>
    <w:rsid w:val="009B5E32"/>
    <w:rsid w:val="009B5E74"/>
    <w:rsid w:val="009B695F"/>
    <w:rsid w:val="009B6CD5"/>
    <w:rsid w:val="009B7682"/>
    <w:rsid w:val="009B768F"/>
    <w:rsid w:val="009B7881"/>
    <w:rsid w:val="009B79FA"/>
    <w:rsid w:val="009B7AB6"/>
    <w:rsid w:val="009B7B86"/>
    <w:rsid w:val="009C0044"/>
    <w:rsid w:val="009C07A9"/>
    <w:rsid w:val="009C0E0D"/>
    <w:rsid w:val="009C1942"/>
    <w:rsid w:val="009C1BB8"/>
    <w:rsid w:val="009C291B"/>
    <w:rsid w:val="009C3A30"/>
    <w:rsid w:val="009C3C96"/>
    <w:rsid w:val="009C4C83"/>
    <w:rsid w:val="009C4D6C"/>
    <w:rsid w:val="009C55BA"/>
    <w:rsid w:val="009C5BAC"/>
    <w:rsid w:val="009C61A5"/>
    <w:rsid w:val="009C656D"/>
    <w:rsid w:val="009C67BE"/>
    <w:rsid w:val="009C7506"/>
    <w:rsid w:val="009C756D"/>
    <w:rsid w:val="009C75E0"/>
    <w:rsid w:val="009C78CA"/>
    <w:rsid w:val="009C7A31"/>
    <w:rsid w:val="009C7C42"/>
    <w:rsid w:val="009C7D94"/>
    <w:rsid w:val="009D173D"/>
    <w:rsid w:val="009D4B2D"/>
    <w:rsid w:val="009D570B"/>
    <w:rsid w:val="009D57AB"/>
    <w:rsid w:val="009D5A04"/>
    <w:rsid w:val="009D5A10"/>
    <w:rsid w:val="009D5CA2"/>
    <w:rsid w:val="009D6270"/>
    <w:rsid w:val="009D6370"/>
    <w:rsid w:val="009D64D4"/>
    <w:rsid w:val="009D69B4"/>
    <w:rsid w:val="009D69C7"/>
    <w:rsid w:val="009D72F5"/>
    <w:rsid w:val="009D78D0"/>
    <w:rsid w:val="009D7AB4"/>
    <w:rsid w:val="009D7B4F"/>
    <w:rsid w:val="009D7DC4"/>
    <w:rsid w:val="009E0513"/>
    <w:rsid w:val="009E0722"/>
    <w:rsid w:val="009E0AD4"/>
    <w:rsid w:val="009E1C45"/>
    <w:rsid w:val="009E2650"/>
    <w:rsid w:val="009E2A77"/>
    <w:rsid w:val="009E2AEE"/>
    <w:rsid w:val="009E3103"/>
    <w:rsid w:val="009E3ED0"/>
    <w:rsid w:val="009E4341"/>
    <w:rsid w:val="009E5113"/>
    <w:rsid w:val="009E55D1"/>
    <w:rsid w:val="009E5DE6"/>
    <w:rsid w:val="009E6C20"/>
    <w:rsid w:val="009E6EBC"/>
    <w:rsid w:val="009E760E"/>
    <w:rsid w:val="009E7745"/>
    <w:rsid w:val="009E7CB4"/>
    <w:rsid w:val="009F0499"/>
    <w:rsid w:val="009F0711"/>
    <w:rsid w:val="009F0C1F"/>
    <w:rsid w:val="009F11A7"/>
    <w:rsid w:val="009F3513"/>
    <w:rsid w:val="009F3FB9"/>
    <w:rsid w:val="009F3FF3"/>
    <w:rsid w:val="009F40CE"/>
    <w:rsid w:val="009F4774"/>
    <w:rsid w:val="009F5056"/>
    <w:rsid w:val="009F5F1F"/>
    <w:rsid w:val="009F696B"/>
    <w:rsid w:val="009F7F02"/>
    <w:rsid w:val="00A000CC"/>
    <w:rsid w:val="00A00FE2"/>
    <w:rsid w:val="00A01653"/>
    <w:rsid w:val="00A01AE0"/>
    <w:rsid w:val="00A01E7A"/>
    <w:rsid w:val="00A02338"/>
    <w:rsid w:val="00A03462"/>
    <w:rsid w:val="00A03F07"/>
    <w:rsid w:val="00A03FED"/>
    <w:rsid w:val="00A04252"/>
    <w:rsid w:val="00A0520E"/>
    <w:rsid w:val="00A0582F"/>
    <w:rsid w:val="00A05E90"/>
    <w:rsid w:val="00A05EAB"/>
    <w:rsid w:val="00A06791"/>
    <w:rsid w:val="00A07326"/>
    <w:rsid w:val="00A07618"/>
    <w:rsid w:val="00A07B62"/>
    <w:rsid w:val="00A102CB"/>
    <w:rsid w:val="00A10570"/>
    <w:rsid w:val="00A10D84"/>
    <w:rsid w:val="00A115BD"/>
    <w:rsid w:val="00A11CF9"/>
    <w:rsid w:val="00A1241B"/>
    <w:rsid w:val="00A139B6"/>
    <w:rsid w:val="00A13DAA"/>
    <w:rsid w:val="00A14AC8"/>
    <w:rsid w:val="00A15DE0"/>
    <w:rsid w:val="00A15EE0"/>
    <w:rsid w:val="00A16061"/>
    <w:rsid w:val="00A16C42"/>
    <w:rsid w:val="00A1733B"/>
    <w:rsid w:val="00A21212"/>
    <w:rsid w:val="00A21404"/>
    <w:rsid w:val="00A215A7"/>
    <w:rsid w:val="00A22725"/>
    <w:rsid w:val="00A22C84"/>
    <w:rsid w:val="00A2375D"/>
    <w:rsid w:val="00A237EB"/>
    <w:rsid w:val="00A237F3"/>
    <w:rsid w:val="00A24D6C"/>
    <w:rsid w:val="00A2523C"/>
    <w:rsid w:val="00A25653"/>
    <w:rsid w:val="00A25981"/>
    <w:rsid w:val="00A27A92"/>
    <w:rsid w:val="00A27DE7"/>
    <w:rsid w:val="00A302DC"/>
    <w:rsid w:val="00A3032D"/>
    <w:rsid w:val="00A31D7C"/>
    <w:rsid w:val="00A323DC"/>
    <w:rsid w:val="00A32574"/>
    <w:rsid w:val="00A333EF"/>
    <w:rsid w:val="00A3364D"/>
    <w:rsid w:val="00A33C1C"/>
    <w:rsid w:val="00A3401C"/>
    <w:rsid w:val="00A34230"/>
    <w:rsid w:val="00A345AD"/>
    <w:rsid w:val="00A35111"/>
    <w:rsid w:val="00A352B9"/>
    <w:rsid w:val="00A35A5C"/>
    <w:rsid w:val="00A35DF6"/>
    <w:rsid w:val="00A36F48"/>
    <w:rsid w:val="00A37659"/>
    <w:rsid w:val="00A376F4"/>
    <w:rsid w:val="00A37A9C"/>
    <w:rsid w:val="00A400CA"/>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5D1"/>
    <w:rsid w:val="00A47DE0"/>
    <w:rsid w:val="00A47EBD"/>
    <w:rsid w:val="00A501DE"/>
    <w:rsid w:val="00A50350"/>
    <w:rsid w:val="00A505BF"/>
    <w:rsid w:val="00A505DD"/>
    <w:rsid w:val="00A51F19"/>
    <w:rsid w:val="00A5218D"/>
    <w:rsid w:val="00A52F0B"/>
    <w:rsid w:val="00A531F2"/>
    <w:rsid w:val="00A5339E"/>
    <w:rsid w:val="00A53D3C"/>
    <w:rsid w:val="00A5451F"/>
    <w:rsid w:val="00A5462B"/>
    <w:rsid w:val="00A55121"/>
    <w:rsid w:val="00A558B8"/>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09"/>
    <w:rsid w:val="00A64B50"/>
    <w:rsid w:val="00A64F65"/>
    <w:rsid w:val="00A64FC4"/>
    <w:rsid w:val="00A65228"/>
    <w:rsid w:val="00A66146"/>
    <w:rsid w:val="00A662F3"/>
    <w:rsid w:val="00A66C39"/>
    <w:rsid w:val="00A66CC7"/>
    <w:rsid w:val="00A7047E"/>
    <w:rsid w:val="00A7061F"/>
    <w:rsid w:val="00A70794"/>
    <w:rsid w:val="00A70D5E"/>
    <w:rsid w:val="00A70DF9"/>
    <w:rsid w:val="00A71177"/>
    <w:rsid w:val="00A712D3"/>
    <w:rsid w:val="00A72369"/>
    <w:rsid w:val="00A72643"/>
    <w:rsid w:val="00A72F19"/>
    <w:rsid w:val="00A73486"/>
    <w:rsid w:val="00A73D68"/>
    <w:rsid w:val="00A74491"/>
    <w:rsid w:val="00A74FBA"/>
    <w:rsid w:val="00A75456"/>
    <w:rsid w:val="00A7699E"/>
    <w:rsid w:val="00A8086E"/>
    <w:rsid w:val="00A80B98"/>
    <w:rsid w:val="00A810F1"/>
    <w:rsid w:val="00A815AC"/>
    <w:rsid w:val="00A81773"/>
    <w:rsid w:val="00A81C3B"/>
    <w:rsid w:val="00A821EB"/>
    <w:rsid w:val="00A82395"/>
    <w:rsid w:val="00A82816"/>
    <w:rsid w:val="00A82DDA"/>
    <w:rsid w:val="00A8341D"/>
    <w:rsid w:val="00A84473"/>
    <w:rsid w:val="00A85128"/>
    <w:rsid w:val="00A85140"/>
    <w:rsid w:val="00A8572F"/>
    <w:rsid w:val="00A8586C"/>
    <w:rsid w:val="00A85A81"/>
    <w:rsid w:val="00A86FBB"/>
    <w:rsid w:val="00A87787"/>
    <w:rsid w:val="00A87834"/>
    <w:rsid w:val="00A87BA2"/>
    <w:rsid w:val="00A87E0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670"/>
    <w:rsid w:val="00AA1886"/>
    <w:rsid w:val="00AA1DE2"/>
    <w:rsid w:val="00AA1F16"/>
    <w:rsid w:val="00AA2055"/>
    <w:rsid w:val="00AA2808"/>
    <w:rsid w:val="00AA2BAA"/>
    <w:rsid w:val="00AA2D13"/>
    <w:rsid w:val="00AA2D99"/>
    <w:rsid w:val="00AA331B"/>
    <w:rsid w:val="00AA3545"/>
    <w:rsid w:val="00AA4158"/>
    <w:rsid w:val="00AA48B5"/>
    <w:rsid w:val="00AA5C17"/>
    <w:rsid w:val="00AA5FCB"/>
    <w:rsid w:val="00AA6323"/>
    <w:rsid w:val="00AA6650"/>
    <w:rsid w:val="00AA7331"/>
    <w:rsid w:val="00AA788D"/>
    <w:rsid w:val="00AB03A7"/>
    <w:rsid w:val="00AB1AD0"/>
    <w:rsid w:val="00AB1B63"/>
    <w:rsid w:val="00AB2431"/>
    <w:rsid w:val="00AB30AB"/>
    <w:rsid w:val="00AB3474"/>
    <w:rsid w:val="00AB3704"/>
    <w:rsid w:val="00AB3C5B"/>
    <w:rsid w:val="00AB3E02"/>
    <w:rsid w:val="00AB3F30"/>
    <w:rsid w:val="00AB4022"/>
    <w:rsid w:val="00AB4349"/>
    <w:rsid w:val="00AB4388"/>
    <w:rsid w:val="00AB45D6"/>
    <w:rsid w:val="00AB487C"/>
    <w:rsid w:val="00AB4D02"/>
    <w:rsid w:val="00AB4F98"/>
    <w:rsid w:val="00AB66E3"/>
    <w:rsid w:val="00AB71CA"/>
    <w:rsid w:val="00AB73F0"/>
    <w:rsid w:val="00AB7E1B"/>
    <w:rsid w:val="00AC0910"/>
    <w:rsid w:val="00AC0D45"/>
    <w:rsid w:val="00AC0F07"/>
    <w:rsid w:val="00AC2094"/>
    <w:rsid w:val="00AC2231"/>
    <w:rsid w:val="00AC29CC"/>
    <w:rsid w:val="00AC29DF"/>
    <w:rsid w:val="00AC2D0C"/>
    <w:rsid w:val="00AC3E82"/>
    <w:rsid w:val="00AC3F21"/>
    <w:rsid w:val="00AC4BE5"/>
    <w:rsid w:val="00AC4CEA"/>
    <w:rsid w:val="00AC4DE2"/>
    <w:rsid w:val="00AC4E8F"/>
    <w:rsid w:val="00AC575A"/>
    <w:rsid w:val="00AC57D9"/>
    <w:rsid w:val="00AC5D20"/>
    <w:rsid w:val="00AC5D63"/>
    <w:rsid w:val="00AC6265"/>
    <w:rsid w:val="00AC6353"/>
    <w:rsid w:val="00AC653D"/>
    <w:rsid w:val="00AC7089"/>
    <w:rsid w:val="00AC7299"/>
    <w:rsid w:val="00AC7E3D"/>
    <w:rsid w:val="00AC7E97"/>
    <w:rsid w:val="00AD05CF"/>
    <w:rsid w:val="00AD0697"/>
    <w:rsid w:val="00AD08D1"/>
    <w:rsid w:val="00AD0B0C"/>
    <w:rsid w:val="00AD0BDF"/>
    <w:rsid w:val="00AD0D4F"/>
    <w:rsid w:val="00AD239C"/>
    <w:rsid w:val="00AD28B7"/>
    <w:rsid w:val="00AD32D9"/>
    <w:rsid w:val="00AD3674"/>
    <w:rsid w:val="00AD3F88"/>
    <w:rsid w:val="00AD4E53"/>
    <w:rsid w:val="00AD54EC"/>
    <w:rsid w:val="00AD6083"/>
    <w:rsid w:val="00AD693C"/>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2C"/>
    <w:rsid w:val="00AE4A33"/>
    <w:rsid w:val="00AF0202"/>
    <w:rsid w:val="00AF06E0"/>
    <w:rsid w:val="00AF118A"/>
    <w:rsid w:val="00AF13AA"/>
    <w:rsid w:val="00AF2D63"/>
    <w:rsid w:val="00AF3091"/>
    <w:rsid w:val="00AF321A"/>
    <w:rsid w:val="00AF33B2"/>
    <w:rsid w:val="00AF379C"/>
    <w:rsid w:val="00AF39A6"/>
    <w:rsid w:val="00AF4160"/>
    <w:rsid w:val="00AF450D"/>
    <w:rsid w:val="00AF45AE"/>
    <w:rsid w:val="00AF45CF"/>
    <w:rsid w:val="00AF461D"/>
    <w:rsid w:val="00AF67C2"/>
    <w:rsid w:val="00AF6932"/>
    <w:rsid w:val="00AF78C4"/>
    <w:rsid w:val="00B000FE"/>
    <w:rsid w:val="00B0040F"/>
    <w:rsid w:val="00B00776"/>
    <w:rsid w:val="00B012B5"/>
    <w:rsid w:val="00B02597"/>
    <w:rsid w:val="00B02772"/>
    <w:rsid w:val="00B02F57"/>
    <w:rsid w:val="00B03112"/>
    <w:rsid w:val="00B03424"/>
    <w:rsid w:val="00B03627"/>
    <w:rsid w:val="00B036F7"/>
    <w:rsid w:val="00B03A42"/>
    <w:rsid w:val="00B043A3"/>
    <w:rsid w:val="00B049DD"/>
    <w:rsid w:val="00B04EE7"/>
    <w:rsid w:val="00B04F14"/>
    <w:rsid w:val="00B053F0"/>
    <w:rsid w:val="00B05ACE"/>
    <w:rsid w:val="00B05B2B"/>
    <w:rsid w:val="00B05BDC"/>
    <w:rsid w:val="00B05CE4"/>
    <w:rsid w:val="00B068FE"/>
    <w:rsid w:val="00B06A0B"/>
    <w:rsid w:val="00B06AC9"/>
    <w:rsid w:val="00B06FAD"/>
    <w:rsid w:val="00B07072"/>
    <w:rsid w:val="00B071DC"/>
    <w:rsid w:val="00B072DA"/>
    <w:rsid w:val="00B074E5"/>
    <w:rsid w:val="00B07DC6"/>
    <w:rsid w:val="00B07F91"/>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EA9"/>
    <w:rsid w:val="00B21FC1"/>
    <w:rsid w:val="00B22177"/>
    <w:rsid w:val="00B2286B"/>
    <w:rsid w:val="00B22A2B"/>
    <w:rsid w:val="00B230A1"/>
    <w:rsid w:val="00B23914"/>
    <w:rsid w:val="00B23C27"/>
    <w:rsid w:val="00B24828"/>
    <w:rsid w:val="00B24BA6"/>
    <w:rsid w:val="00B24D74"/>
    <w:rsid w:val="00B2507F"/>
    <w:rsid w:val="00B25489"/>
    <w:rsid w:val="00B2629F"/>
    <w:rsid w:val="00B2671F"/>
    <w:rsid w:val="00B26A3F"/>
    <w:rsid w:val="00B26AEB"/>
    <w:rsid w:val="00B26EA5"/>
    <w:rsid w:val="00B2728E"/>
    <w:rsid w:val="00B27446"/>
    <w:rsid w:val="00B27967"/>
    <w:rsid w:val="00B300B1"/>
    <w:rsid w:val="00B3069F"/>
    <w:rsid w:val="00B30AC2"/>
    <w:rsid w:val="00B31127"/>
    <w:rsid w:val="00B31297"/>
    <w:rsid w:val="00B3156B"/>
    <w:rsid w:val="00B322E1"/>
    <w:rsid w:val="00B3234B"/>
    <w:rsid w:val="00B3241C"/>
    <w:rsid w:val="00B3259B"/>
    <w:rsid w:val="00B327F9"/>
    <w:rsid w:val="00B32BE4"/>
    <w:rsid w:val="00B3344B"/>
    <w:rsid w:val="00B3369F"/>
    <w:rsid w:val="00B340D1"/>
    <w:rsid w:val="00B3420E"/>
    <w:rsid w:val="00B346A2"/>
    <w:rsid w:val="00B346CB"/>
    <w:rsid w:val="00B3545D"/>
    <w:rsid w:val="00B358B0"/>
    <w:rsid w:val="00B36272"/>
    <w:rsid w:val="00B36677"/>
    <w:rsid w:val="00B376C0"/>
    <w:rsid w:val="00B4097E"/>
    <w:rsid w:val="00B40A6C"/>
    <w:rsid w:val="00B40D91"/>
    <w:rsid w:val="00B4164D"/>
    <w:rsid w:val="00B41C88"/>
    <w:rsid w:val="00B41CED"/>
    <w:rsid w:val="00B41FF5"/>
    <w:rsid w:val="00B42008"/>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0A07"/>
    <w:rsid w:val="00B61C8C"/>
    <w:rsid w:val="00B61E80"/>
    <w:rsid w:val="00B6217D"/>
    <w:rsid w:val="00B62AE3"/>
    <w:rsid w:val="00B62BE0"/>
    <w:rsid w:val="00B634A2"/>
    <w:rsid w:val="00B64B6F"/>
    <w:rsid w:val="00B64D27"/>
    <w:rsid w:val="00B651D4"/>
    <w:rsid w:val="00B65B0A"/>
    <w:rsid w:val="00B65FEF"/>
    <w:rsid w:val="00B66E99"/>
    <w:rsid w:val="00B6740E"/>
    <w:rsid w:val="00B67677"/>
    <w:rsid w:val="00B67930"/>
    <w:rsid w:val="00B67B76"/>
    <w:rsid w:val="00B703D2"/>
    <w:rsid w:val="00B706C1"/>
    <w:rsid w:val="00B70AED"/>
    <w:rsid w:val="00B70DBF"/>
    <w:rsid w:val="00B71471"/>
    <w:rsid w:val="00B7163E"/>
    <w:rsid w:val="00B71E54"/>
    <w:rsid w:val="00B71F06"/>
    <w:rsid w:val="00B727F7"/>
    <w:rsid w:val="00B7292E"/>
    <w:rsid w:val="00B72EDE"/>
    <w:rsid w:val="00B72F45"/>
    <w:rsid w:val="00B733EE"/>
    <w:rsid w:val="00B735C3"/>
    <w:rsid w:val="00B73AB6"/>
    <w:rsid w:val="00B750BF"/>
    <w:rsid w:val="00B766BA"/>
    <w:rsid w:val="00B76D2A"/>
    <w:rsid w:val="00B77214"/>
    <w:rsid w:val="00B77775"/>
    <w:rsid w:val="00B800F0"/>
    <w:rsid w:val="00B8017B"/>
    <w:rsid w:val="00B8022E"/>
    <w:rsid w:val="00B80994"/>
    <w:rsid w:val="00B81DA6"/>
    <w:rsid w:val="00B82540"/>
    <w:rsid w:val="00B82B36"/>
    <w:rsid w:val="00B8383B"/>
    <w:rsid w:val="00B84582"/>
    <w:rsid w:val="00B8485A"/>
    <w:rsid w:val="00B85077"/>
    <w:rsid w:val="00B8525D"/>
    <w:rsid w:val="00B86C88"/>
    <w:rsid w:val="00B87EE3"/>
    <w:rsid w:val="00B909F5"/>
    <w:rsid w:val="00B91C1B"/>
    <w:rsid w:val="00B92176"/>
    <w:rsid w:val="00B9390B"/>
    <w:rsid w:val="00B940F0"/>
    <w:rsid w:val="00B94474"/>
    <w:rsid w:val="00B95EC7"/>
    <w:rsid w:val="00B96099"/>
    <w:rsid w:val="00B96AD3"/>
    <w:rsid w:val="00B97C32"/>
    <w:rsid w:val="00B97EE3"/>
    <w:rsid w:val="00B97F4E"/>
    <w:rsid w:val="00BA091C"/>
    <w:rsid w:val="00BA1020"/>
    <w:rsid w:val="00BA1C22"/>
    <w:rsid w:val="00BA1D5A"/>
    <w:rsid w:val="00BA22D6"/>
    <w:rsid w:val="00BA26B9"/>
    <w:rsid w:val="00BA2739"/>
    <w:rsid w:val="00BA2877"/>
    <w:rsid w:val="00BA2C7B"/>
    <w:rsid w:val="00BA3769"/>
    <w:rsid w:val="00BA3E6D"/>
    <w:rsid w:val="00BA48F8"/>
    <w:rsid w:val="00BA4C5D"/>
    <w:rsid w:val="00BA5A80"/>
    <w:rsid w:val="00BA65F4"/>
    <w:rsid w:val="00BA6A03"/>
    <w:rsid w:val="00BA6AC4"/>
    <w:rsid w:val="00BA6E66"/>
    <w:rsid w:val="00BA7059"/>
    <w:rsid w:val="00BA7600"/>
    <w:rsid w:val="00BA7880"/>
    <w:rsid w:val="00BB053C"/>
    <w:rsid w:val="00BB0699"/>
    <w:rsid w:val="00BB06F9"/>
    <w:rsid w:val="00BB0820"/>
    <w:rsid w:val="00BB090F"/>
    <w:rsid w:val="00BB099D"/>
    <w:rsid w:val="00BB0BB0"/>
    <w:rsid w:val="00BB0DB3"/>
    <w:rsid w:val="00BB115A"/>
    <w:rsid w:val="00BB25EF"/>
    <w:rsid w:val="00BB29DF"/>
    <w:rsid w:val="00BB34BB"/>
    <w:rsid w:val="00BB4283"/>
    <w:rsid w:val="00BB4434"/>
    <w:rsid w:val="00BB48BF"/>
    <w:rsid w:val="00BB4AF3"/>
    <w:rsid w:val="00BB51E3"/>
    <w:rsid w:val="00BB57ED"/>
    <w:rsid w:val="00BB6E49"/>
    <w:rsid w:val="00BB6F4B"/>
    <w:rsid w:val="00BB71DC"/>
    <w:rsid w:val="00BB79E4"/>
    <w:rsid w:val="00BB7A49"/>
    <w:rsid w:val="00BB7F14"/>
    <w:rsid w:val="00BC017B"/>
    <w:rsid w:val="00BC0A41"/>
    <w:rsid w:val="00BC133D"/>
    <w:rsid w:val="00BC1357"/>
    <w:rsid w:val="00BC3CBD"/>
    <w:rsid w:val="00BC4070"/>
    <w:rsid w:val="00BC4968"/>
    <w:rsid w:val="00BC4C62"/>
    <w:rsid w:val="00BC4D32"/>
    <w:rsid w:val="00BC53F9"/>
    <w:rsid w:val="00BC5799"/>
    <w:rsid w:val="00BC580B"/>
    <w:rsid w:val="00BC5BD4"/>
    <w:rsid w:val="00BC6038"/>
    <w:rsid w:val="00BC63AB"/>
    <w:rsid w:val="00BC6671"/>
    <w:rsid w:val="00BC6956"/>
    <w:rsid w:val="00BC7182"/>
    <w:rsid w:val="00BC72BA"/>
    <w:rsid w:val="00BC7B51"/>
    <w:rsid w:val="00BC7BE9"/>
    <w:rsid w:val="00BC7F04"/>
    <w:rsid w:val="00BD0053"/>
    <w:rsid w:val="00BD104E"/>
    <w:rsid w:val="00BD148C"/>
    <w:rsid w:val="00BD23A5"/>
    <w:rsid w:val="00BD523C"/>
    <w:rsid w:val="00BD5D19"/>
    <w:rsid w:val="00BD6010"/>
    <w:rsid w:val="00BD6122"/>
    <w:rsid w:val="00BD640B"/>
    <w:rsid w:val="00BD6523"/>
    <w:rsid w:val="00BD6A15"/>
    <w:rsid w:val="00BD77BC"/>
    <w:rsid w:val="00BD78FE"/>
    <w:rsid w:val="00BD7BAE"/>
    <w:rsid w:val="00BD7DD5"/>
    <w:rsid w:val="00BD7E45"/>
    <w:rsid w:val="00BE0239"/>
    <w:rsid w:val="00BE12C1"/>
    <w:rsid w:val="00BE2B0C"/>
    <w:rsid w:val="00BE30AC"/>
    <w:rsid w:val="00BE3255"/>
    <w:rsid w:val="00BE37DE"/>
    <w:rsid w:val="00BE3BF4"/>
    <w:rsid w:val="00BE50EC"/>
    <w:rsid w:val="00BE56C5"/>
    <w:rsid w:val="00BE5DC7"/>
    <w:rsid w:val="00BE6392"/>
    <w:rsid w:val="00BE6917"/>
    <w:rsid w:val="00BE6F70"/>
    <w:rsid w:val="00BE7441"/>
    <w:rsid w:val="00BE75B6"/>
    <w:rsid w:val="00BE76E3"/>
    <w:rsid w:val="00BE7BD6"/>
    <w:rsid w:val="00BE7E85"/>
    <w:rsid w:val="00BF00EC"/>
    <w:rsid w:val="00BF0C6D"/>
    <w:rsid w:val="00BF17D7"/>
    <w:rsid w:val="00BF1878"/>
    <w:rsid w:val="00BF1FE6"/>
    <w:rsid w:val="00BF2575"/>
    <w:rsid w:val="00BF261A"/>
    <w:rsid w:val="00BF2A5F"/>
    <w:rsid w:val="00BF2BFD"/>
    <w:rsid w:val="00BF3228"/>
    <w:rsid w:val="00BF3381"/>
    <w:rsid w:val="00BF3467"/>
    <w:rsid w:val="00BF4351"/>
    <w:rsid w:val="00BF4C63"/>
    <w:rsid w:val="00BF59E3"/>
    <w:rsid w:val="00BF5C1D"/>
    <w:rsid w:val="00BF61A2"/>
    <w:rsid w:val="00BF65FA"/>
    <w:rsid w:val="00BF6904"/>
    <w:rsid w:val="00BF69EE"/>
    <w:rsid w:val="00BF69F7"/>
    <w:rsid w:val="00BF708F"/>
    <w:rsid w:val="00BF714C"/>
    <w:rsid w:val="00BF7965"/>
    <w:rsid w:val="00BF7FEB"/>
    <w:rsid w:val="00C001F8"/>
    <w:rsid w:val="00C0112F"/>
    <w:rsid w:val="00C01D08"/>
    <w:rsid w:val="00C01FBA"/>
    <w:rsid w:val="00C020A9"/>
    <w:rsid w:val="00C02405"/>
    <w:rsid w:val="00C0249D"/>
    <w:rsid w:val="00C0295C"/>
    <w:rsid w:val="00C0296F"/>
    <w:rsid w:val="00C029CF"/>
    <w:rsid w:val="00C03011"/>
    <w:rsid w:val="00C0334E"/>
    <w:rsid w:val="00C0347D"/>
    <w:rsid w:val="00C03CAB"/>
    <w:rsid w:val="00C0404A"/>
    <w:rsid w:val="00C0419D"/>
    <w:rsid w:val="00C04A4E"/>
    <w:rsid w:val="00C04F58"/>
    <w:rsid w:val="00C05839"/>
    <w:rsid w:val="00C059D2"/>
    <w:rsid w:val="00C05AF9"/>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A08"/>
    <w:rsid w:val="00C17CC5"/>
    <w:rsid w:val="00C17EF8"/>
    <w:rsid w:val="00C2031E"/>
    <w:rsid w:val="00C20614"/>
    <w:rsid w:val="00C20741"/>
    <w:rsid w:val="00C20965"/>
    <w:rsid w:val="00C2144E"/>
    <w:rsid w:val="00C2160F"/>
    <w:rsid w:val="00C218AD"/>
    <w:rsid w:val="00C22E73"/>
    <w:rsid w:val="00C22F76"/>
    <w:rsid w:val="00C23587"/>
    <w:rsid w:val="00C23789"/>
    <w:rsid w:val="00C240AF"/>
    <w:rsid w:val="00C240F7"/>
    <w:rsid w:val="00C244FA"/>
    <w:rsid w:val="00C2462D"/>
    <w:rsid w:val="00C24E27"/>
    <w:rsid w:val="00C27D82"/>
    <w:rsid w:val="00C27FF9"/>
    <w:rsid w:val="00C3094B"/>
    <w:rsid w:val="00C30C08"/>
    <w:rsid w:val="00C314AC"/>
    <w:rsid w:val="00C31F3E"/>
    <w:rsid w:val="00C328AA"/>
    <w:rsid w:val="00C32E4B"/>
    <w:rsid w:val="00C33665"/>
    <w:rsid w:val="00C33A96"/>
    <w:rsid w:val="00C34670"/>
    <w:rsid w:val="00C34DB8"/>
    <w:rsid w:val="00C35A08"/>
    <w:rsid w:val="00C35E01"/>
    <w:rsid w:val="00C3624E"/>
    <w:rsid w:val="00C36423"/>
    <w:rsid w:val="00C3692F"/>
    <w:rsid w:val="00C36CCF"/>
    <w:rsid w:val="00C372EC"/>
    <w:rsid w:val="00C372FA"/>
    <w:rsid w:val="00C37417"/>
    <w:rsid w:val="00C375F2"/>
    <w:rsid w:val="00C376FE"/>
    <w:rsid w:val="00C37BD6"/>
    <w:rsid w:val="00C40DC6"/>
    <w:rsid w:val="00C41072"/>
    <w:rsid w:val="00C41BD3"/>
    <w:rsid w:val="00C4204A"/>
    <w:rsid w:val="00C4267C"/>
    <w:rsid w:val="00C42F66"/>
    <w:rsid w:val="00C43982"/>
    <w:rsid w:val="00C4416F"/>
    <w:rsid w:val="00C46799"/>
    <w:rsid w:val="00C46F11"/>
    <w:rsid w:val="00C474DE"/>
    <w:rsid w:val="00C477BC"/>
    <w:rsid w:val="00C47DAE"/>
    <w:rsid w:val="00C50630"/>
    <w:rsid w:val="00C515DE"/>
    <w:rsid w:val="00C5194F"/>
    <w:rsid w:val="00C51E86"/>
    <w:rsid w:val="00C5250C"/>
    <w:rsid w:val="00C52D72"/>
    <w:rsid w:val="00C52E82"/>
    <w:rsid w:val="00C52ED5"/>
    <w:rsid w:val="00C53627"/>
    <w:rsid w:val="00C53DD2"/>
    <w:rsid w:val="00C54550"/>
    <w:rsid w:val="00C54938"/>
    <w:rsid w:val="00C54ACC"/>
    <w:rsid w:val="00C54E5F"/>
    <w:rsid w:val="00C54F85"/>
    <w:rsid w:val="00C55FB9"/>
    <w:rsid w:val="00C56275"/>
    <w:rsid w:val="00C5699C"/>
    <w:rsid w:val="00C56A8C"/>
    <w:rsid w:val="00C57492"/>
    <w:rsid w:val="00C57939"/>
    <w:rsid w:val="00C57D4B"/>
    <w:rsid w:val="00C6067F"/>
    <w:rsid w:val="00C606C4"/>
    <w:rsid w:val="00C61087"/>
    <w:rsid w:val="00C611C8"/>
    <w:rsid w:val="00C61BBC"/>
    <w:rsid w:val="00C62045"/>
    <w:rsid w:val="00C632DB"/>
    <w:rsid w:val="00C639DA"/>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540"/>
    <w:rsid w:val="00C728F4"/>
    <w:rsid w:val="00C72968"/>
    <w:rsid w:val="00C72C9B"/>
    <w:rsid w:val="00C730AF"/>
    <w:rsid w:val="00C738A4"/>
    <w:rsid w:val="00C73FC5"/>
    <w:rsid w:val="00C74734"/>
    <w:rsid w:val="00C74B26"/>
    <w:rsid w:val="00C761F2"/>
    <w:rsid w:val="00C76586"/>
    <w:rsid w:val="00C7693F"/>
    <w:rsid w:val="00C800B4"/>
    <w:rsid w:val="00C801C8"/>
    <w:rsid w:val="00C803ED"/>
    <w:rsid w:val="00C8154F"/>
    <w:rsid w:val="00C81825"/>
    <w:rsid w:val="00C81A3E"/>
    <w:rsid w:val="00C834D5"/>
    <w:rsid w:val="00C83E7C"/>
    <w:rsid w:val="00C8400D"/>
    <w:rsid w:val="00C8401E"/>
    <w:rsid w:val="00C84A08"/>
    <w:rsid w:val="00C851BB"/>
    <w:rsid w:val="00C85466"/>
    <w:rsid w:val="00C856E0"/>
    <w:rsid w:val="00C86901"/>
    <w:rsid w:val="00C86C0C"/>
    <w:rsid w:val="00C86F8F"/>
    <w:rsid w:val="00C87276"/>
    <w:rsid w:val="00C872E9"/>
    <w:rsid w:val="00C87775"/>
    <w:rsid w:val="00C87AB3"/>
    <w:rsid w:val="00C87B36"/>
    <w:rsid w:val="00C90263"/>
    <w:rsid w:val="00C907E8"/>
    <w:rsid w:val="00C91A9A"/>
    <w:rsid w:val="00C92595"/>
    <w:rsid w:val="00C92728"/>
    <w:rsid w:val="00C92A9C"/>
    <w:rsid w:val="00C92EFF"/>
    <w:rsid w:val="00C9338F"/>
    <w:rsid w:val="00C93DB7"/>
    <w:rsid w:val="00C941E0"/>
    <w:rsid w:val="00C944B4"/>
    <w:rsid w:val="00C9503B"/>
    <w:rsid w:val="00C95087"/>
    <w:rsid w:val="00C958D6"/>
    <w:rsid w:val="00C95CC9"/>
    <w:rsid w:val="00C962AA"/>
    <w:rsid w:val="00C965CD"/>
    <w:rsid w:val="00C96A2E"/>
    <w:rsid w:val="00C96B6A"/>
    <w:rsid w:val="00C96D9F"/>
    <w:rsid w:val="00C96FB9"/>
    <w:rsid w:val="00C978A0"/>
    <w:rsid w:val="00CA0564"/>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69F2"/>
    <w:rsid w:val="00CA727F"/>
    <w:rsid w:val="00CA74E2"/>
    <w:rsid w:val="00CA7763"/>
    <w:rsid w:val="00CA7EDF"/>
    <w:rsid w:val="00CB0525"/>
    <w:rsid w:val="00CB0C82"/>
    <w:rsid w:val="00CB15DB"/>
    <w:rsid w:val="00CB1DA0"/>
    <w:rsid w:val="00CB21BC"/>
    <w:rsid w:val="00CB231D"/>
    <w:rsid w:val="00CB23A6"/>
    <w:rsid w:val="00CB2D43"/>
    <w:rsid w:val="00CB2EC3"/>
    <w:rsid w:val="00CB3FEB"/>
    <w:rsid w:val="00CB4135"/>
    <w:rsid w:val="00CB4299"/>
    <w:rsid w:val="00CB4ECC"/>
    <w:rsid w:val="00CB5631"/>
    <w:rsid w:val="00CB6045"/>
    <w:rsid w:val="00CB611F"/>
    <w:rsid w:val="00CB66AE"/>
    <w:rsid w:val="00CB724D"/>
    <w:rsid w:val="00CB7309"/>
    <w:rsid w:val="00CC0E93"/>
    <w:rsid w:val="00CC28B5"/>
    <w:rsid w:val="00CC339F"/>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1FA8"/>
    <w:rsid w:val="00CD2476"/>
    <w:rsid w:val="00CD26EE"/>
    <w:rsid w:val="00CD29EB"/>
    <w:rsid w:val="00CD2C66"/>
    <w:rsid w:val="00CD2E0E"/>
    <w:rsid w:val="00CD36C5"/>
    <w:rsid w:val="00CD3785"/>
    <w:rsid w:val="00CD383C"/>
    <w:rsid w:val="00CD4F79"/>
    <w:rsid w:val="00CD535C"/>
    <w:rsid w:val="00CD59CE"/>
    <w:rsid w:val="00CD6191"/>
    <w:rsid w:val="00CD7FFC"/>
    <w:rsid w:val="00CE0CE6"/>
    <w:rsid w:val="00CE1685"/>
    <w:rsid w:val="00CE1752"/>
    <w:rsid w:val="00CE197D"/>
    <w:rsid w:val="00CE19EE"/>
    <w:rsid w:val="00CE25D8"/>
    <w:rsid w:val="00CE26D4"/>
    <w:rsid w:val="00CE28A6"/>
    <w:rsid w:val="00CE3932"/>
    <w:rsid w:val="00CE39B8"/>
    <w:rsid w:val="00CE3FB8"/>
    <w:rsid w:val="00CE4A3C"/>
    <w:rsid w:val="00CE5297"/>
    <w:rsid w:val="00CE5354"/>
    <w:rsid w:val="00CE5A0D"/>
    <w:rsid w:val="00CE5A2F"/>
    <w:rsid w:val="00CE608E"/>
    <w:rsid w:val="00CE6D8A"/>
    <w:rsid w:val="00CE6EAD"/>
    <w:rsid w:val="00CE6F7E"/>
    <w:rsid w:val="00CE734F"/>
    <w:rsid w:val="00CE7778"/>
    <w:rsid w:val="00CE7BDC"/>
    <w:rsid w:val="00CE7F3D"/>
    <w:rsid w:val="00CF0266"/>
    <w:rsid w:val="00CF2517"/>
    <w:rsid w:val="00CF2D93"/>
    <w:rsid w:val="00CF33D8"/>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10"/>
    <w:rsid w:val="00D07F6F"/>
    <w:rsid w:val="00D10A3B"/>
    <w:rsid w:val="00D10C13"/>
    <w:rsid w:val="00D1341D"/>
    <w:rsid w:val="00D135C5"/>
    <w:rsid w:val="00D1398B"/>
    <w:rsid w:val="00D13A39"/>
    <w:rsid w:val="00D13CEA"/>
    <w:rsid w:val="00D15E43"/>
    <w:rsid w:val="00D15EB0"/>
    <w:rsid w:val="00D16741"/>
    <w:rsid w:val="00D16842"/>
    <w:rsid w:val="00D16C54"/>
    <w:rsid w:val="00D16CAA"/>
    <w:rsid w:val="00D16D4C"/>
    <w:rsid w:val="00D16E2D"/>
    <w:rsid w:val="00D17A84"/>
    <w:rsid w:val="00D208A0"/>
    <w:rsid w:val="00D210CC"/>
    <w:rsid w:val="00D22F58"/>
    <w:rsid w:val="00D23009"/>
    <w:rsid w:val="00D23582"/>
    <w:rsid w:val="00D235F9"/>
    <w:rsid w:val="00D2372C"/>
    <w:rsid w:val="00D240F9"/>
    <w:rsid w:val="00D2507F"/>
    <w:rsid w:val="00D25598"/>
    <w:rsid w:val="00D25B58"/>
    <w:rsid w:val="00D27138"/>
    <w:rsid w:val="00D271BF"/>
    <w:rsid w:val="00D273D2"/>
    <w:rsid w:val="00D276A2"/>
    <w:rsid w:val="00D276AC"/>
    <w:rsid w:val="00D27B0A"/>
    <w:rsid w:val="00D3003B"/>
    <w:rsid w:val="00D303B8"/>
    <w:rsid w:val="00D3074E"/>
    <w:rsid w:val="00D30986"/>
    <w:rsid w:val="00D311D3"/>
    <w:rsid w:val="00D314E5"/>
    <w:rsid w:val="00D31649"/>
    <w:rsid w:val="00D31833"/>
    <w:rsid w:val="00D318DD"/>
    <w:rsid w:val="00D3200D"/>
    <w:rsid w:val="00D32340"/>
    <w:rsid w:val="00D32845"/>
    <w:rsid w:val="00D33DAB"/>
    <w:rsid w:val="00D33DDC"/>
    <w:rsid w:val="00D342DF"/>
    <w:rsid w:val="00D34678"/>
    <w:rsid w:val="00D34700"/>
    <w:rsid w:val="00D347AD"/>
    <w:rsid w:val="00D354A5"/>
    <w:rsid w:val="00D35ECD"/>
    <w:rsid w:val="00D3734F"/>
    <w:rsid w:val="00D374DE"/>
    <w:rsid w:val="00D3750C"/>
    <w:rsid w:val="00D37837"/>
    <w:rsid w:val="00D378EC"/>
    <w:rsid w:val="00D37BF3"/>
    <w:rsid w:val="00D37EC2"/>
    <w:rsid w:val="00D40204"/>
    <w:rsid w:val="00D4074F"/>
    <w:rsid w:val="00D40956"/>
    <w:rsid w:val="00D40E65"/>
    <w:rsid w:val="00D410B3"/>
    <w:rsid w:val="00D4153C"/>
    <w:rsid w:val="00D420A6"/>
    <w:rsid w:val="00D421AF"/>
    <w:rsid w:val="00D42721"/>
    <w:rsid w:val="00D42BA0"/>
    <w:rsid w:val="00D4304B"/>
    <w:rsid w:val="00D43E74"/>
    <w:rsid w:val="00D44CB9"/>
    <w:rsid w:val="00D44F8E"/>
    <w:rsid w:val="00D4557A"/>
    <w:rsid w:val="00D461F2"/>
    <w:rsid w:val="00D466FE"/>
    <w:rsid w:val="00D46976"/>
    <w:rsid w:val="00D47BDC"/>
    <w:rsid w:val="00D50552"/>
    <w:rsid w:val="00D5071A"/>
    <w:rsid w:val="00D50996"/>
    <w:rsid w:val="00D509B8"/>
    <w:rsid w:val="00D5131C"/>
    <w:rsid w:val="00D5179D"/>
    <w:rsid w:val="00D51B7E"/>
    <w:rsid w:val="00D51E90"/>
    <w:rsid w:val="00D51FAB"/>
    <w:rsid w:val="00D5230D"/>
    <w:rsid w:val="00D5244C"/>
    <w:rsid w:val="00D53C0E"/>
    <w:rsid w:val="00D53DBA"/>
    <w:rsid w:val="00D54C14"/>
    <w:rsid w:val="00D55514"/>
    <w:rsid w:val="00D5585A"/>
    <w:rsid w:val="00D56220"/>
    <w:rsid w:val="00D56D27"/>
    <w:rsid w:val="00D5785C"/>
    <w:rsid w:val="00D63567"/>
    <w:rsid w:val="00D6365D"/>
    <w:rsid w:val="00D6366A"/>
    <w:rsid w:val="00D63E66"/>
    <w:rsid w:val="00D63F4D"/>
    <w:rsid w:val="00D64397"/>
    <w:rsid w:val="00D6445A"/>
    <w:rsid w:val="00D644A4"/>
    <w:rsid w:val="00D644A7"/>
    <w:rsid w:val="00D644CD"/>
    <w:rsid w:val="00D64E52"/>
    <w:rsid w:val="00D658BA"/>
    <w:rsid w:val="00D66639"/>
    <w:rsid w:val="00D67274"/>
    <w:rsid w:val="00D673C2"/>
    <w:rsid w:val="00D6773A"/>
    <w:rsid w:val="00D678B9"/>
    <w:rsid w:val="00D70A7D"/>
    <w:rsid w:val="00D70D88"/>
    <w:rsid w:val="00D70FD5"/>
    <w:rsid w:val="00D711A7"/>
    <w:rsid w:val="00D71464"/>
    <w:rsid w:val="00D714CA"/>
    <w:rsid w:val="00D71733"/>
    <w:rsid w:val="00D71D87"/>
    <w:rsid w:val="00D72148"/>
    <w:rsid w:val="00D72A83"/>
    <w:rsid w:val="00D7300D"/>
    <w:rsid w:val="00D73F82"/>
    <w:rsid w:val="00D75179"/>
    <w:rsid w:val="00D75C5E"/>
    <w:rsid w:val="00D76C13"/>
    <w:rsid w:val="00D771D3"/>
    <w:rsid w:val="00D77315"/>
    <w:rsid w:val="00D774A2"/>
    <w:rsid w:val="00D7783D"/>
    <w:rsid w:val="00D77F37"/>
    <w:rsid w:val="00D77F58"/>
    <w:rsid w:val="00D8017E"/>
    <w:rsid w:val="00D8026D"/>
    <w:rsid w:val="00D803DF"/>
    <w:rsid w:val="00D80902"/>
    <w:rsid w:val="00D809F3"/>
    <w:rsid w:val="00D80A8D"/>
    <w:rsid w:val="00D81F4D"/>
    <w:rsid w:val="00D82243"/>
    <w:rsid w:val="00D83AC4"/>
    <w:rsid w:val="00D83E5E"/>
    <w:rsid w:val="00D84643"/>
    <w:rsid w:val="00D846AB"/>
    <w:rsid w:val="00D84E7F"/>
    <w:rsid w:val="00D853E6"/>
    <w:rsid w:val="00D85E60"/>
    <w:rsid w:val="00D863F0"/>
    <w:rsid w:val="00D864F8"/>
    <w:rsid w:val="00D87E29"/>
    <w:rsid w:val="00D917A6"/>
    <w:rsid w:val="00D91BA3"/>
    <w:rsid w:val="00D929EC"/>
    <w:rsid w:val="00D92E41"/>
    <w:rsid w:val="00D93027"/>
    <w:rsid w:val="00D93052"/>
    <w:rsid w:val="00D938F4"/>
    <w:rsid w:val="00D94644"/>
    <w:rsid w:val="00D94F32"/>
    <w:rsid w:val="00D94FA8"/>
    <w:rsid w:val="00D953C9"/>
    <w:rsid w:val="00D95A1E"/>
    <w:rsid w:val="00D95FF1"/>
    <w:rsid w:val="00D96085"/>
    <w:rsid w:val="00D962D7"/>
    <w:rsid w:val="00D96925"/>
    <w:rsid w:val="00D97052"/>
    <w:rsid w:val="00D9757B"/>
    <w:rsid w:val="00D976B6"/>
    <w:rsid w:val="00D97F3D"/>
    <w:rsid w:val="00DA024F"/>
    <w:rsid w:val="00DA0440"/>
    <w:rsid w:val="00DA0451"/>
    <w:rsid w:val="00DA0907"/>
    <w:rsid w:val="00DA0F29"/>
    <w:rsid w:val="00DA1DEE"/>
    <w:rsid w:val="00DA2BD9"/>
    <w:rsid w:val="00DA2FA2"/>
    <w:rsid w:val="00DA302C"/>
    <w:rsid w:val="00DA3F57"/>
    <w:rsid w:val="00DA431F"/>
    <w:rsid w:val="00DA4709"/>
    <w:rsid w:val="00DA4901"/>
    <w:rsid w:val="00DA4B2C"/>
    <w:rsid w:val="00DA56F3"/>
    <w:rsid w:val="00DA5FF7"/>
    <w:rsid w:val="00DA645E"/>
    <w:rsid w:val="00DA6736"/>
    <w:rsid w:val="00DA69AD"/>
    <w:rsid w:val="00DA6AB6"/>
    <w:rsid w:val="00DA6F2C"/>
    <w:rsid w:val="00DA7193"/>
    <w:rsid w:val="00DB02BA"/>
    <w:rsid w:val="00DB0F9C"/>
    <w:rsid w:val="00DB20DB"/>
    <w:rsid w:val="00DB2EF1"/>
    <w:rsid w:val="00DB3349"/>
    <w:rsid w:val="00DB3805"/>
    <w:rsid w:val="00DB4898"/>
    <w:rsid w:val="00DB59B4"/>
    <w:rsid w:val="00DB5E96"/>
    <w:rsid w:val="00DB5FA8"/>
    <w:rsid w:val="00DB65F2"/>
    <w:rsid w:val="00DB6F7F"/>
    <w:rsid w:val="00DB7583"/>
    <w:rsid w:val="00DB7608"/>
    <w:rsid w:val="00DB7A44"/>
    <w:rsid w:val="00DB7D16"/>
    <w:rsid w:val="00DB7DC3"/>
    <w:rsid w:val="00DC05D1"/>
    <w:rsid w:val="00DC0B49"/>
    <w:rsid w:val="00DC0FC5"/>
    <w:rsid w:val="00DC18CF"/>
    <w:rsid w:val="00DC1AB3"/>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6CFA"/>
    <w:rsid w:val="00DD74A3"/>
    <w:rsid w:val="00DD7BB9"/>
    <w:rsid w:val="00DD7D8B"/>
    <w:rsid w:val="00DE1289"/>
    <w:rsid w:val="00DE140D"/>
    <w:rsid w:val="00DE145B"/>
    <w:rsid w:val="00DE2753"/>
    <w:rsid w:val="00DE35C1"/>
    <w:rsid w:val="00DE3A56"/>
    <w:rsid w:val="00DE3B5C"/>
    <w:rsid w:val="00DE4008"/>
    <w:rsid w:val="00DE4F6A"/>
    <w:rsid w:val="00DE596D"/>
    <w:rsid w:val="00DE5C4F"/>
    <w:rsid w:val="00DE6CA7"/>
    <w:rsid w:val="00DE6CCB"/>
    <w:rsid w:val="00DE6DDA"/>
    <w:rsid w:val="00DE6EE1"/>
    <w:rsid w:val="00DE7724"/>
    <w:rsid w:val="00DF0116"/>
    <w:rsid w:val="00DF0DCD"/>
    <w:rsid w:val="00DF0E63"/>
    <w:rsid w:val="00DF1316"/>
    <w:rsid w:val="00DF137A"/>
    <w:rsid w:val="00DF14CA"/>
    <w:rsid w:val="00DF222B"/>
    <w:rsid w:val="00DF2995"/>
    <w:rsid w:val="00DF4524"/>
    <w:rsid w:val="00DF4CF1"/>
    <w:rsid w:val="00DF4EF3"/>
    <w:rsid w:val="00DF4FE3"/>
    <w:rsid w:val="00DF50BD"/>
    <w:rsid w:val="00DF559C"/>
    <w:rsid w:val="00DF5669"/>
    <w:rsid w:val="00DF5A3D"/>
    <w:rsid w:val="00DF5AC1"/>
    <w:rsid w:val="00DF60CF"/>
    <w:rsid w:val="00DF6CDC"/>
    <w:rsid w:val="00DF7368"/>
    <w:rsid w:val="00DF76DD"/>
    <w:rsid w:val="00DF7D23"/>
    <w:rsid w:val="00E00076"/>
    <w:rsid w:val="00E002B3"/>
    <w:rsid w:val="00E012E8"/>
    <w:rsid w:val="00E014A8"/>
    <w:rsid w:val="00E015A8"/>
    <w:rsid w:val="00E01887"/>
    <w:rsid w:val="00E02402"/>
    <w:rsid w:val="00E03454"/>
    <w:rsid w:val="00E0391E"/>
    <w:rsid w:val="00E03F31"/>
    <w:rsid w:val="00E04464"/>
    <w:rsid w:val="00E04F95"/>
    <w:rsid w:val="00E05350"/>
    <w:rsid w:val="00E055BD"/>
    <w:rsid w:val="00E05EC9"/>
    <w:rsid w:val="00E05EF3"/>
    <w:rsid w:val="00E06BEC"/>
    <w:rsid w:val="00E072E4"/>
    <w:rsid w:val="00E10412"/>
    <w:rsid w:val="00E10551"/>
    <w:rsid w:val="00E1081E"/>
    <w:rsid w:val="00E10CB5"/>
    <w:rsid w:val="00E11B4C"/>
    <w:rsid w:val="00E11EDE"/>
    <w:rsid w:val="00E12AF5"/>
    <w:rsid w:val="00E1367C"/>
    <w:rsid w:val="00E13989"/>
    <w:rsid w:val="00E13B8B"/>
    <w:rsid w:val="00E13FAD"/>
    <w:rsid w:val="00E149EC"/>
    <w:rsid w:val="00E14E40"/>
    <w:rsid w:val="00E14E82"/>
    <w:rsid w:val="00E16289"/>
    <w:rsid w:val="00E174BB"/>
    <w:rsid w:val="00E17F5D"/>
    <w:rsid w:val="00E20D8E"/>
    <w:rsid w:val="00E21073"/>
    <w:rsid w:val="00E219F6"/>
    <w:rsid w:val="00E21BD0"/>
    <w:rsid w:val="00E21F17"/>
    <w:rsid w:val="00E22454"/>
    <w:rsid w:val="00E23953"/>
    <w:rsid w:val="00E23A68"/>
    <w:rsid w:val="00E23DED"/>
    <w:rsid w:val="00E2419F"/>
    <w:rsid w:val="00E24206"/>
    <w:rsid w:val="00E246C1"/>
    <w:rsid w:val="00E24B84"/>
    <w:rsid w:val="00E25115"/>
    <w:rsid w:val="00E25AE3"/>
    <w:rsid w:val="00E261EB"/>
    <w:rsid w:val="00E2647D"/>
    <w:rsid w:val="00E26854"/>
    <w:rsid w:val="00E3001D"/>
    <w:rsid w:val="00E3002C"/>
    <w:rsid w:val="00E3033C"/>
    <w:rsid w:val="00E31003"/>
    <w:rsid w:val="00E312C2"/>
    <w:rsid w:val="00E332A9"/>
    <w:rsid w:val="00E33AA3"/>
    <w:rsid w:val="00E344E1"/>
    <w:rsid w:val="00E34624"/>
    <w:rsid w:val="00E3475E"/>
    <w:rsid w:val="00E34AD5"/>
    <w:rsid w:val="00E36085"/>
    <w:rsid w:val="00E36561"/>
    <w:rsid w:val="00E36F9E"/>
    <w:rsid w:val="00E3756A"/>
    <w:rsid w:val="00E409FD"/>
    <w:rsid w:val="00E42289"/>
    <w:rsid w:val="00E42E00"/>
    <w:rsid w:val="00E432E9"/>
    <w:rsid w:val="00E43CF2"/>
    <w:rsid w:val="00E442F6"/>
    <w:rsid w:val="00E44EA4"/>
    <w:rsid w:val="00E44F61"/>
    <w:rsid w:val="00E4509B"/>
    <w:rsid w:val="00E45319"/>
    <w:rsid w:val="00E46028"/>
    <w:rsid w:val="00E47DB1"/>
    <w:rsid w:val="00E47E4E"/>
    <w:rsid w:val="00E50065"/>
    <w:rsid w:val="00E5069C"/>
    <w:rsid w:val="00E51A36"/>
    <w:rsid w:val="00E51B50"/>
    <w:rsid w:val="00E51D31"/>
    <w:rsid w:val="00E526B4"/>
    <w:rsid w:val="00E52AED"/>
    <w:rsid w:val="00E530F4"/>
    <w:rsid w:val="00E53496"/>
    <w:rsid w:val="00E534A5"/>
    <w:rsid w:val="00E53C06"/>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61E"/>
    <w:rsid w:val="00E64849"/>
    <w:rsid w:val="00E64C70"/>
    <w:rsid w:val="00E650D7"/>
    <w:rsid w:val="00E65258"/>
    <w:rsid w:val="00E6542E"/>
    <w:rsid w:val="00E65B3B"/>
    <w:rsid w:val="00E65C4D"/>
    <w:rsid w:val="00E6627C"/>
    <w:rsid w:val="00E66C5D"/>
    <w:rsid w:val="00E66D7F"/>
    <w:rsid w:val="00E67501"/>
    <w:rsid w:val="00E67EAD"/>
    <w:rsid w:val="00E7090E"/>
    <w:rsid w:val="00E70A9D"/>
    <w:rsid w:val="00E70CE5"/>
    <w:rsid w:val="00E70DFA"/>
    <w:rsid w:val="00E71349"/>
    <w:rsid w:val="00E719E3"/>
    <w:rsid w:val="00E72C2B"/>
    <w:rsid w:val="00E731B8"/>
    <w:rsid w:val="00E73418"/>
    <w:rsid w:val="00E73605"/>
    <w:rsid w:val="00E73667"/>
    <w:rsid w:val="00E73755"/>
    <w:rsid w:val="00E738F8"/>
    <w:rsid w:val="00E739A5"/>
    <w:rsid w:val="00E741D3"/>
    <w:rsid w:val="00E7434D"/>
    <w:rsid w:val="00E74D93"/>
    <w:rsid w:val="00E75641"/>
    <w:rsid w:val="00E75960"/>
    <w:rsid w:val="00E75ABF"/>
    <w:rsid w:val="00E76CC3"/>
    <w:rsid w:val="00E77301"/>
    <w:rsid w:val="00E77BE3"/>
    <w:rsid w:val="00E80B1A"/>
    <w:rsid w:val="00E8101D"/>
    <w:rsid w:val="00E81379"/>
    <w:rsid w:val="00E81945"/>
    <w:rsid w:val="00E823BF"/>
    <w:rsid w:val="00E82750"/>
    <w:rsid w:val="00E82791"/>
    <w:rsid w:val="00E82911"/>
    <w:rsid w:val="00E83180"/>
    <w:rsid w:val="00E83339"/>
    <w:rsid w:val="00E83D0C"/>
    <w:rsid w:val="00E84758"/>
    <w:rsid w:val="00E8488A"/>
    <w:rsid w:val="00E84906"/>
    <w:rsid w:val="00E85358"/>
    <w:rsid w:val="00E85BCD"/>
    <w:rsid w:val="00E86DD2"/>
    <w:rsid w:val="00E8703B"/>
    <w:rsid w:val="00E87352"/>
    <w:rsid w:val="00E87850"/>
    <w:rsid w:val="00E8799F"/>
    <w:rsid w:val="00E90A98"/>
    <w:rsid w:val="00E90B36"/>
    <w:rsid w:val="00E91620"/>
    <w:rsid w:val="00E91B2D"/>
    <w:rsid w:val="00E92489"/>
    <w:rsid w:val="00E929E2"/>
    <w:rsid w:val="00E92A93"/>
    <w:rsid w:val="00E92C7B"/>
    <w:rsid w:val="00E92EA2"/>
    <w:rsid w:val="00E9330C"/>
    <w:rsid w:val="00E937DA"/>
    <w:rsid w:val="00E93A0C"/>
    <w:rsid w:val="00E95985"/>
    <w:rsid w:val="00E959FA"/>
    <w:rsid w:val="00E95CE7"/>
    <w:rsid w:val="00E95DE1"/>
    <w:rsid w:val="00E961D8"/>
    <w:rsid w:val="00E96B04"/>
    <w:rsid w:val="00E974CB"/>
    <w:rsid w:val="00E97759"/>
    <w:rsid w:val="00EA05DE"/>
    <w:rsid w:val="00EA06B2"/>
    <w:rsid w:val="00EA0E56"/>
    <w:rsid w:val="00EA1131"/>
    <w:rsid w:val="00EA12AE"/>
    <w:rsid w:val="00EA12B6"/>
    <w:rsid w:val="00EA1771"/>
    <w:rsid w:val="00EA2D7D"/>
    <w:rsid w:val="00EA2DE5"/>
    <w:rsid w:val="00EA2E4C"/>
    <w:rsid w:val="00EA36E8"/>
    <w:rsid w:val="00EA3A6B"/>
    <w:rsid w:val="00EA3DE1"/>
    <w:rsid w:val="00EA3EAA"/>
    <w:rsid w:val="00EA3FBA"/>
    <w:rsid w:val="00EA519A"/>
    <w:rsid w:val="00EA5256"/>
    <w:rsid w:val="00EA54CF"/>
    <w:rsid w:val="00EA5629"/>
    <w:rsid w:val="00EA57BA"/>
    <w:rsid w:val="00EA5D8D"/>
    <w:rsid w:val="00EA5FEC"/>
    <w:rsid w:val="00EB0727"/>
    <w:rsid w:val="00EB0748"/>
    <w:rsid w:val="00EB0D4F"/>
    <w:rsid w:val="00EB12CC"/>
    <w:rsid w:val="00EB12D2"/>
    <w:rsid w:val="00EB1CB1"/>
    <w:rsid w:val="00EB2137"/>
    <w:rsid w:val="00EB269A"/>
    <w:rsid w:val="00EB28EC"/>
    <w:rsid w:val="00EB3364"/>
    <w:rsid w:val="00EB338F"/>
    <w:rsid w:val="00EB3442"/>
    <w:rsid w:val="00EB3F2A"/>
    <w:rsid w:val="00EB468C"/>
    <w:rsid w:val="00EB5145"/>
    <w:rsid w:val="00EB5FEB"/>
    <w:rsid w:val="00EB6058"/>
    <w:rsid w:val="00EB60BF"/>
    <w:rsid w:val="00EB6709"/>
    <w:rsid w:val="00EB6EFB"/>
    <w:rsid w:val="00EB72D8"/>
    <w:rsid w:val="00EC029B"/>
    <w:rsid w:val="00EC1A23"/>
    <w:rsid w:val="00EC1BFD"/>
    <w:rsid w:val="00EC1DF4"/>
    <w:rsid w:val="00EC1F67"/>
    <w:rsid w:val="00EC27EE"/>
    <w:rsid w:val="00EC2B61"/>
    <w:rsid w:val="00EC33C9"/>
    <w:rsid w:val="00EC34A5"/>
    <w:rsid w:val="00EC3D2A"/>
    <w:rsid w:val="00EC4815"/>
    <w:rsid w:val="00EC4E6D"/>
    <w:rsid w:val="00EC51A3"/>
    <w:rsid w:val="00EC620C"/>
    <w:rsid w:val="00EC63A6"/>
    <w:rsid w:val="00EC713C"/>
    <w:rsid w:val="00EC7326"/>
    <w:rsid w:val="00EC7348"/>
    <w:rsid w:val="00EC73AE"/>
    <w:rsid w:val="00EC7D6C"/>
    <w:rsid w:val="00EC7F70"/>
    <w:rsid w:val="00ED0094"/>
    <w:rsid w:val="00ED045B"/>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4D5C"/>
    <w:rsid w:val="00EE4E66"/>
    <w:rsid w:val="00EE537D"/>
    <w:rsid w:val="00EE539C"/>
    <w:rsid w:val="00EE5FA4"/>
    <w:rsid w:val="00EE64BA"/>
    <w:rsid w:val="00EE6BD6"/>
    <w:rsid w:val="00EE6BD7"/>
    <w:rsid w:val="00EE7BBB"/>
    <w:rsid w:val="00EF0F2F"/>
    <w:rsid w:val="00EF1366"/>
    <w:rsid w:val="00EF169C"/>
    <w:rsid w:val="00EF3343"/>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384"/>
    <w:rsid w:val="00F0385C"/>
    <w:rsid w:val="00F039F6"/>
    <w:rsid w:val="00F03CC3"/>
    <w:rsid w:val="00F03E06"/>
    <w:rsid w:val="00F05100"/>
    <w:rsid w:val="00F0511B"/>
    <w:rsid w:val="00F05667"/>
    <w:rsid w:val="00F05690"/>
    <w:rsid w:val="00F060DC"/>
    <w:rsid w:val="00F06429"/>
    <w:rsid w:val="00F06B2D"/>
    <w:rsid w:val="00F06B82"/>
    <w:rsid w:val="00F07420"/>
    <w:rsid w:val="00F07611"/>
    <w:rsid w:val="00F079C3"/>
    <w:rsid w:val="00F10BC9"/>
    <w:rsid w:val="00F10CC9"/>
    <w:rsid w:val="00F10DDF"/>
    <w:rsid w:val="00F10F69"/>
    <w:rsid w:val="00F110EB"/>
    <w:rsid w:val="00F11324"/>
    <w:rsid w:val="00F11C8F"/>
    <w:rsid w:val="00F1210E"/>
    <w:rsid w:val="00F12280"/>
    <w:rsid w:val="00F124C1"/>
    <w:rsid w:val="00F12673"/>
    <w:rsid w:val="00F12A02"/>
    <w:rsid w:val="00F13A3F"/>
    <w:rsid w:val="00F14C76"/>
    <w:rsid w:val="00F15A1B"/>
    <w:rsid w:val="00F16296"/>
    <w:rsid w:val="00F16D09"/>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3B3"/>
    <w:rsid w:val="00F27905"/>
    <w:rsid w:val="00F27CD5"/>
    <w:rsid w:val="00F27EFE"/>
    <w:rsid w:val="00F30209"/>
    <w:rsid w:val="00F308D6"/>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189"/>
    <w:rsid w:val="00F4736D"/>
    <w:rsid w:val="00F47781"/>
    <w:rsid w:val="00F50251"/>
    <w:rsid w:val="00F50ACD"/>
    <w:rsid w:val="00F50DF2"/>
    <w:rsid w:val="00F51567"/>
    <w:rsid w:val="00F51E64"/>
    <w:rsid w:val="00F52DE8"/>
    <w:rsid w:val="00F52FB8"/>
    <w:rsid w:val="00F53DF2"/>
    <w:rsid w:val="00F541F6"/>
    <w:rsid w:val="00F547E6"/>
    <w:rsid w:val="00F54A35"/>
    <w:rsid w:val="00F54C22"/>
    <w:rsid w:val="00F55A45"/>
    <w:rsid w:val="00F55AC8"/>
    <w:rsid w:val="00F564B0"/>
    <w:rsid w:val="00F567FE"/>
    <w:rsid w:val="00F56858"/>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031"/>
    <w:rsid w:val="00F6654F"/>
    <w:rsid w:val="00F67742"/>
    <w:rsid w:val="00F679B5"/>
    <w:rsid w:val="00F67DCE"/>
    <w:rsid w:val="00F70A27"/>
    <w:rsid w:val="00F71101"/>
    <w:rsid w:val="00F711C9"/>
    <w:rsid w:val="00F71514"/>
    <w:rsid w:val="00F71605"/>
    <w:rsid w:val="00F71902"/>
    <w:rsid w:val="00F71922"/>
    <w:rsid w:val="00F721D4"/>
    <w:rsid w:val="00F72383"/>
    <w:rsid w:val="00F7276E"/>
    <w:rsid w:val="00F72B82"/>
    <w:rsid w:val="00F73533"/>
    <w:rsid w:val="00F73AF4"/>
    <w:rsid w:val="00F73CD8"/>
    <w:rsid w:val="00F748CE"/>
    <w:rsid w:val="00F75C00"/>
    <w:rsid w:val="00F75FA1"/>
    <w:rsid w:val="00F77073"/>
    <w:rsid w:val="00F7767B"/>
    <w:rsid w:val="00F7791F"/>
    <w:rsid w:val="00F77926"/>
    <w:rsid w:val="00F805A6"/>
    <w:rsid w:val="00F807A8"/>
    <w:rsid w:val="00F818C2"/>
    <w:rsid w:val="00F81916"/>
    <w:rsid w:val="00F82144"/>
    <w:rsid w:val="00F82431"/>
    <w:rsid w:val="00F829D3"/>
    <w:rsid w:val="00F834FA"/>
    <w:rsid w:val="00F837A6"/>
    <w:rsid w:val="00F83AD5"/>
    <w:rsid w:val="00F83D7F"/>
    <w:rsid w:val="00F845F7"/>
    <w:rsid w:val="00F85CF1"/>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52B0"/>
    <w:rsid w:val="00FA58D4"/>
    <w:rsid w:val="00FA64B2"/>
    <w:rsid w:val="00FA698A"/>
    <w:rsid w:val="00FA6F09"/>
    <w:rsid w:val="00FA6F10"/>
    <w:rsid w:val="00FA7AC8"/>
    <w:rsid w:val="00FA7F1D"/>
    <w:rsid w:val="00FB0620"/>
    <w:rsid w:val="00FB073B"/>
    <w:rsid w:val="00FB1A23"/>
    <w:rsid w:val="00FB1A57"/>
    <w:rsid w:val="00FB1FF8"/>
    <w:rsid w:val="00FB4D69"/>
    <w:rsid w:val="00FB52DF"/>
    <w:rsid w:val="00FB69F5"/>
    <w:rsid w:val="00FB7758"/>
    <w:rsid w:val="00FB7D0C"/>
    <w:rsid w:val="00FC0038"/>
    <w:rsid w:val="00FC0651"/>
    <w:rsid w:val="00FC1C67"/>
    <w:rsid w:val="00FC255D"/>
    <w:rsid w:val="00FC258E"/>
    <w:rsid w:val="00FC25A6"/>
    <w:rsid w:val="00FC2627"/>
    <w:rsid w:val="00FC29CF"/>
    <w:rsid w:val="00FC2F14"/>
    <w:rsid w:val="00FC3BD6"/>
    <w:rsid w:val="00FC408B"/>
    <w:rsid w:val="00FC4166"/>
    <w:rsid w:val="00FC4781"/>
    <w:rsid w:val="00FC623B"/>
    <w:rsid w:val="00FC6829"/>
    <w:rsid w:val="00FC6A40"/>
    <w:rsid w:val="00FC6A84"/>
    <w:rsid w:val="00FC730D"/>
    <w:rsid w:val="00FC7476"/>
    <w:rsid w:val="00FC7703"/>
    <w:rsid w:val="00FC79DE"/>
    <w:rsid w:val="00FD081C"/>
    <w:rsid w:val="00FD0C58"/>
    <w:rsid w:val="00FD10F3"/>
    <w:rsid w:val="00FD13B0"/>
    <w:rsid w:val="00FD180C"/>
    <w:rsid w:val="00FD1CAA"/>
    <w:rsid w:val="00FD1D5A"/>
    <w:rsid w:val="00FD1E49"/>
    <w:rsid w:val="00FD2047"/>
    <w:rsid w:val="00FD2416"/>
    <w:rsid w:val="00FD2935"/>
    <w:rsid w:val="00FD2BD2"/>
    <w:rsid w:val="00FD3751"/>
    <w:rsid w:val="00FD3899"/>
    <w:rsid w:val="00FD39CB"/>
    <w:rsid w:val="00FD4396"/>
    <w:rsid w:val="00FD45C3"/>
    <w:rsid w:val="00FD615D"/>
    <w:rsid w:val="00FD6441"/>
    <w:rsid w:val="00FD6605"/>
    <w:rsid w:val="00FD6BDD"/>
    <w:rsid w:val="00FD73B9"/>
    <w:rsid w:val="00FD77A8"/>
    <w:rsid w:val="00FD7A4E"/>
    <w:rsid w:val="00FE0561"/>
    <w:rsid w:val="00FE077A"/>
    <w:rsid w:val="00FE0D8B"/>
    <w:rsid w:val="00FE132F"/>
    <w:rsid w:val="00FE19A3"/>
    <w:rsid w:val="00FE2B17"/>
    <w:rsid w:val="00FE2BC4"/>
    <w:rsid w:val="00FE31D1"/>
    <w:rsid w:val="00FE3476"/>
    <w:rsid w:val="00FE3B3B"/>
    <w:rsid w:val="00FE3D0F"/>
    <w:rsid w:val="00FE3EA1"/>
    <w:rsid w:val="00FE4ED3"/>
    <w:rsid w:val="00FE5590"/>
    <w:rsid w:val="00FE56C2"/>
    <w:rsid w:val="00FE5A56"/>
    <w:rsid w:val="00FE5A7C"/>
    <w:rsid w:val="00FE5D69"/>
    <w:rsid w:val="00FE5F07"/>
    <w:rsid w:val="00FE65E0"/>
    <w:rsid w:val="00FE66DE"/>
    <w:rsid w:val="00FE6FAA"/>
    <w:rsid w:val="00FE7070"/>
    <w:rsid w:val="00FE765B"/>
    <w:rsid w:val="00FF0552"/>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2E26324F-EEB3-455B-8CA4-7787299F9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uiPriority w:val="99"/>
    <w:rPr>
      <w:sz w:val="16"/>
    </w:rPr>
  </w:style>
  <w:style w:type="paragraph" w:customStyle="1" w:styleId="Guidance">
    <w:name w:val="Guidance"/>
    <w:basedOn w:val="a"/>
    <w:rPr>
      <w:i/>
      <w:color w:val="0000FF"/>
    </w:rPr>
  </w:style>
  <w:style w:type="paragraph" w:styleId="af5">
    <w:name w:val="annotation text"/>
    <w:basedOn w:val="a"/>
    <w:link w:val="af6"/>
    <w:uiPriority w:val="99"/>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4">
    <w:name w:val="リスト段落 (文字)"/>
    <w:aliases w:val="- Bullets (文字),목록 단락 (文字)"/>
    <w:link w:val="aff3"/>
    <w:uiPriority w:val="34"/>
    <w:qFormat/>
    <w:rsid w:val="003950DB"/>
    <w:rPr>
      <w:lang w:val="en-GB" w:eastAsia="en-US"/>
    </w:rPr>
  </w:style>
  <w:style w:type="character" w:customStyle="1" w:styleId="TACChar">
    <w:name w:val="TAC Char"/>
    <w:link w:val="TAC"/>
    <w:rsid w:val="0043478D"/>
    <w:rPr>
      <w:rFonts w:ascii="Arial" w:hAnsi="Arial"/>
      <w:sz w:val="18"/>
      <w:lang w:val="en-GB" w:eastAsia="en-US"/>
    </w:rPr>
  </w:style>
  <w:style w:type="paragraph" w:customStyle="1" w:styleId="Comments">
    <w:name w:val="Comments"/>
    <w:basedOn w:val="a"/>
    <w:link w:val="CommentsChar"/>
    <w:qFormat/>
    <w:rsid w:val="009B01C7"/>
    <w:pPr>
      <w:spacing w:before="40" w:after="0"/>
    </w:pPr>
    <w:rPr>
      <w:rFonts w:ascii="Arial" w:hAnsi="Arial"/>
      <w:i/>
      <w:sz w:val="18"/>
      <w:szCs w:val="24"/>
      <w:lang w:eastAsia="en-GB"/>
    </w:rPr>
  </w:style>
  <w:style w:type="character" w:customStyle="1" w:styleId="CommentsChar">
    <w:name w:val="Comments Char"/>
    <w:link w:val="Comments"/>
    <w:rsid w:val="009B01C7"/>
    <w:rPr>
      <w:rFonts w:ascii="Arial"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97771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471348">
      <w:bodyDiv w:val="1"/>
      <w:marLeft w:val="0"/>
      <w:marRight w:val="0"/>
      <w:marTop w:val="0"/>
      <w:marBottom w:val="0"/>
      <w:divBdr>
        <w:top w:val="none" w:sz="0" w:space="0" w:color="auto"/>
        <w:left w:val="none" w:sz="0" w:space="0" w:color="auto"/>
        <w:bottom w:val="none" w:sz="0" w:space="0" w:color="auto"/>
        <w:right w:val="none" w:sz="0" w:space="0" w:color="auto"/>
      </w:divBdr>
      <w:divsChild>
        <w:div w:id="179243348">
          <w:marLeft w:val="1800"/>
          <w:marRight w:val="0"/>
          <w:marTop w:val="77"/>
          <w:marBottom w:val="0"/>
          <w:divBdr>
            <w:top w:val="none" w:sz="0" w:space="0" w:color="auto"/>
            <w:left w:val="none" w:sz="0" w:space="0" w:color="auto"/>
            <w:bottom w:val="none" w:sz="0" w:space="0" w:color="auto"/>
            <w:right w:val="none" w:sz="0" w:space="0" w:color="auto"/>
          </w:divBdr>
        </w:div>
        <w:div w:id="741874759">
          <w:marLeft w:val="2520"/>
          <w:marRight w:val="0"/>
          <w:marTop w:val="67"/>
          <w:marBottom w:val="0"/>
          <w:divBdr>
            <w:top w:val="none" w:sz="0" w:space="0" w:color="auto"/>
            <w:left w:val="none" w:sz="0" w:space="0" w:color="auto"/>
            <w:bottom w:val="none" w:sz="0" w:space="0" w:color="auto"/>
            <w:right w:val="none" w:sz="0" w:space="0" w:color="auto"/>
          </w:divBdr>
        </w:div>
        <w:div w:id="213664473">
          <w:marLeft w:val="1800"/>
          <w:marRight w:val="0"/>
          <w:marTop w:val="77"/>
          <w:marBottom w:val="0"/>
          <w:divBdr>
            <w:top w:val="none" w:sz="0" w:space="0" w:color="auto"/>
            <w:left w:val="none" w:sz="0" w:space="0" w:color="auto"/>
            <w:bottom w:val="none" w:sz="0" w:space="0" w:color="auto"/>
            <w:right w:val="none" w:sz="0" w:space="0" w:color="auto"/>
          </w:divBdr>
        </w:div>
        <w:div w:id="643512230">
          <w:marLeft w:val="2520"/>
          <w:marRight w:val="0"/>
          <w:marTop w:val="67"/>
          <w:marBottom w:val="0"/>
          <w:divBdr>
            <w:top w:val="none" w:sz="0" w:space="0" w:color="auto"/>
            <w:left w:val="none" w:sz="0" w:space="0" w:color="auto"/>
            <w:bottom w:val="none" w:sz="0" w:space="0" w:color="auto"/>
            <w:right w:val="none" w:sz="0" w:space="0" w:color="auto"/>
          </w:divBdr>
        </w:div>
        <w:div w:id="639532989">
          <w:marLeft w:val="2520"/>
          <w:marRight w:val="0"/>
          <w:marTop w:val="67"/>
          <w:marBottom w:val="0"/>
          <w:divBdr>
            <w:top w:val="none" w:sz="0" w:space="0" w:color="auto"/>
            <w:left w:val="none" w:sz="0" w:space="0" w:color="auto"/>
            <w:bottom w:val="none" w:sz="0" w:space="0" w:color="auto"/>
            <w:right w:val="none" w:sz="0" w:space="0" w:color="auto"/>
          </w:divBdr>
        </w:div>
        <w:div w:id="1506357293">
          <w:marLeft w:val="1800"/>
          <w:marRight w:val="0"/>
          <w:marTop w:val="77"/>
          <w:marBottom w:val="0"/>
          <w:divBdr>
            <w:top w:val="none" w:sz="0" w:space="0" w:color="auto"/>
            <w:left w:val="none" w:sz="0" w:space="0" w:color="auto"/>
            <w:bottom w:val="none" w:sz="0" w:space="0" w:color="auto"/>
            <w:right w:val="none" w:sz="0" w:space="0" w:color="auto"/>
          </w:divBdr>
        </w:div>
        <w:div w:id="693462032">
          <w:marLeft w:val="2520"/>
          <w:marRight w:val="0"/>
          <w:marTop w:val="67"/>
          <w:marBottom w:val="0"/>
          <w:divBdr>
            <w:top w:val="none" w:sz="0" w:space="0" w:color="auto"/>
            <w:left w:val="none" w:sz="0" w:space="0" w:color="auto"/>
            <w:bottom w:val="none" w:sz="0" w:space="0" w:color="auto"/>
            <w:right w:val="none" w:sz="0" w:space="0" w:color="auto"/>
          </w:divBdr>
        </w:div>
        <w:div w:id="2063090036">
          <w:marLeft w:val="2520"/>
          <w:marRight w:val="0"/>
          <w:marTop w:val="67"/>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2242439">
      <w:bodyDiv w:val="1"/>
      <w:marLeft w:val="0"/>
      <w:marRight w:val="0"/>
      <w:marTop w:val="0"/>
      <w:marBottom w:val="0"/>
      <w:divBdr>
        <w:top w:val="none" w:sz="0" w:space="0" w:color="auto"/>
        <w:left w:val="none" w:sz="0" w:space="0" w:color="auto"/>
        <w:bottom w:val="none" w:sz="0" w:space="0" w:color="auto"/>
        <w:right w:val="none" w:sz="0" w:space="0" w:color="auto"/>
      </w:divBdr>
      <w:divsChild>
        <w:div w:id="68769372">
          <w:marLeft w:val="1800"/>
          <w:marRight w:val="0"/>
          <w:marTop w:val="77"/>
          <w:marBottom w:val="0"/>
          <w:divBdr>
            <w:top w:val="none" w:sz="0" w:space="0" w:color="auto"/>
            <w:left w:val="none" w:sz="0" w:space="0" w:color="auto"/>
            <w:bottom w:val="none" w:sz="0" w:space="0" w:color="auto"/>
            <w:right w:val="none" w:sz="0" w:space="0" w:color="auto"/>
          </w:divBdr>
        </w:div>
        <w:div w:id="144132693">
          <w:marLeft w:val="2520"/>
          <w:marRight w:val="0"/>
          <w:marTop w:val="67"/>
          <w:marBottom w:val="0"/>
          <w:divBdr>
            <w:top w:val="none" w:sz="0" w:space="0" w:color="auto"/>
            <w:left w:val="none" w:sz="0" w:space="0" w:color="auto"/>
            <w:bottom w:val="none" w:sz="0" w:space="0" w:color="auto"/>
            <w:right w:val="none" w:sz="0" w:space="0" w:color="auto"/>
          </w:divBdr>
        </w:div>
        <w:div w:id="376321631">
          <w:marLeft w:val="1800"/>
          <w:marRight w:val="0"/>
          <w:marTop w:val="77"/>
          <w:marBottom w:val="0"/>
          <w:divBdr>
            <w:top w:val="none" w:sz="0" w:space="0" w:color="auto"/>
            <w:left w:val="none" w:sz="0" w:space="0" w:color="auto"/>
            <w:bottom w:val="none" w:sz="0" w:space="0" w:color="auto"/>
            <w:right w:val="none" w:sz="0" w:space="0" w:color="auto"/>
          </w:divBdr>
        </w:div>
        <w:div w:id="2012217640">
          <w:marLeft w:val="2520"/>
          <w:marRight w:val="0"/>
          <w:marTop w:val="67"/>
          <w:marBottom w:val="0"/>
          <w:divBdr>
            <w:top w:val="none" w:sz="0" w:space="0" w:color="auto"/>
            <w:left w:val="none" w:sz="0" w:space="0" w:color="auto"/>
            <w:bottom w:val="none" w:sz="0" w:space="0" w:color="auto"/>
            <w:right w:val="none" w:sz="0" w:space="0" w:color="auto"/>
          </w:divBdr>
        </w:div>
        <w:div w:id="582953216">
          <w:marLeft w:val="2520"/>
          <w:marRight w:val="0"/>
          <w:marTop w:val="67"/>
          <w:marBottom w:val="0"/>
          <w:divBdr>
            <w:top w:val="none" w:sz="0" w:space="0" w:color="auto"/>
            <w:left w:val="none" w:sz="0" w:space="0" w:color="auto"/>
            <w:bottom w:val="none" w:sz="0" w:space="0" w:color="auto"/>
            <w:right w:val="none" w:sz="0" w:space="0" w:color="auto"/>
          </w:divBdr>
        </w:div>
        <w:div w:id="564335901">
          <w:marLeft w:val="1800"/>
          <w:marRight w:val="0"/>
          <w:marTop w:val="77"/>
          <w:marBottom w:val="0"/>
          <w:divBdr>
            <w:top w:val="none" w:sz="0" w:space="0" w:color="auto"/>
            <w:left w:val="none" w:sz="0" w:space="0" w:color="auto"/>
            <w:bottom w:val="none" w:sz="0" w:space="0" w:color="auto"/>
            <w:right w:val="none" w:sz="0" w:space="0" w:color="auto"/>
          </w:divBdr>
        </w:div>
        <w:div w:id="156190834">
          <w:marLeft w:val="2520"/>
          <w:marRight w:val="0"/>
          <w:marTop w:val="67"/>
          <w:marBottom w:val="0"/>
          <w:divBdr>
            <w:top w:val="none" w:sz="0" w:space="0" w:color="auto"/>
            <w:left w:val="none" w:sz="0" w:space="0" w:color="auto"/>
            <w:bottom w:val="none" w:sz="0" w:space="0" w:color="auto"/>
            <w:right w:val="none" w:sz="0" w:space="0" w:color="auto"/>
          </w:divBdr>
        </w:div>
        <w:div w:id="1285304105">
          <w:marLeft w:val="2520"/>
          <w:marRight w:val="0"/>
          <w:marTop w:val="67"/>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F41DB4-BB6E-4AB0-A5FF-0809901A2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1463</Words>
  <Characters>8344</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05</cp:lastModifiedBy>
  <cp:revision>26</cp:revision>
  <cp:lastPrinted>2010-04-02T09:58:00Z</cp:lastPrinted>
  <dcterms:created xsi:type="dcterms:W3CDTF">2018-02-14T12:25:00Z</dcterms:created>
  <dcterms:modified xsi:type="dcterms:W3CDTF">2018-02-16T04:33:00Z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