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3055AC07" w:rsidR="00EE53DC" w:rsidRPr="000669AA" w:rsidRDefault="00EE53DC" w:rsidP="00EE53DC">
      <w:pPr>
        <w:tabs>
          <w:tab w:val="left" w:pos="1985"/>
        </w:tabs>
        <w:rPr>
          <w:rFonts w:ascii="Arial" w:eastAsia="맑은 고딕" w:hAnsi="Arial" w:cs="Arial"/>
          <w:b/>
          <w:bCs/>
          <w:sz w:val="28"/>
        </w:rPr>
      </w:pPr>
      <w:bookmarkStart w:id="0" w:name="OLE_LINK1"/>
      <w:bookmarkStart w:id="1" w:name="OLE_LINK2"/>
      <w:bookmarkStart w:id="2" w:name="_GoBack"/>
      <w:bookmarkEnd w:id="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0669AA">
        <w:rPr>
          <w:rFonts w:ascii="Arial" w:eastAsia="맑은 고딕" w:hAnsi="Arial" w:cs="Arial"/>
          <w:b/>
          <w:bCs/>
          <w:sz w:val="28"/>
        </w:rPr>
        <w:t>#92</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sidR="00383215">
        <w:rPr>
          <w:rFonts w:ascii="Arial" w:eastAsia="맑은 고딕" w:hAnsi="Arial" w:cs="Arial" w:hint="eastAsia"/>
          <w:b/>
          <w:bCs/>
          <w:sz w:val="28"/>
        </w:rPr>
        <w:t>1</w:t>
      </w:r>
      <w:r w:rsidR="00EE6F8D">
        <w:rPr>
          <w:rFonts w:ascii="Arial" w:eastAsia="맑은 고딕" w:hAnsi="Arial" w:cs="Arial"/>
          <w:b/>
          <w:bCs/>
          <w:sz w:val="28"/>
        </w:rPr>
        <w:t>802206</w:t>
      </w:r>
    </w:p>
    <w:p w14:paraId="3D07D895" w14:textId="26E59623" w:rsidR="006B3E50" w:rsidRPr="002031E8" w:rsidRDefault="000669AA" w:rsidP="00EE53DC">
      <w:pPr>
        <w:tabs>
          <w:tab w:val="center" w:pos="4536"/>
          <w:tab w:val="right" w:pos="9072"/>
        </w:tabs>
        <w:rPr>
          <w:rFonts w:ascii="Times New Roman"/>
          <w:b/>
          <w:bCs/>
          <w:sz w:val="28"/>
        </w:rPr>
      </w:pPr>
      <w:r>
        <w:rPr>
          <w:rFonts w:ascii="Arial" w:eastAsia="맑은 고딕" w:hAnsi="Arial" w:cs="Arial"/>
          <w:b/>
          <w:bCs/>
          <w:sz w:val="28"/>
        </w:rPr>
        <w:t>Athens</w:t>
      </w:r>
      <w:r w:rsidR="00EE53DC">
        <w:rPr>
          <w:rFonts w:ascii="Arial" w:eastAsia="맑은 고딕" w:hAnsi="Arial" w:cs="Arial" w:hint="eastAsia"/>
          <w:b/>
          <w:bCs/>
          <w:sz w:val="28"/>
        </w:rPr>
        <w:t xml:space="preserve">, </w:t>
      </w:r>
      <w:r>
        <w:rPr>
          <w:rFonts w:ascii="Arial" w:eastAsia="맑은 고딕" w:hAnsi="Arial" w:cs="Arial"/>
          <w:b/>
          <w:bCs/>
          <w:sz w:val="28"/>
        </w:rPr>
        <w:t>Greece</w:t>
      </w:r>
      <w:r w:rsidR="00444F45">
        <w:rPr>
          <w:rFonts w:ascii="Arial" w:eastAsia="맑은 고딕" w:hAnsi="Arial" w:cs="Arial" w:hint="eastAsia"/>
          <w:b/>
          <w:bCs/>
          <w:sz w:val="28"/>
        </w:rPr>
        <w:t xml:space="preserve">, </w:t>
      </w:r>
      <w:r>
        <w:rPr>
          <w:rFonts w:ascii="Arial" w:eastAsia="맑은 고딕" w:hAnsi="Arial" w:cs="Arial"/>
          <w:b/>
          <w:bCs/>
          <w:sz w:val="28"/>
        </w:rPr>
        <w:t>February 26</w:t>
      </w:r>
      <w:r>
        <w:rPr>
          <w:rFonts w:ascii="Arial" w:eastAsia="맑은 고딕" w:hAnsi="Arial" w:cs="Arial"/>
          <w:b/>
          <w:bCs/>
          <w:sz w:val="28"/>
          <w:vertAlign w:val="superscript"/>
        </w:rPr>
        <w:t>th</w:t>
      </w:r>
      <w:r w:rsidR="00C30E7C">
        <w:rPr>
          <w:rFonts w:ascii="Arial" w:eastAsia="맑은 고딕" w:hAnsi="Arial" w:cs="Arial"/>
          <w:b/>
          <w:bCs/>
          <w:sz w:val="28"/>
        </w:rPr>
        <w:t xml:space="preserve"> – </w:t>
      </w:r>
      <w:r>
        <w:rPr>
          <w:rFonts w:ascii="Arial" w:eastAsia="맑은 고딕" w:hAnsi="Arial" w:cs="Arial"/>
          <w:b/>
          <w:bCs/>
          <w:sz w:val="28"/>
        </w:rPr>
        <w:t>March 2</w:t>
      </w:r>
      <w:r>
        <w:rPr>
          <w:rFonts w:ascii="Arial" w:eastAsia="맑은 고딕" w:hAnsi="Arial" w:cs="Arial"/>
          <w:b/>
          <w:bCs/>
          <w:sz w:val="28"/>
          <w:vertAlign w:val="superscript"/>
        </w:rPr>
        <w:t>nd</w:t>
      </w:r>
      <w:r w:rsidR="00C30E7C">
        <w:rPr>
          <w:rFonts w:ascii="Arial" w:eastAsia="맑은 고딕" w:hAnsi="Arial" w:cs="Arial"/>
          <w:b/>
          <w:bCs/>
          <w:sz w:val="28"/>
        </w:rPr>
        <w:t>,</w:t>
      </w:r>
      <w:r w:rsidR="00EE53DC">
        <w:rPr>
          <w:rFonts w:ascii="Arial" w:eastAsia="맑은 고딕" w:hAnsi="Arial" w:cs="Arial" w:hint="eastAsia"/>
          <w:b/>
          <w:bCs/>
          <w:sz w:val="28"/>
        </w:rPr>
        <w:t xml:space="preserve"> 201</w:t>
      </w:r>
      <w:r w:rsidR="00383215">
        <w:rPr>
          <w:rFonts w:ascii="Arial" w:eastAsia="맑은 고딕" w:hAnsi="Arial" w:cs="Arial" w:hint="eastAsia"/>
          <w:b/>
          <w:bCs/>
          <w:sz w:val="28"/>
        </w:rPr>
        <w:t>8</w:t>
      </w:r>
    </w:p>
    <w:p w14:paraId="710C9E79" w14:textId="0D690204"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734D19">
        <w:rPr>
          <w:rFonts w:ascii="Arial" w:hAnsi="Arial" w:cs="Arial"/>
          <w:snapToGrid w:val="0"/>
          <w:sz w:val="24"/>
        </w:rPr>
        <w:t>.1.3</w:t>
      </w:r>
      <w:r w:rsidR="00856CEF">
        <w:rPr>
          <w:rFonts w:ascii="Arial" w:hAnsi="Arial" w:cs="Arial"/>
          <w:snapToGrid w:val="0"/>
          <w:sz w:val="24"/>
        </w:rPr>
        <w:t>.</w:t>
      </w:r>
      <w:r w:rsidR="00383215">
        <w:rPr>
          <w:rFonts w:ascii="Arial" w:hAnsi="Arial" w:cs="Arial"/>
          <w:snapToGrid w:val="0"/>
          <w:sz w:val="24"/>
        </w:rPr>
        <w:t>1</w:t>
      </w:r>
      <w:r w:rsidR="000669AA">
        <w:rPr>
          <w:rFonts w:ascii="Arial" w:hAnsi="Arial" w:cs="Arial"/>
          <w:snapToGrid w:val="0"/>
          <w:sz w:val="24"/>
        </w:rPr>
        <w:t>.1</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6E192E5F"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636549">
        <w:rPr>
          <w:rFonts w:ascii="Arial" w:hAnsi="Arial" w:cs="Arial" w:hint="eastAsia"/>
          <w:snapToGrid w:val="0"/>
          <w:sz w:val="24"/>
        </w:rPr>
        <w:t xml:space="preserve">Remaining </w:t>
      </w:r>
      <w:r w:rsidR="00383215">
        <w:rPr>
          <w:rFonts w:ascii="Arial" w:hAnsi="Arial" w:cs="Arial"/>
          <w:snapToGrid w:val="0"/>
          <w:sz w:val="24"/>
        </w:rPr>
        <w:t>issues</w:t>
      </w:r>
      <w:r w:rsidR="00636549">
        <w:rPr>
          <w:rFonts w:ascii="Arial" w:hAnsi="Arial" w:cs="Arial" w:hint="eastAsia"/>
          <w:snapToGrid w:val="0"/>
          <w:sz w:val="24"/>
        </w:rPr>
        <w:t xml:space="preserve"> on </w:t>
      </w:r>
      <w:r w:rsidR="00383215">
        <w:rPr>
          <w:rFonts w:ascii="Arial" w:hAnsi="Arial" w:cs="Arial"/>
          <w:snapToGrid w:val="0"/>
          <w:sz w:val="24"/>
        </w:rPr>
        <w:t>PDCCH structure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24D63433" w14:textId="4689D377" w:rsidR="006B58E2" w:rsidRDefault="006B58E2" w:rsidP="002031E8">
      <w:pPr>
        <w:pStyle w:val="LGTdoc0"/>
        <w:spacing w:before="120" w:afterLines="0" w:line="240" w:lineRule="auto"/>
        <w:rPr>
          <w:szCs w:val="22"/>
          <w:lang w:val="en-US"/>
        </w:rPr>
      </w:pPr>
      <w:r>
        <w:rPr>
          <w:rFonts w:hint="eastAsia"/>
          <w:szCs w:val="22"/>
          <w:lang w:val="en-US"/>
        </w:rPr>
        <w:t xml:space="preserve">In previous meeting, </w:t>
      </w:r>
      <w:r>
        <w:rPr>
          <w:szCs w:val="22"/>
          <w:lang w:val="en-US"/>
        </w:rPr>
        <w:t xml:space="preserve">it was agreed that CORESET ID of the CORESET configured by PBCH is 0, while configuration of the CORESET#0 is still FFS. In addition, </w:t>
      </w:r>
      <w:r w:rsidR="00E81632">
        <w:rPr>
          <w:szCs w:val="22"/>
          <w:lang w:val="en-US"/>
        </w:rPr>
        <w:t>UE’s behavior when a CORESET is overlapped with other signals such as SSB and RMR needs to be defined. In this contribution, we discuss those issues.</w:t>
      </w:r>
    </w:p>
    <w:p w14:paraId="33F99936" w14:textId="77777777" w:rsidR="006B3E50" w:rsidRPr="0056447D" w:rsidRDefault="006B3E50" w:rsidP="00E0680A">
      <w:pPr>
        <w:pStyle w:val="LGTdoc0"/>
        <w:spacing w:afterLines="0" w:after="0" w:line="240" w:lineRule="exact"/>
        <w:rPr>
          <w:szCs w:val="22"/>
          <w:lang w:val="en-US"/>
        </w:rPr>
      </w:pPr>
    </w:p>
    <w:p w14:paraId="09778303" w14:textId="77777777"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14:paraId="48E9CE20" w14:textId="4C60C58E" w:rsidR="000F05B0" w:rsidRPr="000F05B0" w:rsidRDefault="00F32E92" w:rsidP="00977385">
      <w:pPr>
        <w:pStyle w:val="LGTdoc1"/>
        <w:numPr>
          <w:ilvl w:val="1"/>
          <w:numId w:val="3"/>
        </w:numPr>
        <w:spacing w:beforeLines="0" w:after="0" w:afterAutospacing="0"/>
        <w:rPr>
          <w:sz w:val="24"/>
          <w:szCs w:val="24"/>
          <w:lang w:val="en-US"/>
        </w:rPr>
      </w:pPr>
      <w:r>
        <w:rPr>
          <w:sz w:val="24"/>
          <w:szCs w:val="24"/>
          <w:lang w:val="en-US"/>
        </w:rPr>
        <w:t xml:space="preserve">Configuration of </w:t>
      </w:r>
      <w:r w:rsidR="00C24971">
        <w:rPr>
          <w:sz w:val="24"/>
          <w:szCs w:val="24"/>
          <w:lang w:val="en-US"/>
        </w:rPr>
        <w:t>CORESET</w:t>
      </w:r>
      <w:r w:rsidR="003C44F0">
        <w:rPr>
          <w:sz w:val="24"/>
          <w:szCs w:val="24"/>
          <w:lang w:val="en-US"/>
        </w:rPr>
        <w:t>#0</w:t>
      </w:r>
      <w:r w:rsidR="00C24971">
        <w:rPr>
          <w:sz w:val="24"/>
          <w:szCs w:val="24"/>
          <w:lang w:val="en-US"/>
        </w:rPr>
        <w:t xml:space="preserve"> </w:t>
      </w:r>
    </w:p>
    <w:p w14:paraId="747E0199" w14:textId="0C4208DB" w:rsidR="00DD6E51" w:rsidRDefault="003171CA" w:rsidP="00114ABE">
      <w:pPr>
        <w:pStyle w:val="LGTdoc0"/>
        <w:tabs>
          <w:tab w:val="center" w:pos="4686"/>
        </w:tabs>
        <w:spacing w:before="120" w:afterLines="0" w:line="240" w:lineRule="auto"/>
      </w:pPr>
      <w:r>
        <w:rPr>
          <w:szCs w:val="22"/>
          <w:lang w:val="en-US"/>
        </w:rPr>
        <w:t xml:space="preserve">According to </w:t>
      </w:r>
      <w:r w:rsidR="00DD6E51">
        <w:rPr>
          <w:szCs w:val="22"/>
          <w:lang w:val="en-US"/>
        </w:rPr>
        <w:t>a current specification</w:t>
      </w:r>
      <w:r w:rsidR="00114ABE">
        <w:rPr>
          <w:szCs w:val="22"/>
          <w:lang w:val="en-US"/>
        </w:rPr>
        <w:t xml:space="preserve">, </w:t>
      </w:r>
      <w:r w:rsidR="00DD6E51">
        <w:rPr>
          <w:szCs w:val="22"/>
          <w:lang w:val="en-US"/>
        </w:rPr>
        <w:t xml:space="preserve">a UE determines a number of consecutive resource blocks and a number of consecutive symbols for the control resource set of Type0-PDCCH common search space from the first four bits of </w:t>
      </w:r>
      <w:r w:rsidR="00DD6E51" w:rsidRPr="00DD6E51">
        <w:rPr>
          <w:i/>
          <w:szCs w:val="22"/>
          <w:lang w:val="en-US"/>
        </w:rPr>
        <w:t>RMSI-PDCCH-Config</w:t>
      </w:r>
      <w:r w:rsidR="00D3701C">
        <w:rPr>
          <w:i/>
          <w:szCs w:val="22"/>
          <w:lang w:val="en-US"/>
        </w:rPr>
        <w:t xml:space="preserve"> </w:t>
      </w:r>
      <w:r w:rsidR="00D3701C" w:rsidRPr="00D3701C">
        <w:rPr>
          <w:szCs w:val="22"/>
          <w:lang w:val="en-US"/>
        </w:rPr>
        <w:t>(included in MIB)</w:t>
      </w:r>
      <w:r w:rsidR="00DD6E51">
        <w:rPr>
          <w:szCs w:val="22"/>
          <w:lang w:val="en-US"/>
        </w:rPr>
        <w:t xml:space="preserve"> and determines PDCCH monitoring occasions from the second four bits of </w:t>
      </w:r>
      <w:r w:rsidR="00DD6E51" w:rsidRPr="00DD6E51">
        <w:rPr>
          <w:i/>
          <w:szCs w:val="22"/>
          <w:lang w:val="en-US"/>
        </w:rPr>
        <w:t>RMSI-PDCCH-Config</w:t>
      </w:r>
      <w:r w:rsidR="00DD6E51">
        <w:rPr>
          <w:szCs w:val="22"/>
          <w:lang w:val="en-US"/>
        </w:rPr>
        <w:t xml:space="preserve">. In addition, a REG bundle size of </w:t>
      </w:r>
      <w:r w:rsidR="00D3701C">
        <w:rPr>
          <w:szCs w:val="22"/>
          <w:lang w:val="en-US"/>
        </w:rPr>
        <w:t>CORESET#0</w:t>
      </w:r>
      <w:r w:rsidR="00DD6E51">
        <w:rPr>
          <w:szCs w:val="22"/>
          <w:lang w:val="en-US"/>
        </w:rPr>
        <w:t xml:space="preserve"> is fixed to 6. Other parameters for </w:t>
      </w:r>
      <w:r w:rsidR="00D3701C">
        <w:rPr>
          <w:szCs w:val="22"/>
          <w:lang w:val="en-US"/>
        </w:rPr>
        <w:t>CORESET#0</w:t>
      </w:r>
      <w:r w:rsidR="00DD6E51">
        <w:rPr>
          <w:szCs w:val="22"/>
          <w:lang w:val="en-US"/>
        </w:rPr>
        <w:t xml:space="preserve"> configuration such as CCE-to-REG mapping</w:t>
      </w:r>
      <w:r w:rsidR="004D51B2">
        <w:rPr>
          <w:szCs w:val="22"/>
          <w:lang w:val="en-US"/>
        </w:rPr>
        <w:t xml:space="preserve"> (i.e., with/without interleaving),</w:t>
      </w:r>
      <w:r w:rsidR="00DD6E51">
        <w:rPr>
          <w:szCs w:val="22"/>
          <w:lang w:val="en-US"/>
        </w:rPr>
        <w:t xml:space="preserve"> </w:t>
      </w:r>
      <w:r w:rsidR="004D51B2">
        <w:rPr>
          <w:szCs w:val="22"/>
          <w:lang w:val="en-US"/>
        </w:rPr>
        <w:t xml:space="preserve">interleaver size (i.e., </w:t>
      </w:r>
      <w:r w:rsidR="004D51B2" w:rsidRPr="001E7FC1">
        <w:rPr>
          <w:position w:val="-10"/>
        </w:rPr>
        <w:object w:dxaOrig="920" w:dyaOrig="300" w14:anchorId="029EC4EB">
          <v:shape id="_x0000_i1025" type="#_x0000_t75" style="width:45.35pt;height:14.95pt" o:ole="">
            <v:imagedata r:id="rId8" o:title=""/>
          </v:shape>
          <o:OLEObject Type="Embed" ProgID="Equation.3" ShapeID="_x0000_i1025" DrawAspect="Content" ObjectID="_1580198340" r:id="rId9"/>
        </w:object>
      </w:r>
      <w:r w:rsidR="004D51B2">
        <w:t>)</w:t>
      </w:r>
      <w:r w:rsidR="00DC1F9B">
        <w:t xml:space="preserve"> are still FFS.</w:t>
      </w:r>
    </w:p>
    <w:p w14:paraId="059D8324" w14:textId="38D212E3" w:rsidR="00DC1F9B" w:rsidRDefault="00DC1F9B" w:rsidP="00114ABE">
      <w:pPr>
        <w:pStyle w:val="LGTdoc0"/>
        <w:tabs>
          <w:tab w:val="center" w:pos="4686"/>
        </w:tabs>
        <w:spacing w:before="120" w:afterLines="0" w:line="240" w:lineRule="auto"/>
      </w:pPr>
      <w:r>
        <w:t xml:space="preserve">Regarding the CCE-to-REG mapping, </w:t>
      </w:r>
      <w:r w:rsidR="003C44F0">
        <w:t xml:space="preserve">in order to achieve frequency diversity gain, each candidate should be evenly distributed within the CORESET. And </w:t>
      </w:r>
      <w:r>
        <w:t xml:space="preserve">it is natural to use </w:t>
      </w:r>
      <w:r w:rsidR="00D3701C">
        <w:t xml:space="preserve">transmit diversity scheme (rather than UE-dedicated beamforming) </w:t>
      </w:r>
      <w:r>
        <w:t>for a CORESET</w:t>
      </w:r>
      <w:r w:rsidR="00D3701C">
        <w:t>#0</w:t>
      </w:r>
      <w:r>
        <w:t xml:space="preserve">, because </w:t>
      </w:r>
      <w:r w:rsidR="003C44F0">
        <w:t>common</w:t>
      </w:r>
      <w:r>
        <w:t xml:space="preserve"> signal is mainly transmitted in the CORESET. Therefore, REG bundle level interleaving is suitable </w:t>
      </w:r>
      <w:r w:rsidR="003C44F0">
        <w:t>as a CCE-to-REG mapping of</w:t>
      </w:r>
      <w:r>
        <w:t xml:space="preserve"> </w:t>
      </w:r>
      <w:r w:rsidR="003C44F0">
        <w:t>the</w:t>
      </w:r>
      <w:r>
        <w:t xml:space="preserve"> CORESET</w:t>
      </w:r>
      <w:r w:rsidR="003C44F0">
        <w:t>#0</w:t>
      </w:r>
      <w:r>
        <w:t xml:space="preserve">. </w:t>
      </w:r>
    </w:p>
    <w:p w14:paraId="454F0706" w14:textId="2536F588" w:rsidR="00F32E92" w:rsidRDefault="00DC1F9B" w:rsidP="00114ABE">
      <w:pPr>
        <w:pStyle w:val="LGTdoc0"/>
        <w:tabs>
          <w:tab w:val="center" w:pos="4686"/>
        </w:tabs>
        <w:spacing w:before="120" w:afterLines="0" w:line="240" w:lineRule="auto"/>
      </w:pPr>
      <w:r>
        <w:t xml:space="preserve">Regarding the interleaver size, since AL4 and 8 are mainly used in </w:t>
      </w:r>
      <w:r w:rsidR="00623C3E">
        <w:t>CORESET#0</w:t>
      </w:r>
      <w:r>
        <w:t>, an interleaver size of 4 could be considered for an even distribution of REG bundle</w:t>
      </w:r>
      <w:r w:rsidR="005E15D6">
        <w:t>s</w:t>
      </w:r>
      <w:r>
        <w:t>.</w:t>
      </w:r>
      <w:r w:rsidR="005E15D6">
        <w:t xml:space="preserve"> If the interleaver size should be selected among {2,3,6}, </w:t>
      </w:r>
      <w:r w:rsidR="00D354E8">
        <w:t xml:space="preserve">only </w:t>
      </w:r>
      <w:r w:rsidR="00837893">
        <w:t xml:space="preserve">the size of </w:t>
      </w:r>
      <w:r w:rsidR="00D354E8">
        <w:t xml:space="preserve">2 </w:t>
      </w:r>
      <w:r w:rsidR="00344C74">
        <w:rPr>
          <w:rFonts w:hint="eastAsia"/>
        </w:rPr>
        <w:t xml:space="preserve">can </w:t>
      </w:r>
      <w:r w:rsidR="00344C74">
        <w:t>be used for</w:t>
      </w:r>
      <w:r w:rsidR="00623C3E">
        <w:t xml:space="preserve"> all possible cases</w:t>
      </w:r>
      <w:r w:rsidR="00C12062">
        <w:t xml:space="preserve"> </w:t>
      </w:r>
      <w:r w:rsidR="00D354E8">
        <w:t>by current specification. A</w:t>
      </w:r>
      <w:r w:rsidR="005E15D6">
        <w:t xml:space="preserve">ccording to </w:t>
      </w:r>
      <w:r w:rsidR="00F32E92">
        <w:t>previous agreement</w:t>
      </w:r>
      <w:r w:rsidR="005E15D6">
        <w:t xml:space="preserve">, </w:t>
      </w:r>
      <w:r w:rsidR="00623C3E">
        <w:t>the UE is not expected to handle configurations resulting in the quantity C not being an integer, and the C is defined as</w:t>
      </w:r>
      <w:r w:rsidR="00F32E92">
        <w:t xml:space="preserve"> </w:t>
      </w:r>
      <m:oMath>
        <m:f>
          <m:fPr>
            <m:ctrlPr>
              <w:rPr>
                <w:rFonts w:ascii="Cambria Math" w:hAnsi="Cambria Math"/>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num>
          <m:den>
            <m:r>
              <w:rPr>
                <w:rFonts w:ascii="Cambria Math" w:hAnsi="Cambria Math"/>
              </w:rPr>
              <m:t>LR</m:t>
            </m:r>
          </m:den>
        </m:f>
      </m:oMath>
      <w:r w:rsidR="005E15D6">
        <w:rPr>
          <w:rFonts w:hint="eastAsia"/>
        </w:rPr>
        <w:t xml:space="preserve">. </w:t>
      </w:r>
      <w:r w:rsidR="00F32E92">
        <w:t>It means that possible interleaver size (R) is restricted by the total number of REGs in the CORESET#0</w:t>
      </w:r>
      <w:r w:rsidR="00934F6A">
        <w:t>, because L is fixed as 6 in CORESET#0</w:t>
      </w:r>
      <w:r w:rsidR="00F32E92">
        <w:t xml:space="preserve">. In other words, </w:t>
      </w:r>
      <w:r w:rsidR="00934F6A">
        <w:t xml:space="preserve">if </w:t>
      </w:r>
      <m:oMath>
        <m:f>
          <m:fPr>
            <m:ctrlPr>
              <w:rPr>
                <w:rFonts w:ascii="Cambria Math" w:hAnsi="Cambria Math"/>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num>
          <m:den>
            <m:r>
              <w:rPr>
                <w:rFonts w:ascii="Cambria Math" w:hAnsi="Cambria Math"/>
              </w:rPr>
              <m:t>6</m:t>
            </m:r>
          </m:den>
        </m:f>
      </m:oMath>
      <w:r w:rsidR="00934F6A">
        <w:t xml:space="preserve"> is not multiple of an interleaver size, the interleaver size cannot be used for CORSET#0. Table 1 shows possible interleaver size for each number of REGs. </w:t>
      </w:r>
    </w:p>
    <w:tbl>
      <w:tblPr>
        <w:tblStyle w:val="aa"/>
        <w:tblW w:w="0" w:type="auto"/>
        <w:jc w:val="center"/>
        <w:tblLook w:val="04A0" w:firstRow="1" w:lastRow="0" w:firstColumn="1" w:lastColumn="0" w:noHBand="0" w:noVBand="1"/>
      </w:tblPr>
      <w:tblGrid>
        <w:gridCol w:w="1914"/>
        <w:gridCol w:w="1049"/>
        <w:gridCol w:w="1049"/>
        <w:gridCol w:w="1049"/>
        <w:gridCol w:w="1049"/>
        <w:gridCol w:w="1049"/>
        <w:gridCol w:w="1049"/>
        <w:gridCol w:w="1049"/>
      </w:tblGrid>
      <w:tr w:rsidR="00934F6A" w14:paraId="0ED16173" w14:textId="77777777" w:rsidTr="00934F6A">
        <w:trPr>
          <w:jc w:val="center"/>
        </w:trPr>
        <w:tc>
          <w:tcPr>
            <w:tcW w:w="1914" w:type="dxa"/>
          </w:tcPr>
          <w:p w14:paraId="2790D40A" w14:textId="77777777" w:rsidR="00934F6A" w:rsidRPr="00934F6A" w:rsidRDefault="00934F6A" w:rsidP="00CB1889">
            <w:pPr>
              <w:jc w:val="left"/>
              <w:rPr>
                <w:rFonts w:ascii="Times New Roman"/>
                <w:sz w:val="22"/>
                <w:lang w:val="en-GB"/>
              </w:rPr>
            </w:pPr>
            <w:r w:rsidRPr="00934F6A">
              <w:rPr>
                <w:rFonts w:ascii="Times New Roman" w:hint="eastAsia"/>
                <w:sz w:val="22"/>
                <w:lang w:val="en-GB"/>
              </w:rPr>
              <w:t># of REGs</w:t>
            </w:r>
          </w:p>
        </w:tc>
        <w:tc>
          <w:tcPr>
            <w:tcW w:w="1049" w:type="dxa"/>
          </w:tcPr>
          <w:p w14:paraId="7A2349B0" w14:textId="77777777" w:rsidR="00934F6A" w:rsidRPr="00934F6A" w:rsidRDefault="00934F6A" w:rsidP="00CB1889">
            <w:pPr>
              <w:rPr>
                <w:rFonts w:ascii="Times New Roman"/>
                <w:sz w:val="22"/>
                <w:lang w:val="en-GB"/>
              </w:rPr>
            </w:pPr>
            <w:r w:rsidRPr="00934F6A">
              <w:rPr>
                <w:rFonts w:ascii="Times New Roman" w:hint="eastAsia"/>
                <w:sz w:val="22"/>
                <w:lang w:val="en-GB"/>
              </w:rPr>
              <w:t>24</w:t>
            </w:r>
          </w:p>
        </w:tc>
        <w:tc>
          <w:tcPr>
            <w:tcW w:w="1049" w:type="dxa"/>
          </w:tcPr>
          <w:p w14:paraId="36CEDEC6" w14:textId="77777777" w:rsidR="00934F6A" w:rsidRPr="00934F6A" w:rsidRDefault="00934F6A" w:rsidP="00CB1889">
            <w:pPr>
              <w:rPr>
                <w:rFonts w:ascii="Times New Roman"/>
                <w:sz w:val="22"/>
                <w:lang w:val="en-GB"/>
              </w:rPr>
            </w:pPr>
            <w:r w:rsidRPr="00934F6A">
              <w:rPr>
                <w:rFonts w:ascii="Times New Roman" w:hint="eastAsia"/>
                <w:sz w:val="22"/>
                <w:lang w:val="en-GB"/>
              </w:rPr>
              <w:t>48</w:t>
            </w:r>
          </w:p>
        </w:tc>
        <w:tc>
          <w:tcPr>
            <w:tcW w:w="1049" w:type="dxa"/>
          </w:tcPr>
          <w:p w14:paraId="394512E5" w14:textId="77777777" w:rsidR="00934F6A" w:rsidRPr="00934F6A" w:rsidRDefault="00934F6A" w:rsidP="00CB1889">
            <w:pPr>
              <w:rPr>
                <w:rFonts w:ascii="Times New Roman"/>
                <w:sz w:val="22"/>
                <w:lang w:val="en-GB"/>
              </w:rPr>
            </w:pPr>
            <w:r w:rsidRPr="00934F6A">
              <w:rPr>
                <w:rFonts w:ascii="Times New Roman" w:hint="eastAsia"/>
                <w:sz w:val="22"/>
                <w:lang w:val="en-GB"/>
              </w:rPr>
              <w:t>72</w:t>
            </w:r>
          </w:p>
        </w:tc>
        <w:tc>
          <w:tcPr>
            <w:tcW w:w="1049" w:type="dxa"/>
          </w:tcPr>
          <w:p w14:paraId="29F2A12D" w14:textId="77777777" w:rsidR="00934F6A" w:rsidRPr="00934F6A" w:rsidRDefault="00934F6A" w:rsidP="00CB1889">
            <w:pPr>
              <w:rPr>
                <w:rFonts w:ascii="Times New Roman"/>
                <w:sz w:val="22"/>
                <w:lang w:val="en-GB"/>
              </w:rPr>
            </w:pPr>
            <w:r w:rsidRPr="00934F6A">
              <w:rPr>
                <w:rFonts w:ascii="Times New Roman" w:hint="eastAsia"/>
                <w:sz w:val="22"/>
                <w:lang w:val="en-GB"/>
              </w:rPr>
              <w:t>96</w:t>
            </w:r>
          </w:p>
        </w:tc>
        <w:tc>
          <w:tcPr>
            <w:tcW w:w="1049" w:type="dxa"/>
          </w:tcPr>
          <w:p w14:paraId="5C1E07D9" w14:textId="77777777" w:rsidR="00934F6A" w:rsidRPr="00934F6A" w:rsidRDefault="00934F6A" w:rsidP="00CB1889">
            <w:pPr>
              <w:rPr>
                <w:rFonts w:ascii="Times New Roman"/>
                <w:sz w:val="22"/>
                <w:lang w:val="en-GB"/>
              </w:rPr>
            </w:pPr>
            <w:r w:rsidRPr="00934F6A">
              <w:rPr>
                <w:rFonts w:ascii="Times New Roman" w:hint="eastAsia"/>
                <w:sz w:val="22"/>
                <w:lang w:val="en-GB"/>
              </w:rPr>
              <w:t>144</w:t>
            </w:r>
          </w:p>
        </w:tc>
        <w:tc>
          <w:tcPr>
            <w:tcW w:w="1049" w:type="dxa"/>
          </w:tcPr>
          <w:p w14:paraId="071FFB22" w14:textId="77777777" w:rsidR="00934F6A" w:rsidRPr="00934F6A" w:rsidRDefault="00934F6A" w:rsidP="00CB1889">
            <w:pPr>
              <w:rPr>
                <w:rFonts w:ascii="Times New Roman"/>
                <w:sz w:val="22"/>
                <w:lang w:val="en-GB"/>
              </w:rPr>
            </w:pPr>
            <w:r w:rsidRPr="00934F6A">
              <w:rPr>
                <w:rFonts w:ascii="Times New Roman" w:hint="eastAsia"/>
                <w:sz w:val="22"/>
                <w:lang w:val="en-GB"/>
              </w:rPr>
              <w:t>192</w:t>
            </w:r>
          </w:p>
        </w:tc>
        <w:tc>
          <w:tcPr>
            <w:tcW w:w="1049" w:type="dxa"/>
          </w:tcPr>
          <w:p w14:paraId="70F1FF05" w14:textId="77777777" w:rsidR="00934F6A" w:rsidRPr="00934F6A" w:rsidRDefault="00934F6A" w:rsidP="00CB1889">
            <w:pPr>
              <w:rPr>
                <w:rFonts w:ascii="Times New Roman"/>
                <w:sz w:val="22"/>
                <w:lang w:val="en-GB"/>
              </w:rPr>
            </w:pPr>
            <w:r w:rsidRPr="00934F6A">
              <w:rPr>
                <w:rFonts w:ascii="Times New Roman" w:hint="eastAsia"/>
                <w:sz w:val="22"/>
                <w:lang w:val="en-GB"/>
              </w:rPr>
              <w:t>288</w:t>
            </w:r>
          </w:p>
        </w:tc>
      </w:tr>
      <w:tr w:rsidR="00934F6A" w14:paraId="6735EEA2" w14:textId="77777777" w:rsidTr="00934F6A">
        <w:trPr>
          <w:jc w:val="center"/>
        </w:trPr>
        <w:tc>
          <w:tcPr>
            <w:tcW w:w="1914" w:type="dxa"/>
          </w:tcPr>
          <w:p w14:paraId="11942B5B" w14:textId="77777777" w:rsidR="00934F6A" w:rsidRPr="00934F6A" w:rsidRDefault="00934F6A" w:rsidP="00CB1889">
            <w:pPr>
              <w:jc w:val="left"/>
              <w:rPr>
                <w:rFonts w:ascii="Times New Roman"/>
                <w:sz w:val="22"/>
                <w:lang w:val="en-GB"/>
              </w:rPr>
            </w:pPr>
            <w:r w:rsidRPr="00934F6A">
              <w:rPr>
                <w:rFonts w:ascii="Times New Roman"/>
                <w:sz w:val="22"/>
                <w:lang w:val="en-GB"/>
              </w:rPr>
              <w:t>Possible R</w:t>
            </w:r>
            <w:r w:rsidRPr="00934F6A">
              <w:rPr>
                <w:rFonts w:ascii="Times New Roman" w:hint="eastAsia"/>
                <w:sz w:val="22"/>
                <w:lang w:val="en-GB"/>
              </w:rPr>
              <w:t xml:space="preserve">ow </w:t>
            </w:r>
            <w:r w:rsidRPr="00934F6A">
              <w:rPr>
                <w:rFonts w:ascii="Times New Roman"/>
                <w:sz w:val="22"/>
                <w:lang w:val="en-GB"/>
              </w:rPr>
              <w:t>size</w:t>
            </w:r>
          </w:p>
        </w:tc>
        <w:tc>
          <w:tcPr>
            <w:tcW w:w="1049" w:type="dxa"/>
          </w:tcPr>
          <w:p w14:paraId="7C500CD5" w14:textId="77777777" w:rsidR="00934F6A" w:rsidRPr="00934F6A" w:rsidRDefault="00934F6A" w:rsidP="00CB1889">
            <w:pPr>
              <w:rPr>
                <w:rFonts w:ascii="Times New Roman"/>
                <w:sz w:val="22"/>
                <w:lang w:val="en-GB"/>
              </w:rPr>
            </w:pPr>
            <w:r w:rsidRPr="00934F6A">
              <w:rPr>
                <w:rFonts w:ascii="Times New Roman" w:hint="eastAsia"/>
                <w:sz w:val="22"/>
                <w:lang w:val="en-GB"/>
              </w:rPr>
              <w:t>2</w:t>
            </w:r>
          </w:p>
        </w:tc>
        <w:tc>
          <w:tcPr>
            <w:tcW w:w="1049" w:type="dxa"/>
          </w:tcPr>
          <w:p w14:paraId="26095239" w14:textId="77777777" w:rsidR="00934F6A" w:rsidRPr="00934F6A" w:rsidRDefault="00934F6A" w:rsidP="00CB1889">
            <w:pPr>
              <w:rPr>
                <w:rFonts w:ascii="Times New Roman"/>
                <w:sz w:val="22"/>
                <w:lang w:val="en-GB"/>
              </w:rPr>
            </w:pPr>
            <w:r w:rsidRPr="00934F6A">
              <w:rPr>
                <w:rFonts w:ascii="Times New Roman" w:hint="eastAsia"/>
                <w:sz w:val="22"/>
                <w:lang w:val="en-GB"/>
              </w:rPr>
              <w:t>2</w:t>
            </w:r>
          </w:p>
        </w:tc>
        <w:tc>
          <w:tcPr>
            <w:tcW w:w="1049" w:type="dxa"/>
          </w:tcPr>
          <w:p w14:paraId="4EA41E83" w14:textId="77777777" w:rsidR="00934F6A" w:rsidRPr="00934F6A" w:rsidRDefault="00934F6A" w:rsidP="00CB1889">
            <w:pPr>
              <w:rPr>
                <w:rFonts w:ascii="Times New Roman"/>
                <w:sz w:val="22"/>
                <w:lang w:val="en-GB"/>
              </w:rPr>
            </w:pPr>
            <w:r w:rsidRPr="00934F6A">
              <w:rPr>
                <w:rFonts w:ascii="Times New Roman"/>
                <w:sz w:val="22"/>
                <w:lang w:val="en-GB"/>
              </w:rPr>
              <w:t>2,3,6</w:t>
            </w:r>
          </w:p>
        </w:tc>
        <w:tc>
          <w:tcPr>
            <w:tcW w:w="1049" w:type="dxa"/>
          </w:tcPr>
          <w:p w14:paraId="09335E36" w14:textId="77777777" w:rsidR="00934F6A" w:rsidRPr="00934F6A" w:rsidRDefault="00934F6A" w:rsidP="00CB1889">
            <w:pPr>
              <w:rPr>
                <w:rFonts w:ascii="Times New Roman"/>
                <w:sz w:val="22"/>
                <w:lang w:val="en-GB"/>
              </w:rPr>
            </w:pPr>
            <w:r w:rsidRPr="00934F6A">
              <w:rPr>
                <w:rFonts w:ascii="Times New Roman" w:hint="eastAsia"/>
                <w:sz w:val="22"/>
                <w:lang w:val="en-GB"/>
              </w:rPr>
              <w:t>2</w:t>
            </w:r>
          </w:p>
        </w:tc>
        <w:tc>
          <w:tcPr>
            <w:tcW w:w="1049" w:type="dxa"/>
          </w:tcPr>
          <w:p w14:paraId="12B1F032" w14:textId="77777777" w:rsidR="00934F6A" w:rsidRPr="00934F6A" w:rsidRDefault="00934F6A" w:rsidP="00CB1889">
            <w:pPr>
              <w:rPr>
                <w:rFonts w:ascii="Times New Roman"/>
                <w:sz w:val="22"/>
                <w:lang w:val="en-GB"/>
              </w:rPr>
            </w:pPr>
            <w:r w:rsidRPr="00934F6A">
              <w:rPr>
                <w:rFonts w:ascii="Times New Roman" w:hint="eastAsia"/>
                <w:sz w:val="22"/>
                <w:lang w:val="en-GB"/>
              </w:rPr>
              <w:t>2,3,6</w:t>
            </w:r>
          </w:p>
        </w:tc>
        <w:tc>
          <w:tcPr>
            <w:tcW w:w="1049" w:type="dxa"/>
          </w:tcPr>
          <w:p w14:paraId="4F5878F1" w14:textId="77777777" w:rsidR="00934F6A" w:rsidRPr="00934F6A" w:rsidRDefault="00934F6A" w:rsidP="00CB1889">
            <w:pPr>
              <w:rPr>
                <w:rFonts w:ascii="Times New Roman"/>
                <w:sz w:val="22"/>
                <w:lang w:val="en-GB"/>
              </w:rPr>
            </w:pPr>
            <w:r w:rsidRPr="00934F6A">
              <w:rPr>
                <w:rFonts w:ascii="Times New Roman" w:hint="eastAsia"/>
                <w:sz w:val="22"/>
                <w:lang w:val="en-GB"/>
              </w:rPr>
              <w:t>2</w:t>
            </w:r>
          </w:p>
        </w:tc>
        <w:tc>
          <w:tcPr>
            <w:tcW w:w="1049" w:type="dxa"/>
          </w:tcPr>
          <w:p w14:paraId="10249A08" w14:textId="77777777" w:rsidR="00934F6A" w:rsidRPr="00934F6A" w:rsidRDefault="00934F6A" w:rsidP="00CB1889">
            <w:pPr>
              <w:rPr>
                <w:rFonts w:ascii="Times New Roman"/>
                <w:sz w:val="22"/>
                <w:lang w:val="en-GB"/>
              </w:rPr>
            </w:pPr>
            <w:r w:rsidRPr="00934F6A">
              <w:rPr>
                <w:rFonts w:ascii="Times New Roman" w:hint="eastAsia"/>
                <w:sz w:val="22"/>
                <w:lang w:val="en-GB"/>
              </w:rPr>
              <w:t>2,3,6</w:t>
            </w:r>
          </w:p>
        </w:tc>
      </w:tr>
    </w:tbl>
    <w:p w14:paraId="02FB11ED" w14:textId="6764E985" w:rsidR="00934F6A" w:rsidRDefault="00934F6A" w:rsidP="00934F6A">
      <w:pPr>
        <w:pStyle w:val="LGTdoc0"/>
        <w:tabs>
          <w:tab w:val="center" w:pos="4686"/>
        </w:tabs>
        <w:spacing w:before="120" w:afterLines="0" w:line="240" w:lineRule="auto"/>
        <w:jc w:val="center"/>
      </w:pPr>
      <w:r>
        <w:t>T</w:t>
      </w:r>
      <w:r>
        <w:rPr>
          <w:rFonts w:hint="eastAsia"/>
        </w:rPr>
        <w:t xml:space="preserve">able </w:t>
      </w:r>
      <w:r>
        <w:t>1. Interleaver sizes of CORESET#0</w:t>
      </w:r>
    </w:p>
    <w:p w14:paraId="1B183FBA" w14:textId="5CC9AA2D" w:rsidR="00623C3E" w:rsidRDefault="00837893" w:rsidP="00114ABE">
      <w:pPr>
        <w:pStyle w:val="LGTdoc0"/>
        <w:tabs>
          <w:tab w:val="center" w:pos="4686"/>
        </w:tabs>
        <w:spacing w:before="120" w:afterLines="0" w:line="240" w:lineRule="auto"/>
      </w:pPr>
      <w:r>
        <w:t xml:space="preserve">In order to </w:t>
      </w:r>
      <w:r w:rsidR="00344C74">
        <w:t>achieve more</w:t>
      </w:r>
      <w:r>
        <w:t xml:space="preserve"> frequency diversity, interleaver size of 3 (or 6) can be applied to the cases of 72, 144 and 288 REGs, and other cases use an interleaver size</w:t>
      </w:r>
      <w:r w:rsidR="00BC02B3">
        <w:t xml:space="preserve"> </w:t>
      </w:r>
      <w:r w:rsidR="00BC02B3">
        <w:rPr>
          <w:rFonts w:hint="eastAsia"/>
        </w:rPr>
        <w:t xml:space="preserve">of </w:t>
      </w:r>
      <w:r w:rsidR="00BC02B3">
        <w:t>2</w:t>
      </w:r>
      <w:r>
        <w:t xml:space="preserve">. </w:t>
      </w:r>
      <w:r w:rsidR="00934F6A">
        <w:t xml:space="preserve"> </w:t>
      </w:r>
    </w:p>
    <w:p w14:paraId="6A809FC0" w14:textId="6DBA282D" w:rsidR="005E15D6" w:rsidRPr="00D613C9" w:rsidRDefault="005E15D6" w:rsidP="00114ABE">
      <w:pPr>
        <w:pStyle w:val="LGTdoc0"/>
        <w:tabs>
          <w:tab w:val="center" w:pos="4686"/>
        </w:tabs>
        <w:spacing w:before="120" w:afterLines="0" w:line="240" w:lineRule="auto"/>
        <w:rPr>
          <w:b/>
          <w:szCs w:val="22"/>
          <w:lang w:val="en-US"/>
        </w:rPr>
      </w:pPr>
      <w:r w:rsidRPr="00D613C9">
        <w:rPr>
          <w:rFonts w:hint="eastAsia"/>
          <w:b/>
          <w:szCs w:val="22"/>
          <w:lang w:val="en-US"/>
        </w:rPr>
        <w:t xml:space="preserve">Proposal 1: </w:t>
      </w:r>
      <w:r w:rsidR="00D354E8">
        <w:rPr>
          <w:b/>
          <w:szCs w:val="22"/>
          <w:lang w:val="en-US"/>
        </w:rPr>
        <w:t>For a CCE-to-REG mapping, t</w:t>
      </w:r>
      <w:r w:rsidRPr="00D613C9">
        <w:rPr>
          <w:rFonts w:hint="eastAsia"/>
          <w:b/>
          <w:szCs w:val="22"/>
          <w:lang w:val="en-US"/>
        </w:rPr>
        <w:t>he REG bundle level interleaving is applied to CORESET</w:t>
      </w:r>
      <w:r w:rsidR="00344C74">
        <w:rPr>
          <w:b/>
          <w:szCs w:val="22"/>
          <w:lang w:val="en-US"/>
        </w:rPr>
        <w:t>#0</w:t>
      </w:r>
      <w:r w:rsidRPr="00D613C9">
        <w:rPr>
          <w:rFonts w:hint="eastAsia"/>
          <w:b/>
          <w:szCs w:val="22"/>
          <w:lang w:val="en-US"/>
        </w:rPr>
        <w:t>.</w:t>
      </w:r>
    </w:p>
    <w:p w14:paraId="066E0751" w14:textId="2961B467" w:rsidR="005E15D6" w:rsidRDefault="005E15D6" w:rsidP="00114ABE">
      <w:pPr>
        <w:pStyle w:val="LGTdoc0"/>
        <w:tabs>
          <w:tab w:val="center" w:pos="4686"/>
        </w:tabs>
        <w:spacing w:before="120" w:afterLines="0" w:line="240" w:lineRule="auto"/>
        <w:rPr>
          <w:b/>
          <w:szCs w:val="22"/>
          <w:lang w:val="en-US"/>
        </w:rPr>
      </w:pPr>
      <w:r w:rsidRPr="00D613C9">
        <w:rPr>
          <w:b/>
          <w:szCs w:val="22"/>
          <w:lang w:val="en-US"/>
        </w:rPr>
        <w:t>Proposal 2: The interleaver size</w:t>
      </w:r>
      <w:r w:rsidR="00837893">
        <w:rPr>
          <w:b/>
          <w:szCs w:val="22"/>
          <w:lang w:val="en-US"/>
        </w:rPr>
        <w:t xml:space="preserve"> of CORESET#0</w:t>
      </w:r>
      <w:r w:rsidRPr="00D613C9">
        <w:rPr>
          <w:b/>
          <w:szCs w:val="22"/>
          <w:lang w:val="en-US"/>
        </w:rPr>
        <w:t xml:space="preserve"> </w:t>
      </w:r>
      <w:r w:rsidR="00837893">
        <w:rPr>
          <w:b/>
          <w:szCs w:val="22"/>
          <w:lang w:val="en-US"/>
        </w:rPr>
        <w:t>is determined depending on the total number of REGs in the CORESET</w:t>
      </w:r>
      <w:r w:rsidR="00D613C9">
        <w:rPr>
          <w:b/>
          <w:szCs w:val="22"/>
          <w:lang w:val="en-US"/>
        </w:rPr>
        <w:t>.</w:t>
      </w:r>
    </w:p>
    <w:p w14:paraId="034F313A" w14:textId="77777777" w:rsidR="005E15D6" w:rsidRPr="00837893" w:rsidRDefault="005E15D6" w:rsidP="00114ABE">
      <w:pPr>
        <w:pStyle w:val="LGTdoc0"/>
        <w:tabs>
          <w:tab w:val="center" w:pos="4686"/>
        </w:tabs>
        <w:spacing w:before="120" w:afterLines="0" w:line="240" w:lineRule="auto"/>
        <w:rPr>
          <w:szCs w:val="22"/>
          <w:lang w:val="en-US"/>
        </w:rPr>
      </w:pPr>
    </w:p>
    <w:p w14:paraId="7DE7559F" w14:textId="77777777" w:rsidR="004757F4" w:rsidRDefault="004757F4" w:rsidP="00114ABE">
      <w:pPr>
        <w:pStyle w:val="LGTdoc0"/>
        <w:tabs>
          <w:tab w:val="center" w:pos="4686"/>
        </w:tabs>
        <w:spacing w:before="120" w:afterLines="0" w:line="240" w:lineRule="auto"/>
        <w:rPr>
          <w:szCs w:val="22"/>
          <w:lang w:val="en-US"/>
        </w:rPr>
      </w:pPr>
    </w:p>
    <w:p w14:paraId="72835FDC" w14:textId="5C780C94" w:rsidR="000D1520" w:rsidRPr="000F05B0" w:rsidRDefault="000F1CA4" w:rsidP="000D1520">
      <w:pPr>
        <w:pStyle w:val="LGTdoc1"/>
        <w:numPr>
          <w:ilvl w:val="1"/>
          <w:numId w:val="3"/>
        </w:numPr>
        <w:spacing w:beforeLines="0" w:after="0" w:afterAutospacing="0"/>
        <w:rPr>
          <w:sz w:val="24"/>
          <w:szCs w:val="24"/>
          <w:lang w:val="en-US"/>
        </w:rPr>
      </w:pPr>
      <w:r>
        <w:rPr>
          <w:sz w:val="24"/>
          <w:szCs w:val="24"/>
          <w:lang w:val="en-US"/>
        </w:rPr>
        <w:t>Handling of overlapp</w:t>
      </w:r>
      <w:r w:rsidR="00117589">
        <w:rPr>
          <w:sz w:val="24"/>
          <w:szCs w:val="24"/>
          <w:lang w:val="en-US"/>
        </w:rPr>
        <w:t>ing between CORESET and SSB</w:t>
      </w:r>
    </w:p>
    <w:p w14:paraId="19A429A1" w14:textId="1684F50A" w:rsidR="00344C74" w:rsidRDefault="00344C74" w:rsidP="00E7195C">
      <w:pPr>
        <w:pStyle w:val="LGTdoc0"/>
        <w:spacing w:before="120" w:afterLines="0" w:line="240" w:lineRule="auto"/>
        <w:rPr>
          <w:szCs w:val="22"/>
          <w:lang w:val="en-US"/>
        </w:rPr>
      </w:pPr>
      <w:r>
        <w:rPr>
          <w:rFonts w:hint="eastAsia"/>
          <w:szCs w:val="22"/>
          <w:lang w:val="en-US"/>
        </w:rPr>
        <w:t>In previous meeting,</w:t>
      </w:r>
      <w:r w:rsidR="00A97C87">
        <w:rPr>
          <w:rFonts w:hint="eastAsia"/>
          <w:szCs w:val="22"/>
          <w:lang w:val="en-US"/>
        </w:rPr>
        <w:t xml:space="preserve"> </w:t>
      </w:r>
      <w:r w:rsidR="00A97C87">
        <w:rPr>
          <w:szCs w:val="22"/>
          <w:lang w:val="en-US"/>
        </w:rPr>
        <w:t>the</w:t>
      </w:r>
      <w:r w:rsidR="00A97C87">
        <w:rPr>
          <w:rFonts w:hint="eastAsia"/>
          <w:szCs w:val="22"/>
          <w:lang w:val="en-US"/>
        </w:rPr>
        <w:t xml:space="preserve"> </w:t>
      </w:r>
      <w:r w:rsidR="00A97C87">
        <w:rPr>
          <w:szCs w:val="22"/>
          <w:lang w:val="en-US"/>
        </w:rPr>
        <w:t xml:space="preserve">UE’s behavior on CORESET overlapped with SSB was discussed, and candidate skipping was proposed for that case, for example, the UE is not expected to monitor a PDCCH candidate if any RE of the PDCCH candidate overlaps with SSB. The candidate skipping is a simple solution, but </w:t>
      </w:r>
      <w:r w:rsidR="00A97C87">
        <w:rPr>
          <w:rFonts w:hint="eastAsia"/>
          <w:szCs w:val="22"/>
          <w:lang w:val="en-US"/>
        </w:rPr>
        <w:t xml:space="preserve">it has problems in terms of resource </w:t>
      </w:r>
      <w:r w:rsidR="00A97C87">
        <w:rPr>
          <w:szCs w:val="22"/>
          <w:lang w:val="en-US"/>
        </w:rPr>
        <w:t xml:space="preserve">utilization. </w:t>
      </w:r>
      <w:r w:rsidR="00A97C87">
        <w:rPr>
          <w:rFonts w:hint="eastAsia"/>
          <w:szCs w:val="22"/>
          <w:lang w:val="en-US"/>
        </w:rPr>
        <w:t>F</w:t>
      </w:r>
      <w:r w:rsidR="00A97C87">
        <w:rPr>
          <w:szCs w:val="22"/>
          <w:lang w:val="en-US"/>
        </w:rPr>
        <w:t>igure 1 shows examples of overlapping between CORESET and SSB for each CCE-to-REG mapping case</w:t>
      </w:r>
      <w:r w:rsidR="002D57BC">
        <w:rPr>
          <w:szCs w:val="22"/>
          <w:lang w:val="en-US"/>
        </w:rPr>
        <w:t>, and CCE skipping is assumed</w:t>
      </w:r>
      <w:r w:rsidR="00A97C87">
        <w:rPr>
          <w:szCs w:val="22"/>
          <w:lang w:val="en-US"/>
        </w:rPr>
        <w:t xml:space="preserve">. </w:t>
      </w:r>
      <w:r w:rsidR="00867454">
        <w:rPr>
          <w:szCs w:val="22"/>
          <w:lang w:val="en-US"/>
        </w:rPr>
        <w:t>Note</w:t>
      </w:r>
      <w:r w:rsidR="002D57BC">
        <w:rPr>
          <w:szCs w:val="22"/>
          <w:lang w:val="en-US"/>
        </w:rPr>
        <w:t xml:space="preserve"> that more resource cannot be used in the case of candidate skipping compared to CCE skipping</w:t>
      </w:r>
      <w:r w:rsidR="00B92FEB">
        <w:rPr>
          <w:szCs w:val="22"/>
          <w:lang w:val="en-US"/>
        </w:rPr>
        <w:t>, because the candidate cannot be used if any resource of the candidate overlaps with SSB</w:t>
      </w:r>
      <w:r w:rsidR="002D57BC">
        <w:rPr>
          <w:szCs w:val="22"/>
          <w:lang w:val="en-US"/>
        </w:rPr>
        <w:t xml:space="preserve">. </w:t>
      </w:r>
      <w:r w:rsidR="00A97C87">
        <w:rPr>
          <w:szCs w:val="22"/>
          <w:lang w:val="en-US"/>
        </w:rPr>
        <w:t>As shown in the figure</w:t>
      </w:r>
      <w:r w:rsidR="00A60E12">
        <w:rPr>
          <w:szCs w:val="22"/>
          <w:lang w:val="en-US"/>
        </w:rPr>
        <w:t xml:space="preserve">, if an interleaving is used for a CORESET, there are </w:t>
      </w:r>
      <w:r w:rsidR="00B92FEB">
        <w:rPr>
          <w:szCs w:val="22"/>
          <w:lang w:val="en-US"/>
        </w:rPr>
        <w:t xml:space="preserve">only a few CCEs </w:t>
      </w:r>
      <w:r w:rsidR="00A60E12">
        <w:rPr>
          <w:szCs w:val="22"/>
          <w:lang w:val="en-US"/>
        </w:rPr>
        <w:t>for transmitting control channel because the SSB uses consecutive 20 RBs and REG bundles</w:t>
      </w:r>
      <w:r w:rsidR="00B92FEB">
        <w:rPr>
          <w:szCs w:val="22"/>
          <w:lang w:val="en-US"/>
        </w:rPr>
        <w:t xml:space="preserve"> included in different CCEs</w:t>
      </w:r>
      <w:r w:rsidR="00A60E12">
        <w:rPr>
          <w:szCs w:val="22"/>
          <w:lang w:val="en-US"/>
        </w:rPr>
        <w:t xml:space="preserve"> are located contiguously. If an interleaving is not used for a CORESET, more resources are available for control channel transmission compared to the interleaving case. H</w:t>
      </w:r>
      <w:r w:rsidR="00BE5364">
        <w:rPr>
          <w:szCs w:val="22"/>
          <w:lang w:val="en-US"/>
        </w:rPr>
        <w:t xml:space="preserve">owever, there are still restriction on resource utilization and aggregation levels, for example, </w:t>
      </w:r>
      <w:r w:rsidR="00867454">
        <w:rPr>
          <w:szCs w:val="22"/>
          <w:lang w:val="en-US"/>
        </w:rPr>
        <w:t xml:space="preserve">only one </w:t>
      </w:r>
      <w:r w:rsidR="00BE5364">
        <w:rPr>
          <w:szCs w:val="22"/>
          <w:lang w:val="en-US"/>
        </w:rPr>
        <w:t xml:space="preserve">AL8 </w:t>
      </w:r>
      <w:r w:rsidR="00867454">
        <w:rPr>
          <w:szCs w:val="22"/>
          <w:lang w:val="en-US"/>
        </w:rPr>
        <w:t xml:space="preserve">candidate which started at CCE#16 </w:t>
      </w:r>
      <w:r w:rsidR="00BE5364">
        <w:rPr>
          <w:szCs w:val="22"/>
          <w:lang w:val="en-US"/>
        </w:rPr>
        <w:t>can be used in the figure 1(</w:t>
      </w:r>
      <w:r w:rsidR="00867454">
        <w:rPr>
          <w:szCs w:val="22"/>
          <w:lang w:val="en-US"/>
        </w:rPr>
        <w:t>b</w:t>
      </w:r>
      <w:r w:rsidR="00BE5364">
        <w:rPr>
          <w:szCs w:val="22"/>
          <w:lang w:val="en-US"/>
        </w:rPr>
        <w:t xml:space="preserve">). </w:t>
      </w:r>
    </w:p>
    <w:p w14:paraId="596ABD91" w14:textId="2957203F" w:rsidR="00A97C87" w:rsidRDefault="005E4476" w:rsidP="00E7195C">
      <w:pPr>
        <w:pStyle w:val="LGTdoc0"/>
        <w:spacing w:before="120" w:afterLines="0" w:line="240" w:lineRule="auto"/>
        <w:rPr>
          <w:szCs w:val="22"/>
          <w:lang w:val="en-US"/>
        </w:rPr>
      </w:pPr>
      <w:r w:rsidRPr="005E4476">
        <w:rPr>
          <w:noProof/>
          <w:lang w:val="en-US"/>
        </w:rPr>
        <w:drawing>
          <wp:inline distT="0" distB="0" distL="0" distR="0" wp14:anchorId="2D7F02B0" wp14:editId="51AE78AE">
            <wp:extent cx="5951220" cy="2429996"/>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1220" cy="2429996"/>
                    </a:xfrm>
                    <a:prstGeom prst="rect">
                      <a:avLst/>
                    </a:prstGeom>
                    <a:noFill/>
                    <a:ln>
                      <a:noFill/>
                    </a:ln>
                  </pic:spPr>
                </pic:pic>
              </a:graphicData>
            </a:graphic>
          </wp:inline>
        </w:drawing>
      </w:r>
    </w:p>
    <w:p w14:paraId="028E450E" w14:textId="36FE36A1" w:rsidR="00A97C87" w:rsidRDefault="00A97C87" w:rsidP="00BE5364">
      <w:pPr>
        <w:pStyle w:val="LGTdoc0"/>
        <w:spacing w:before="120" w:afterLines="0" w:line="240" w:lineRule="auto"/>
        <w:jc w:val="center"/>
        <w:rPr>
          <w:szCs w:val="22"/>
          <w:lang w:val="en-US"/>
        </w:rPr>
      </w:pPr>
      <w:r>
        <w:rPr>
          <w:rFonts w:hint="eastAsia"/>
          <w:szCs w:val="22"/>
          <w:lang w:val="en-US"/>
        </w:rPr>
        <w:t xml:space="preserve">Figure 1. Examples of </w:t>
      </w:r>
      <w:r>
        <w:rPr>
          <w:szCs w:val="22"/>
          <w:lang w:val="en-US"/>
        </w:rPr>
        <w:t>overlap</w:t>
      </w:r>
      <w:r>
        <w:rPr>
          <w:rFonts w:hint="eastAsia"/>
          <w:szCs w:val="22"/>
          <w:lang w:val="en-US"/>
        </w:rPr>
        <w:t xml:space="preserve"> </w:t>
      </w:r>
      <w:r>
        <w:rPr>
          <w:szCs w:val="22"/>
          <w:lang w:val="en-US"/>
        </w:rPr>
        <w:t>between CORESET and SSB</w:t>
      </w:r>
    </w:p>
    <w:p w14:paraId="2F15A495" w14:textId="1A751605" w:rsidR="00BE5364" w:rsidRDefault="00BE5364" w:rsidP="00E7195C">
      <w:pPr>
        <w:pStyle w:val="LGTdoc0"/>
        <w:spacing w:before="120" w:afterLines="0" w:line="240" w:lineRule="auto"/>
        <w:rPr>
          <w:szCs w:val="22"/>
          <w:lang w:val="en-US"/>
        </w:rPr>
      </w:pPr>
      <w:r>
        <w:rPr>
          <w:rFonts w:hint="eastAsia"/>
          <w:szCs w:val="22"/>
          <w:lang w:val="en-US"/>
        </w:rPr>
        <w:t xml:space="preserve">In order to increase resource utilization of the CORESET overlapped with SSB, the resource unit re-indexing </w:t>
      </w:r>
      <w:r>
        <w:rPr>
          <w:szCs w:val="22"/>
          <w:lang w:val="en-US"/>
        </w:rPr>
        <w:t xml:space="preserve">on non-overlapped </w:t>
      </w:r>
      <w:r w:rsidR="00C4405B">
        <w:rPr>
          <w:szCs w:val="22"/>
          <w:lang w:val="en-US"/>
        </w:rPr>
        <w:t>frequency region could be considered. It could be interpreted as a CORESET reconfiguration on a slot overlapped with SSB. F</w:t>
      </w:r>
      <w:r w:rsidR="00C4405B">
        <w:rPr>
          <w:rFonts w:hint="eastAsia"/>
          <w:szCs w:val="22"/>
          <w:lang w:val="en-US"/>
        </w:rPr>
        <w:t xml:space="preserve">igure </w:t>
      </w:r>
      <w:r w:rsidR="00C4405B">
        <w:rPr>
          <w:szCs w:val="22"/>
          <w:lang w:val="en-US"/>
        </w:rPr>
        <w:t xml:space="preserve">2 shows examples of proposal. </w:t>
      </w:r>
    </w:p>
    <w:p w14:paraId="31E49FB3" w14:textId="1375B115" w:rsidR="00E13980" w:rsidRDefault="005E4476" w:rsidP="00E7195C">
      <w:pPr>
        <w:pStyle w:val="LGTdoc0"/>
        <w:spacing w:before="120" w:afterLines="0" w:line="240" w:lineRule="auto"/>
        <w:rPr>
          <w:szCs w:val="22"/>
          <w:lang w:val="en-US"/>
        </w:rPr>
      </w:pPr>
      <w:r w:rsidRPr="005E4476">
        <w:rPr>
          <w:noProof/>
          <w:lang w:val="en-US"/>
        </w:rPr>
        <w:drawing>
          <wp:inline distT="0" distB="0" distL="0" distR="0" wp14:anchorId="267D3C04" wp14:editId="6F55E3F3">
            <wp:extent cx="5951220" cy="244071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1220" cy="2440715"/>
                    </a:xfrm>
                    <a:prstGeom prst="rect">
                      <a:avLst/>
                    </a:prstGeom>
                    <a:noFill/>
                    <a:ln>
                      <a:noFill/>
                    </a:ln>
                  </pic:spPr>
                </pic:pic>
              </a:graphicData>
            </a:graphic>
          </wp:inline>
        </w:drawing>
      </w:r>
    </w:p>
    <w:p w14:paraId="29320702" w14:textId="0A009965" w:rsidR="00E13980" w:rsidRDefault="00E13980" w:rsidP="00E13980">
      <w:pPr>
        <w:pStyle w:val="LGTdoc0"/>
        <w:spacing w:before="120" w:afterLines="0" w:line="240" w:lineRule="auto"/>
        <w:jc w:val="center"/>
        <w:rPr>
          <w:szCs w:val="22"/>
          <w:lang w:val="en-US"/>
        </w:rPr>
      </w:pPr>
      <w:r>
        <w:rPr>
          <w:rFonts w:hint="eastAsia"/>
          <w:szCs w:val="22"/>
          <w:lang w:val="en-US"/>
        </w:rPr>
        <w:t xml:space="preserve">Figure 2. Examples of </w:t>
      </w:r>
      <w:r>
        <w:rPr>
          <w:szCs w:val="22"/>
          <w:lang w:val="en-US"/>
        </w:rPr>
        <w:t>proposal</w:t>
      </w:r>
    </w:p>
    <w:p w14:paraId="54097A60" w14:textId="2C788EB3" w:rsidR="00E13980" w:rsidRDefault="00E13980" w:rsidP="00E7195C">
      <w:pPr>
        <w:pStyle w:val="LGTdoc0"/>
        <w:spacing w:before="120" w:afterLines="0" w:line="240" w:lineRule="auto"/>
        <w:rPr>
          <w:szCs w:val="22"/>
          <w:lang w:val="en-US"/>
        </w:rPr>
      </w:pPr>
      <w:r>
        <w:rPr>
          <w:szCs w:val="22"/>
          <w:lang w:val="en-US"/>
        </w:rPr>
        <w:t>A</w:t>
      </w:r>
      <w:r>
        <w:rPr>
          <w:rFonts w:hint="eastAsia"/>
          <w:szCs w:val="22"/>
          <w:lang w:val="en-US"/>
        </w:rPr>
        <w:t xml:space="preserve">s </w:t>
      </w:r>
      <w:r>
        <w:rPr>
          <w:szCs w:val="22"/>
          <w:lang w:val="en-US"/>
        </w:rPr>
        <w:t xml:space="preserve">shown in the figure, the resource unit re-indexing provides more resource utilization, especially in interleaving case. </w:t>
      </w:r>
      <w:r w:rsidR="00867454">
        <w:rPr>
          <w:szCs w:val="22"/>
          <w:lang w:val="en-US"/>
        </w:rPr>
        <w:t>In addition, m</w:t>
      </w:r>
      <w:r>
        <w:rPr>
          <w:szCs w:val="22"/>
          <w:lang w:val="en-US"/>
        </w:rPr>
        <w:t xml:space="preserve">ore high aggregation level candidates can be used compared to candidate skip scheme. </w:t>
      </w:r>
    </w:p>
    <w:p w14:paraId="5B98447E" w14:textId="052BE2B0" w:rsidR="00511853" w:rsidRPr="00511853" w:rsidRDefault="00511853" w:rsidP="00E7195C">
      <w:pPr>
        <w:pStyle w:val="LGTdoc0"/>
        <w:spacing w:before="120" w:afterLines="0" w:line="240" w:lineRule="auto"/>
        <w:rPr>
          <w:b/>
          <w:szCs w:val="22"/>
          <w:lang w:val="en-US"/>
        </w:rPr>
      </w:pPr>
      <w:r w:rsidRPr="00511853">
        <w:rPr>
          <w:rFonts w:hint="eastAsia"/>
          <w:b/>
          <w:szCs w:val="22"/>
          <w:lang w:val="en-US"/>
        </w:rPr>
        <w:lastRenderedPageBreak/>
        <w:t>Proposal</w:t>
      </w:r>
      <w:r w:rsidRPr="00511853">
        <w:rPr>
          <w:b/>
          <w:szCs w:val="22"/>
          <w:lang w:val="en-US"/>
        </w:rPr>
        <w:t xml:space="preserve"> 3</w:t>
      </w:r>
      <w:r w:rsidRPr="00511853">
        <w:rPr>
          <w:rFonts w:hint="eastAsia"/>
          <w:b/>
          <w:szCs w:val="22"/>
          <w:lang w:val="en-US"/>
        </w:rPr>
        <w:t xml:space="preserve">: </w:t>
      </w:r>
      <w:r w:rsidRPr="00511853">
        <w:rPr>
          <w:b/>
          <w:szCs w:val="22"/>
          <w:lang w:val="en-US"/>
        </w:rPr>
        <w:t>If a CORESET is overlapped with a SSB on a certain slot, resource unit (e.g., REG, REG bundle, CCE) re-indexing is performed on non-overlapped frequency region in the slot.</w:t>
      </w:r>
    </w:p>
    <w:p w14:paraId="1A75D3BE" w14:textId="4F0FB053" w:rsidR="000F1CA4" w:rsidRPr="0001376E" w:rsidRDefault="000F1CA4" w:rsidP="004B0817">
      <w:pPr>
        <w:pStyle w:val="LGTdoc0"/>
        <w:tabs>
          <w:tab w:val="center" w:pos="4686"/>
        </w:tabs>
        <w:spacing w:before="120" w:afterLines="0" w:line="240" w:lineRule="auto"/>
        <w:rPr>
          <w:b/>
          <w:szCs w:val="22"/>
        </w:rPr>
      </w:pPr>
    </w:p>
    <w:p w14:paraId="663FAC2C" w14:textId="2A67620A" w:rsidR="0001376E" w:rsidRDefault="00E01007" w:rsidP="004B0817">
      <w:pPr>
        <w:pStyle w:val="LGTdoc0"/>
        <w:tabs>
          <w:tab w:val="center" w:pos="4686"/>
        </w:tabs>
        <w:spacing w:before="120" w:afterLines="0" w:line="240" w:lineRule="auto"/>
        <w:rPr>
          <w:szCs w:val="22"/>
        </w:rPr>
      </w:pPr>
      <w:r>
        <w:rPr>
          <w:rFonts w:hint="eastAsia"/>
          <w:szCs w:val="22"/>
        </w:rPr>
        <w:t>It has been also discussed whether CORESET can be also rate matched around r</w:t>
      </w:r>
      <w:r>
        <w:rPr>
          <w:szCs w:val="22"/>
        </w:rPr>
        <w:t xml:space="preserve">ate matching resource sets. So far, it has been agreed to perform rate matching only for PDSCH. Given there could be cell-specific rate matching resources, and also some reserved resources, it is considerable to allow rate matching of control channels on the rate matching resource sets (semi-statically configured). In terms of expected behaviour, some clarifications seem still necessary as follows. </w:t>
      </w:r>
    </w:p>
    <w:p w14:paraId="5B28D7D2" w14:textId="0586C118" w:rsidR="00E01007" w:rsidRDefault="00E01007" w:rsidP="003F7800">
      <w:pPr>
        <w:pStyle w:val="LGTdoc0"/>
        <w:numPr>
          <w:ilvl w:val="0"/>
          <w:numId w:val="29"/>
        </w:numPr>
        <w:tabs>
          <w:tab w:val="center" w:pos="4686"/>
        </w:tabs>
        <w:spacing w:before="120" w:afterLines="0" w:line="240" w:lineRule="auto"/>
        <w:rPr>
          <w:szCs w:val="22"/>
        </w:rPr>
      </w:pPr>
      <w:r>
        <w:rPr>
          <w:szCs w:val="22"/>
        </w:rPr>
        <w:t xml:space="preserve">RE level rate matching resources are not assumed for control channel. If we consider RE level, it becomes a bit complicated in terms of handling DM-RS mapping, etc. Overall, we do not see it’s beneficial to apply RE level rate matching for control channels. </w:t>
      </w:r>
    </w:p>
    <w:p w14:paraId="1DAA73FD" w14:textId="18E7FE56" w:rsidR="00E01007" w:rsidRDefault="00E01007" w:rsidP="003F7800">
      <w:pPr>
        <w:pStyle w:val="LGTdoc0"/>
        <w:numPr>
          <w:ilvl w:val="0"/>
          <w:numId w:val="29"/>
        </w:numPr>
        <w:tabs>
          <w:tab w:val="center" w:pos="4686"/>
        </w:tabs>
        <w:spacing w:before="120" w:afterLines="0" w:line="240" w:lineRule="auto"/>
        <w:rPr>
          <w:szCs w:val="22"/>
        </w:rPr>
      </w:pPr>
      <w:r>
        <w:rPr>
          <w:szCs w:val="22"/>
        </w:rPr>
        <w:t xml:space="preserve">Whether to rate match at REG level, REG bundle level or PDCCH candidate level. When CORESET overlaps with rate matching resource, different approaches of rate matching level can be considered. Given that REG level rate matching may lead performance loss in channel estimation, at least, it’s considerable to rate matching at REG bundle level. Alternatively, not to degrade overall candidate performance, a UE may skip monitoring of candidates which are overlapping with rate matching resources. </w:t>
      </w:r>
    </w:p>
    <w:p w14:paraId="1D7C54C6" w14:textId="6403C9E8" w:rsidR="00E01007" w:rsidRDefault="00E01007" w:rsidP="003F7800">
      <w:pPr>
        <w:pStyle w:val="LGTdoc0"/>
        <w:numPr>
          <w:ilvl w:val="0"/>
          <w:numId w:val="29"/>
        </w:numPr>
        <w:tabs>
          <w:tab w:val="center" w:pos="4686"/>
        </w:tabs>
        <w:spacing w:before="120" w:afterLines="0" w:line="240" w:lineRule="auto"/>
        <w:rPr>
          <w:szCs w:val="22"/>
        </w:rPr>
      </w:pPr>
      <w:r>
        <w:rPr>
          <w:szCs w:val="22"/>
        </w:rPr>
        <w:t xml:space="preserve">Wideband RS precoder assumption: due to rate matching resources, if CORESET has </w:t>
      </w:r>
      <w:r w:rsidR="003F7800">
        <w:rPr>
          <w:rFonts w:hint="eastAsia"/>
          <w:szCs w:val="22"/>
        </w:rPr>
        <w:t>non-</w:t>
      </w:r>
      <w:r>
        <w:rPr>
          <w:szCs w:val="22"/>
        </w:rPr>
        <w:t xml:space="preserve">contiguous frequency chunk, whether to apply same precoder within only the contiguous frequency after rate matching needs some consideration as well. As channel estimation would be performed separately in discontinuous frequency regions after rate matching, it can be considered to apply the same precoder only within the contiguous frequency after rate matching. </w:t>
      </w:r>
      <w:r w:rsidR="00B02347">
        <w:rPr>
          <w:szCs w:val="22"/>
        </w:rPr>
        <w:t xml:space="preserve">As rate matching resources can have different time/frequency, this may complicate the assumption of precoder when CORESET duration is larger than 1 OS. In that sense, we prefer a simple approach where precoder assumption is not changed by rate matching resources including SSBs. </w:t>
      </w:r>
    </w:p>
    <w:p w14:paraId="05503167" w14:textId="1714F692" w:rsidR="00B02347" w:rsidRDefault="00B02347" w:rsidP="003F7800">
      <w:pPr>
        <w:pStyle w:val="LGTdoc0"/>
        <w:tabs>
          <w:tab w:val="center" w:pos="4686"/>
        </w:tabs>
        <w:spacing w:before="120" w:afterLines="0" w:line="240" w:lineRule="auto"/>
        <w:rPr>
          <w:b/>
          <w:szCs w:val="22"/>
        </w:rPr>
      </w:pPr>
      <w:r w:rsidRPr="0001376E">
        <w:rPr>
          <w:b/>
          <w:szCs w:val="22"/>
        </w:rPr>
        <w:t xml:space="preserve">Proposal </w:t>
      </w:r>
      <w:r w:rsidR="00511853">
        <w:rPr>
          <w:b/>
          <w:szCs w:val="22"/>
        </w:rPr>
        <w:t>4</w:t>
      </w:r>
      <w:r w:rsidRPr="0001376E">
        <w:rPr>
          <w:b/>
          <w:szCs w:val="22"/>
        </w:rPr>
        <w:t xml:space="preserve">: </w:t>
      </w:r>
      <w:r w:rsidR="001230EB">
        <w:rPr>
          <w:b/>
          <w:szCs w:val="22"/>
        </w:rPr>
        <w:t>The candidate skipping</w:t>
      </w:r>
      <w:r>
        <w:rPr>
          <w:b/>
          <w:szCs w:val="22"/>
        </w:rPr>
        <w:t xml:space="preserve"> is assumed when CORESET and rate matching resources overlap. </w:t>
      </w:r>
    </w:p>
    <w:p w14:paraId="7DCCC66D" w14:textId="6DE47E2F" w:rsidR="00B02347" w:rsidRPr="0001376E" w:rsidRDefault="00B02347" w:rsidP="003F7800">
      <w:pPr>
        <w:pStyle w:val="LGTdoc0"/>
        <w:tabs>
          <w:tab w:val="center" w:pos="4686"/>
        </w:tabs>
        <w:spacing w:before="120" w:afterLines="0" w:line="240" w:lineRule="auto"/>
        <w:rPr>
          <w:b/>
          <w:szCs w:val="22"/>
        </w:rPr>
      </w:pPr>
      <w:r>
        <w:rPr>
          <w:b/>
          <w:szCs w:val="22"/>
        </w:rPr>
        <w:t xml:space="preserve">Proposal </w:t>
      </w:r>
      <w:r w:rsidR="00511853">
        <w:rPr>
          <w:b/>
          <w:szCs w:val="22"/>
        </w:rPr>
        <w:t>5</w:t>
      </w:r>
      <w:r>
        <w:rPr>
          <w:b/>
          <w:szCs w:val="22"/>
        </w:rPr>
        <w:t xml:space="preserve">: Precoder assumption in frequency domain is not affected by rate matching resources when wideband RS is configured. </w:t>
      </w:r>
    </w:p>
    <w:p w14:paraId="054E6765" w14:textId="77777777" w:rsidR="00B02347" w:rsidRPr="00B02347" w:rsidRDefault="00B02347">
      <w:pPr>
        <w:pStyle w:val="LGTdoc0"/>
        <w:tabs>
          <w:tab w:val="center" w:pos="4686"/>
        </w:tabs>
        <w:spacing w:before="120" w:afterLines="0" w:line="240" w:lineRule="auto"/>
        <w:rPr>
          <w:szCs w:val="22"/>
        </w:rPr>
      </w:pPr>
    </w:p>
    <w:p w14:paraId="08F528BF" w14:textId="5B4E0173" w:rsidR="000F3B29" w:rsidRPr="0073525B" w:rsidRDefault="000F3B29" w:rsidP="00B3740C">
      <w:pPr>
        <w:pStyle w:val="LGTdoc0"/>
        <w:tabs>
          <w:tab w:val="center" w:pos="4686"/>
        </w:tabs>
        <w:spacing w:before="120" w:afterLines="0" w:line="240" w:lineRule="auto"/>
        <w:rPr>
          <w:szCs w:val="22"/>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1FFF724A" w14:textId="1E61951A" w:rsidR="00D5017E" w:rsidRPr="00EA4AA7" w:rsidRDefault="00387F8E" w:rsidP="0052296E">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E01DE7">
        <w:rPr>
          <w:szCs w:val="22"/>
          <w:lang w:val="en-US"/>
        </w:rPr>
        <w:t xml:space="preserve">we discuss remaining issues on PDCCH structure, and followings are proposed; </w:t>
      </w:r>
    </w:p>
    <w:p w14:paraId="69C242CA" w14:textId="77777777" w:rsidR="00867454" w:rsidRPr="00D613C9" w:rsidRDefault="00867454" w:rsidP="00867454">
      <w:pPr>
        <w:pStyle w:val="LGTdoc0"/>
        <w:tabs>
          <w:tab w:val="center" w:pos="4686"/>
        </w:tabs>
        <w:spacing w:before="120" w:afterLines="0" w:line="240" w:lineRule="auto"/>
        <w:rPr>
          <w:b/>
          <w:szCs w:val="22"/>
          <w:lang w:val="en-US"/>
        </w:rPr>
      </w:pPr>
      <w:r w:rsidRPr="00D613C9">
        <w:rPr>
          <w:rFonts w:hint="eastAsia"/>
          <w:b/>
          <w:szCs w:val="22"/>
          <w:lang w:val="en-US"/>
        </w:rPr>
        <w:t xml:space="preserve">Proposal 1: </w:t>
      </w:r>
      <w:r>
        <w:rPr>
          <w:b/>
          <w:szCs w:val="22"/>
          <w:lang w:val="en-US"/>
        </w:rPr>
        <w:t>For a CCE-to-REG mapping, t</w:t>
      </w:r>
      <w:r w:rsidRPr="00D613C9">
        <w:rPr>
          <w:rFonts w:hint="eastAsia"/>
          <w:b/>
          <w:szCs w:val="22"/>
          <w:lang w:val="en-US"/>
        </w:rPr>
        <w:t>he REG bundle level interleaving is applied to CORESET</w:t>
      </w:r>
      <w:r>
        <w:rPr>
          <w:b/>
          <w:szCs w:val="22"/>
          <w:lang w:val="en-US"/>
        </w:rPr>
        <w:t>#0</w:t>
      </w:r>
      <w:r w:rsidRPr="00D613C9">
        <w:rPr>
          <w:rFonts w:hint="eastAsia"/>
          <w:b/>
          <w:szCs w:val="22"/>
          <w:lang w:val="en-US"/>
        </w:rPr>
        <w:t>.</w:t>
      </w:r>
    </w:p>
    <w:p w14:paraId="17512490" w14:textId="5C891F24" w:rsidR="00E01DE7" w:rsidRDefault="00867454" w:rsidP="00867454">
      <w:pPr>
        <w:pStyle w:val="LGTdoc0"/>
        <w:spacing w:before="120" w:afterLines="0" w:line="240" w:lineRule="auto"/>
        <w:rPr>
          <w:b/>
          <w:szCs w:val="22"/>
          <w:lang w:val="en-US"/>
        </w:rPr>
      </w:pPr>
      <w:r w:rsidRPr="00D613C9">
        <w:rPr>
          <w:b/>
          <w:szCs w:val="22"/>
          <w:lang w:val="en-US"/>
        </w:rPr>
        <w:t>Proposal 2: The interleaver size</w:t>
      </w:r>
      <w:r>
        <w:rPr>
          <w:b/>
          <w:szCs w:val="22"/>
          <w:lang w:val="en-US"/>
        </w:rPr>
        <w:t xml:space="preserve"> of CORESET#0</w:t>
      </w:r>
      <w:r w:rsidRPr="00D613C9">
        <w:rPr>
          <w:b/>
          <w:szCs w:val="22"/>
          <w:lang w:val="en-US"/>
        </w:rPr>
        <w:t xml:space="preserve"> </w:t>
      </w:r>
      <w:r>
        <w:rPr>
          <w:b/>
          <w:szCs w:val="22"/>
          <w:lang w:val="en-US"/>
        </w:rPr>
        <w:t>is determined depending on the total number of REGs in the CORESET.</w:t>
      </w:r>
    </w:p>
    <w:p w14:paraId="3B1701BC" w14:textId="7CAA4B61" w:rsidR="00867454" w:rsidRDefault="00867454" w:rsidP="00867454">
      <w:pPr>
        <w:pStyle w:val="LGTdoc0"/>
        <w:spacing w:before="120" w:afterLines="0" w:line="240" w:lineRule="auto"/>
        <w:rPr>
          <w:b/>
          <w:szCs w:val="22"/>
          <w:lang w:val="en-US"/>
        </w:rPr>
      </w:pPr>
      <w:r w:rsidRPr="00511853">
        <w:rPr>
          <w:rFonts w:hint="eastAsia"/>
          <w:b/>
          <w:szCs w:val="22"/>
          <w:lang w:val="en-US"/>
        </w:rPr>
        <w:t>Proposal</w:t>
      </w:r>
      <w:r w:rsidRPr="00511853">
        <w:rPr>
          <w:b/>
          <w:szCs w:val="22"/>
          <w:lang w:val="en-US"/>
        </w:rPr>
        <w:t xml:space="preserve"> 3</w:t>
      </w:r>
      <w:r w:rsidRPr="00511853">
        <w:rPr>
          <w:rFonts w:hint="eastAsia"/>
          <w:b/>
          <w:szCs w:val="22"/>
          <w:lang w:val="en-US"/>
        </w:rPr>
        <w:t xml:space="preserve">: </w:t>
      </w:r>
      <w:r w:rsidRPr="00511853">
        <w:rPr>
          <w:b/>
          <w:szCs w:val="22"/>
          <w:lang w:val="en-US"/>
        </w:rPr>
        <w:t>If a CORESET is overlapped with a SSB on a certain slot, resource unit (e.g., REG, REG bundle, CCE) re-indexing is performed on non-overlapped frequency region in the slot.</w:t>
      </w:r>
    </w:p>
    <w:p w14:paraId="095CE746" w14:textId="3E56659F" w:rsidR="00867454" w:rsidRDefault="00867454" w:rsidP="00867454">
      <w:pPr>
        <w:pStyle w:val="LGTdoc0"/>
        <w:tabs>
          <w:tab w:val="center" w:pos="4686"/>
        </w:tabs>
        <w:spacing w:before="120" w:afterLines="0" w:line="240" w:lineRule="auto"/>
        <w:rPr>
          <w:b/>
          <w:szCs w:val="22"/>
        </w:rPr>
      </w:pPr>
      <w:r w:rsidRPr="0001376E">
        <w:rPr>
          <w:b/>
          <w:szCs w:val="22"/>
        </w:rPr>
        <w:t xml:space="preserve">Proposal </w:t>
      </w:r>
      <w:r>
        <w:rPr>
          <w:b/>
          <w:szCs w:val="22"/>
        </w:rPr>
        <w:t>4</w:t>
      </w:r>
      <w:r w:rsidRPr="0001376E">
        <w:rPr>
          <w:b/>
          <w:szCs w:val="22"/>
        </w:rPr>
        <w:t xml:space="preserve">: </w:t>
      </w:r>
      <w:r w:rsidR="001230EB">
        <w:rPr>
          <w:b/>
          <w:szCs w:val="22"/>
        </w:rPr>
        <w:t>The candidate skipping</w:t>
      </w:r>
      <w:r>
        <w:rPr>
          <w:b/>
          <w:szCs w:val="22"/>
        </w:rPr>
        <w:t xml:space="preserve"> is assumed when CORESET and rate matching resources overlap. </w:t>
      </w:r>
    </w:p>
    <w:p w14:paraId="6C4E0D30" w14:textId="4C210D38" w:rsidR="00867454" w:rsidRPr="0017101D" w:rsidRDefault="00867454" w:rsidP="00867454">
      <w:pPr>
        <w:pStyle w:val="LGTdoc0"/>
        <w:spacing w:before="120" w:afterLines="0" w:line="240" w:lineRule="auto"/>
        <w:rPr>
          <w:b/>
          <w:szCs w:val="22"/>
          <w:lang w:val="en-US"/>
        </w:rPr>
      </w:pPr>
      <w:r>
        <w:rPr>
          <w:b/>
          <w:szCs w:val="22"/>
        </w:rPr>
        <w:t>Proposal 5: Precoder assumption in frequency domain is not affected by rate matching resources when wideband RS is configured.</w:t>
      </w:r>
    </w:p>
    <w:sectPr w:rsidR="00867454" w:rsidRPr="0017101D" w:rsidSect="004274B1">
      <w:footerReference w:type="even" r:id="rId12"/>
      <w:footerReference w:type="default" r:id="rId1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14B2F" w14:textId="77777777" w:rsidR="000372CB" w:rsidRDefault="000372CB">
      <w:r>
        <w:separator/>
      </w:r>
    </w:p>
  </w:endnote>
  <w:endnote w:type="continuationSeparator" w:id="0">
    <w:p w14:paraId="1C3E5156" w14:textId="77777777" w:rsidR="000372CB" w:rsidRDefault="0003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17CEE">
      <w:rPr>
        <w:rStyle w:val="a8"/>
        <w:noProof/>
      </w:rPr>
      <w:t>1</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4C522" w14:textId="77777777" w:rsidR="000372CB" w:rsidRDefault="000372CB">
      <w:r>
        <w:separator/>
      </w:r>
    </w:p>
  </w:footnote>
  <w:footnote w:type="continuationSeparator" w:id="0">
    <w:p w14:paraId="1E31C5A6" w14:textId="77777777" w:rsidR="000372CB" w:rsidRDefault="000372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8pt;height:10.8pt" o:bullet="t">
        <v:imagedata r:id="rId1" o:title="art1695"/>
      </v:shape>
    </w:pict>
  </w:numPicBullet>
  <w:numPicBullet w:numPicBulletId="1">
    <w:pict>
      <v:shape id="_x0000_i1029" type="#_x0000_t75" style="width:10.8pt;height:10.8pt" o:bullet="t">
        <v:imagedata r:id="rId2" o:title="art1742"/>
      </v:shape>
    </w:pict>
  </w:numPicBullet>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2CF144C"/>
    <w:multiLevelType w:val="hybridMultilevel"/>
    <w:tmpl w:val="212604A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6"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1"/>
  </w:num>
  <w:num w:numId="4">
    <w:abstractNumId w:val="30"/>
  </w:num>
  <w:num w:numId="5">
    <w:abstractNumId w:val="32"/>
  </w:num>
  <w:num w:numId="6">
    <w:abstractNumId w:val="19"/>
  </w:num>
  <w:num w:numId="7">
    <w:abstractNumId w:val="15"/>
  </w:num>
  <w:num w:numId="8">
    <w:abstractNumId w:val="8"/>
  </w:num>
  <w:num w:numId="9">
    <w:abstractNumId w:val="24"/>
  </w:num>
  <w:num w:numId="10">
    <w:abstractNumId w:val="5"/>
  </w:num>
  <w:num w:numId="11">
    <w:abstractNumId w:val="11"/>
  </w:num>
  <w:num w:numId="12">
    <w:abstractNumId w:val="9"/>
  </w:num>
  <w:num w:numId="13">
    <w:abstractNumId w:val="3"/>
  </w:num>
  <w:num w:numId="14">
    <w:abstractNumId w:val="1"/>
  </w:num>
  <w:num w:numId="15">
    <w:abstractNumId w:val="14"/>
  </w:num>
  <w:num w:numId="16">
    <w:abstractNumId w:val="7"/>
  </w:num>
  <w:num w:numId="17">
    <w:abstractNumId w:val="25"/>
  </w:num>
  <w:num w:numId="18">
    <w:abstractNumId w:val="27"/>
  </w:num>
  <w:num w:numId="19">
    <w:abstractNumId w:val="18"/>
  </w:num>
  <w:num w:numId="20">
    <w:abstractNumId w:val="24"/>
  </w:num>
  <w:num w:numId="21">
    <w:abstractNumId w:val="23"/>
  </w:num>
  <w:num w:numId="22">
    <w:abstractNumId w:val="26"/>
  </w:num>
  <w:num w:numId="23">
    <w:abstractNumId w:val="20"/>
  </w:num>
  <w:num w:numId="24">
    <w:abstractNumId w:val="31"/>
  </w:num>
  <w:num w:numId="25">
    <w:abstractNumId w:val="22"/>
  </w:num>
  <w:num w:numId="26">
    <w:abstractNumId w:val="16"/>
  </w:num>
  <w:num w:numId="27">
    <w:abstractNumId w:val="28"/>
  </w:num>
  <w:num w:numId="28">
    <w:abstractNumId w:val="2"/>
  </w:num>
  <w:num w:numId="29">
    <w:abstractNumId w:val="12"/>
  </w:num>
  <w:num w:numId="30">
    <w:abstractNumId w:val="4"/>
  </w:num>
  <w:num w:numId="31">
    <w:abstractNumId w:val="17"/>
  </w:num>
  <w:num w:numId="32">
    <w:abstractNumId w:val="6"/>
  </w:num>
  <w:num w:numId="33">
    <w:abstractNumId w:val="29"/>
  </w:num>
  <w:num w:numId="3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72CB"/>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236"/>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9AA"/>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0EB"/>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51A"/>
    <w:rsid w:val="002D4CA6"/>
    <w:rsid w:val="002D5758"/>
    <w:rsid w:val="002D57BC"/>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6EDE"/>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4C74"/>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39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39E4"/>
    <w:rsid w:val="003B428D"/>
    <w:rsid w:val="003B42A4"/>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44F0"/>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62F0"/>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220"/>
    <w:rsid w:val="004D33DB"/>
    <w:rsid w:val="004D3CA2"/>
    <w:rsid w:val="004D3E1D"/>
    <w:rsid w:val="004D4360"/>
    <w:rsid w:val="004D4B30"/>
    <w:rsid w:val="004D51B2"/>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3BC7"/>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193"/>
    <w:rsid w:val="00506640"/>
    <w:rsid w:val="0050699D"/>
    <w:rsid w:val="005077BD"/>
    <w:rsid w:val="00507C79"/>
    <w:rsid w:val="0051033C"/>
    <w:rsid w:val="005106A6"/>
    <w:rsid w:val="00510901"/>
    <w:rsid w:val="0051120D"/>
    <w:rsid w:val="00511853"/>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296E"/>
    <w:rsid w:val="005232FA"/>
    <w:rsid w:val="00523A1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44E"/>
    <w:rsid w:val="005E1183"/>
    <w:rsid w:val="005E1295"/>
    <w:rsid w:val="005E13DE"/>
    <w:rsid w:val="005E1559"/>
    <w:rsid w:val="005E15D6"/>
    <w:rsid w:val="005E17E5"/>
    <w:rsid w:val="005E3AD1"/>
    <w:rsid w:val="005E412D"/>
    <w:rsid w:val="005E417B"/>
    <w:rsid w:val="005E4418"/>
    <w:rsid w:val="005E4476"/>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3C3E"/>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1FCA"/>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8E2"/>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DD6"/>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4D19"/>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0DEB"/>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CEE"/>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868"/>
    <w:rsid w:val="00837893"/>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454"/>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5769"/>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076"/>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4F6A"/>
    <w:rsid w:val="00935B63"/>
    <w:rsid w:val="00935B7D"/>
    <w:rsid w:val="00935D09"/>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12"/>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EB5"/>
    <w:rsid w:val="00A95F4A"/>
    <w:rsid w:val="00A963FA"/>
    <w:rsid w:val="00A9656D"/>
    <w:rsid w:val="00A96780"/>
    <w:rsid w:val="00A96926"/>
    <w:rsid w:val="00A971D9"/>
    <w:rsid w:val="00A97934"/>
    <w:rsid w:val="00A97C87"/>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B8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628A"/>
    <w:rsid w:val="00AE755E"/>
    <w:rsid w:val="00AE7619"/>
    <w:rsid w:val="00AE7EB7"/>
    <w:rsid w:val="00AE7F6E"/>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551"/>
    <w:rsid w:val="00B1473A"/>
    <w:rsid w:val="00B14CAD"/>
    <w:rsid w:val="00B1572E"/>
    <w:rsid w:val="00B16268"/>
    <w:rsid w:val="00B16675"/>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2FEB"/>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2B3"/>
    <w:rsid w:val="00BC0723"/>
    <w:rsid w:val="00BC0841"/>
    <w:rsid w:val="00BC0D8B"/>
    <w:rsid w:val="00BC116C"/>
    <w:rsid w:val="00BC1218"/>
    <w:rsid w:val="00BC12EC"/>
    <w:rsid w:val="00BC1412"/>
    <w:rsid w:val="00BC161A"/>
    <w:rsid w:val="00BC1953"/>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364"/>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062"/>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971"/>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1C1"/>
    <w:rsid w:val="00C41505"/>
    <w:rsid w:val="00C41777"/>
    <w:rsid w:val="00C41A24"/>
    <w:rsid w:val="00C42006"/>
    <w:rsid w:val="00C42CEE"/>
    <w:rsid w:val="00C4326A"/>
    <w:rsid w:val="00C4358A"/>
    <w:rsid w:val="00C437C3"/>
    <w:rsid w:val="00C43C92"/>
    <w:rsid w:val="00C43D7A"/>
    <w:rsid w:val="00C4405B"/>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2E4"/>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05A"/>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54E8"/>
    <w:rsid w:val="00D3701C"/>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3C9"/>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57E"/>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1F9B"/>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6E51"/>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1DE7"/>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980"/>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4ECB"/>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632"/>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6F8D"/>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2E92"/>
    <w:rsid w:val="00F33242"/>
    <w:rsid w:val="00F33CD8"/>
    <w:rsid w:val="00F33EE0"/>
    <w:rsid w:val="00F34EA2"/>
    <w:rsid w:val="00F3579D"/>
    <w:rsid w:val="00F357B0"/>
    <w:rsid w:val="00F36BDF"/>
    <w:rsid w:val="00F36C03"/>
    <w:rsid w:val="00F375B2"/>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56A"/>
    <w:rsid w:val="00FB0710"/>
    <w:rsid w:val="00FB0D98"/>
    <w:rsid w:val="00FB0E5A"/>
    <w:rsid w:val="00FB1755"/>
    <w:rsid w:val="00FB2293"/>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numbering" w:customStyle="1" w:styleId="StyleBulletedSymbolsymbolLeft025Hanging025">
    <w:name w:val="Style Bulleted Symbol (symbol) Left:  0.25&quot; Hanging:  0.25&quot;"/>
    <w:basedOn w:val="a3"/>
    <w:rsid w:val="00C24971"/>
    <w:pPr>
      <w:numPr>
        <w:numId w:val="30"/>
      </w:numPr>
    </w:pPr>
  </w:style>
  <w:style w:type="character" w:styleId="af6">
    <w:name w:val="Placeholder Text"/>
    <w:basedOn w:val="a1"/>
    <w:uiPriority w:val="99"/>
    <w:semiHidden/>
    <w:rsid w:val="00F32E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D8406-EAB9-431C-9E7B-DC1E4AF6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1192</Words>
  <Characters>6798</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2</cp:revision>
  <cp:lastPrinted>2014-01-26T05:26:00Z</cp:lastPrinted>
  <dcterms:created xsi:type="dcterms:W3CDTF">2018-02-15T02:13:00Z</dcterms:created>
  <dcterms:modified xsi:type="dcterms:W3CDTF">2018-02-15T02:13:00Z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