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C19" w:rsidRPr="00682A60" w:rsidRDefault="00274D24" w:rsidP="00501AA7">
      <w:pPr>
        <w:tabs>
          <w:tab w:val="right" w:pos="9216"/>
        </w:tabs>
        <w:spacing w:after="0"/>
        <w:rPr>
          <w:b/>
          <w:kern w:val="2"/>
          <w:lang w:eastAsia="zh-CN"/>
        </w:rPr>
      </w:pPr>
      <w:r>
        <w:rPr>
          <w:noProof/>
          <w:lang w:eastAsia="zh-CN"/>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30977" id="DtsShapeName"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C6FF3">
        <w:rPr>
          <w:b/>
        </w:rPr>
        <w:t>3GPP TSG RAN WG1</w:t>
      </w:r>
      <w:r w:rsidR="00586C19">
        <w:rPr>
          <w:b/>
        </w:rPr>
        <w:t xml:space="preserve"> M</w:t>
      </w:r>
      <w:bookmarkStart w:id="0" w:name="_GoBack"/>
      <w:bookmarkEnd w:id="0"/>
      <w:r w:rsidR="00586C19">
        <w:rPr>
          <w:b/>
        </w:rPr>
        <w:t>eeting</w:t>
      </w:r>
      <w:r w:rsidR="004C6FF3">
        <w:rPr>
          <w:b/>
        </w:rPr>
        <w:t xml:space="preserve"> </w:t>
      </w:r>
      <w:r w:rsidR="004C6FF3">
        <w:rPr>
          <w:b/>
        </w:rPr>
        <w:t>#92</w:t>
      </w:r>
      <w:r w:rsidR="00586C19" w:rsidRPr="00682A60">
        <w:rPr>
          <w:b/>
          <w:kern w:val="2"/>
          <w:lang w:eastAsia="zh-CN"/>
        </w:rPr>
        <w:tab/>
      </w:r>
      <w:r w:rsidR="00586C19" w:rsidRPr="00AF4CF6">
        <w:rPr>
          <w:b/>
          <w:kern w:val="2"/>
          <w:lang w:eastAsia="zh-CN"/>
        </w:rPr>
        <w:t>R1-</w:t>
      </w:r>
      <w:r w:rsidRPr="00AF4CF6">
        <w:rPr>
          <w:b/>
          <w:kern w:val="2"/>
          <w:lang w:eastAsia="zh-CN"/>
        </w:rPr>
        <w:t>18</w:t>
      </w:r>
      <w:r>
        <w:rPr>
          <w:b/>
          <w:kern w:val="2"/>
          <w:lang w:eastAsia="zh-CN"/>
        </w:rPr>
        <w:t>01793</w:t>
      </w:r>
    </w:p>
    <w:p w:rsidR="00586C19" w:rsidRPr="00CF195E" w:rsidRDefault="00586C19" w:rsidP="00586C19">
      <w:pPr>
        <w:jc w:val="left"/>
        <w:rPr>
          <w:b/>
          <w:kern w:val="2"/>
          <w:lang w:eastAsia="zh-CN"/>
        </w:rPr>
      </w:pPr>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26</w:t>
      </w:r>
      <w:r w:rsidRPr="00AF4CF6">
        <w:rPr>
          <w:b/>
          <w:kern w:val="2"/>
          <w:vertAlign w:val="superscript"/>
          <w:lang w:eastAsia="zh-CN"/>
        </w:rPr>
        <w:t>th</w:t>
      </w:r>
      <w:r>
        <w:rPr>
          <w:b/>
          <w:kern w:val="2"/>
          <w:lang w:eastAsia="zh-CN"/>
        </w:rPr>
        <w:t xml:space="preserve"> February – 2</w:t>
      </w:r>
      <w:r w:rsidRPr="000C10E0">
        <w:rPr>
          <w:b/>
          <w:kern w:val="2"/>
          <w:vertAlign w:val="superscript"/>
          <w:lang w:eastAsia="zh-CN"/>
        </w:rPr>
        <w:t>nd</w:t>
      </w:r>
      <w:r>
        <w:rPr>
          <w:b/>
          <w:kern w:val="2"/>
          <w:lang w:eastAsia="zh-CN"/>
        </w:rPr>
        <w:t xml:space="preserve"> March</w:t>
      </w:r>
      <w:r w:rsidRPr="008C0499">
        <w:rPr>
          <w:b/>
          <w:kern w:val="2"/>
          <w:lang w:eastAsia="zh-CN"/>
        </w:rPr>
        <w:t xml:space="preserve"> 2018</w:t>
      </w:r>
    </w:p>
    <w:p w:rsidR="009C0564" w:rsidRPr="00586C19"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41868">
        <w:rPr>
          <w:b/>
          <w:kern w:val="2"/>
          <w:lang w:eastAsia="zh-CN"/>
        </w:rPr>
        <w:t>7.</w:t>
      </w:r>
      <w:r w:rsidR="00257404">
        <w:rPr>
          <w:rFonts w:hint="eastAsia"/>
          <w:b/>
          <w:kern w:val="2"/>
          <w:lang w:eastAsia="zh-CN"/>
        </w:rPr>
        <w:t>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1868">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71AD6" w:rsidRPr="00171AD6">
        <w:rPr>
          <w:b/>
          <w:kern w:val="2"/>
          <w:lang w:eastAsia="zh-CN"/>
        </w:rPr>
        <w:t>Consideration on self evaluation of IMT-2020 for high mobility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rsidR="009C0564" w:rsidRPr="00CF195E" w:rsidRDefault="009C0564" w:rsidP="00CF195E">
      <w:pPr>
        <w:pBdr>
          <w:bottom w:val="single" w:sz="4" w:space="1" w:color="auto"/>
        </w:pBdr>
        <w:spacing w:after="0"/>
        <w:jc w:val="left"/>
        <w:rPr>
          <w:b/>
          <w:kern w:val="2"/>
          <w:sz w:val="16"/>
          <w:szCs w:val="16"/>
          <w:lang w:eastAsia="zh-CN"/>
        </w:rPr>
      </w:pPr>
    </w:p>
    <w:p w:rsidR="00341868" w:rsidRPr="00CF195E" w:rsidRDefault="00341868" w:rsidP="00341868">
      <w:pPr>
        <w:pStyle w:val="1"/>
      </w:pPr>
      <w:bookmarkStart w:id="1" w:name="_Ref124589705"/>
      <w:bookmarkStart w:id="2" w:name="_Ref129681862"/>
      <w:r w:rsidRPr="00CF195E">
        <w:t>Introduction</w:t>
      </w:r>
      <w:bookmarkEnd w:id="1"/>
      <w:bookmarkEnd w:id="2"/>
    </w:p>
    <w:p w:rsidR="00B20033" w:rsidRPr="006828F5" w:rsidRDefault="008B73EE" w:rsidP="00171AD6">
      <w:pPr>
        <w:rPr>
          <w:lang w:eastAsia="zh-CN"/>
        </w:rPr>
      </w:pPr>
      <w:r>
        <w:rPr>
          <w:rFonts w:hint="eastAsia"/>
          <w:lang w:eastAsia="zh-CN"/>
        </w:rPr>
        <w:t>In this contribution, the consideration on self evaluation for mobility is presented</w:t>
      </w:r>
      <w:r w:rsidR="00171AD6">
        <w:rPr>
          <w:rFonts w:hint="eastAsia"/>
          <w:lang w:eastAsia="zh-CN"/>
        </w:rPr>
        <w:t>.</w:t>
      </w:r>
    </w:p>
    <w:p w:rsidR="00341868" w:rsidRDefault="004E616B" w:rsidP="00341868">
      <w:pPr>
        <w:pStyle w:val="1"/>
        <w:rPr>
          <w:lang w:eastAsia="zh-CN"/>
        </w:rPr>
      </w:pPr>
      <w:r>
        <w:rPr>
          <w:rFonts w:hint="eastAsia"/>
        </w:rPr>
        <w:t>Mobility requirement, evaluation method, and configuration</w:t>
      </w:r>
    </w:p>
    <w:p w:rsidR="00293BAF" w:rsidRDefault="00293BAF" w:rsidP="00293BAF">
      <w:pPr>
        <w:pStyle w:val="2"/>
        <w:spacing w:before="0"/>
      </w:pPr>
      <w:r>
        <w:rPr>
          <w:rFonts w:hint="eastAsia"/>
        </w:rPr>
        <w:t>Requirement</w:t>
      </w:r>
    </w:p>
    <w:p w:rsidR="00293BAF" w:rsidRDefault="00293BAF" w:rsidP="00293BAF">
      <w:pPr>
        <w:rPr>
          <w:lang w:eastAsia="zh-CN"/>
        </w:rPr>
      </w:pPr>
      <w:r>
        <w:rPr>
          <w:rFonts w:hint="eastAsia"/>
          <w:lang w:eastAsia="zh-CN"/>
        </w:rPr>
        <w:t>In Report ITU-R M.2410</w:t>
      </w:r>
      <w:r w:rsidR="00224518">
        <w:rPr>
          <w:rFonts w:hint="eastAsia"/>
          <w:lang w:eastAsia="zh-CN"/>
        </w:rPr>
        <w:t xml:space="preserve"> (see [1])</w:t>
      </w:r>
      <w:r>
        <w:rPr>
          <w:rFonts w:hint="eastAsia"/>
          <w:lang w:eastAsia="zh-CN"/>
        </w:rPr>
        <w:t>, the requirement of mobility is defined</w:t>
      </w:r>
      <w:r w:rsidR="00A65A93">
        <w:rPr>
          <w:rFonts w:hint="eastAsia"/>
          <w:lang w:eastAsia="zh-CN"/>
        </w:rPr>
        <w:t xml:space="preserve"> as in Table 1</w:t>
      </w:r>
      <w:r>
        <w:rPr>
          <w:rFonts w:hint="eastAsia"/>
          <w:lang w:eastAsia="zh-CN"/>
        </w:rPr>
        <w:t xml:space="preserve">. </w:t>
      </w:r>
    </w:p>
    <w:p w:rsidR="00293BAF" w:rsidRPr="005A47AE" w:rsidRDefault="00293BAF" w:rsidP="00293BAF">
      <w:pPr>
        <w:pStyle w:val="TableNo"/>
        <w:spacing w:before="240"/>
        <w:rPr>
          <w:lang w:val="en-US" w:eastAsia="zh-CN"/>
        </w:rPr>
      </w:pPr>
      <w:r w:rsidRPr="005A47AE">
        <w:rPr>
          <w:lang w:val="en-US"/>
        </w:rPr>
        <w:t xml:space="preserve">TABLE </w:t>
      </w:r>
      <w:r w:rsidR="00A65A93">
        <w:rPr>
          <w:rFonts w:hint="eastAsia"/>
          <w:lang w:val="en-US" w:eastAsia="zh-CN"/>
        </w:rPr>
        <w:t>1</w:t>
      </w:r>
    </w:p>
    <w:p w:rsidR="00293BAF" w:rsidRPr="005A47AE" w:rsidRDefault="00293BAF" w:rsidP="00293BAF">
      <w:pPr>
        <w:pStyle w:val="Tabletitle"/>
        <w:rPr>
          <w:lang w:val="en-US" w:eastAsia="ja-JP"/>
        </w:rPr>
      </w:pPr>
      <w:r w:rsidRPr="005A47AE">
        <w:rPr>
          <w:lang w:val="en-US"/>
        </w:rPr>
        <w:t>Traffic channel link data rates</w:t>
      </w:r>
      <w:r w:rsidRPr="005A47AE">
        <w:rPr>
          <w:lang w:val="en-US" w:eastAsia="ja-JP"/>
        </w:rPr>
        <w:t xml:space="preserve"> normalized by bandwidth</w:t>
      </w:r>
    </w:p>
    <w:tbl>
      <w:tblPr>
        <w:tblStyle w:val="ab"/>
        <w:tblW w:w="0" w:type="auto"/>
        <w:tblLook w:val="01E0" w:firstRow="1" w:lastRow="1" w:firstColumn="1" w:lastColumn="1" w:noHBand="0" w:noVBand="0"/>
      </w:tblPr>
      <w:tblGrid>
        <w:gridCol w:w="3691"/>
        <w:gridCol w:w="3153"/>
        <w:gridCol w:w="2463"/>
      </w:tblGrid>
      <w:tr w:rsidR="00293BAF" w:rsidRPr="0024720E" w:rsidTr="00B812EB">
        <w:tc>
          <w:tcPr>
            <w:tcW w:w="3823" w:type="dxa"/>
            <w:tcBorders>
              <w:top w:val="single" w:sz="4" w:space="0" w:color="auto"/>
              <w:left w:val="single" w:sz="4" w:space="0" w:color="auto"/>
              <w:bottom w:val="single" w:sz="4" w:space="0" w:color="auto"/>
              <w:right w:val="single" w:sz="4" w:space="0" w:color="auto"/>
            </w:tcBorders>
          </w:tcPr>
          <w:p w:rsidR="00293BAF" w:rsidRPr="0024720E" w:rsidRDefault="00293BAF" w:rsidP="00B812EB">
            <w:pPr>
              <w:pStyle w:val="Tablehead"/>
              <w:keepLines/>
              <w:rPr>
                <w:rFonts w:asciiTheme="majorBidi" w:hAnsiTheme="majorBidi" w:cstheme="majorBidi"/>
              </w:rPr>
            </w:pPr>
            <w:r w:rsidRPr="0024720E">
              <w:rPr>
                <w:rFonts w:asciiTheme="majorBidi" w:hAnsiTheme="majorBidi" w:cstheme="majorBidi"/>
              </w:rPr>
              <w:t>Test environment</w:t>
            </w:r>
          </w:p>
        </w:tc>
        <w:tc>
          <w:tcPr>
            <w:tcW w:w="3260" w:type="dxa"/>
            <w:tcBorders>
              <w:top w:val="single" w:sz="4" w:space="0" w:color="auto"/>
              <w:left w:val="single" w:sz="4" w:space="0" w:color="auto"/>
              <w:bottom w:val="single" w:sz="4" w:space="0" w:color="auto"/>
              <w:right w:val="single" w:sz="4" w:space="0" w:color="auto"/>
            </w:tcBorders>
            <w:hideMark/>
          </w:tcPr>
          <w:p w:rsidR="00293BAF" w:rsidRPr="00B43DC3" w:rsidRDefault="00293BAF" w:rsidP="00B812EB">
            <w:pPr>
              <w:pStyle w:val="Tablehead"/>
              <w:keepLines/>
              <w:rPr>
                <w:rFonts w:asciiTheme="majorBidi" w:hAnsiTheme="majorBidi" w:cstheme="majorBidi"/>
              </w:rPr>
            </w:pPr>
            <w:r w:rsidRPr="00B43DC3">
              <w:rPr>
                <w:rFonts w:asciiTheme="majorBidi" w:hAnsiTheme="majorBidi" w:cstheme="majorBidi"/>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rsidR="00293BAF" w:rsidRPr="0024720E" w:rsidRDefault="00293BAF" w:rsidP="00B812EB">
            <w:pPr>
              <w:pStyle w:val="Tablehead"/>
              <w:keepLines/>
              <w:rPr>
                <w:rFonts w:asciiTheme="majorBidi" w:hAnsiTheme="majorBidi" w:cstheme="majorBidi"/>
              </w:rPr>
            </w:pPr>
            <w:r>
              <w:rPr>
                <w:rFonts w:asciiTheme="majorBidi" w:hAnsiTheme="majorBidi" w:cstheme="majorBidi"/>
              </w:rPr>
              <w:t>Mobility</w:t>
            </w:r>
            <w:r w:rsidRPr="0024720E">
              <w:rPr>
                <w:rFonts w:asciiTheme="majorBidi" w:hAnsiTheme="majorBidi" w:cstheme="majorBidi"/>
              </w:rPr>
              <w:br/>
              <w:t>(km/h)</w:t>
            </w:r>
          </w:p>
        </w:tc>
      </w:tr>
      <w:tr w:rsidR="00293BAF" w:rsidRPr="0024720E" w:rsidTr="00B812EB">
        <w:tc>
          <w:tcPr>
            <w:tcW w:w="3823" w:type="dxa"/>
            <w:tcBorders>
              <w:top w:val="single" w:sz="4" w:space="0" w:color="auto"/>
              <w:left w:val="single" w:sz="4" w:space="0" w:color="auto"/>
              <w:bottom w:val="single" w:sz="4" w:space="0" w:color="auto"/>
              <w:right w:val="single" w:sz="4" w:space="0" w:color="auto"/>
            </w:tcBorders>
            <w:hideMark/>
          </w:tcPr>
          <w:p w:rsidR="00293BAF" w:rsidRPr="0024720E" w:rsidRDefault="00293BAF" w:rsidP="00B812EB">
            <w:pPr>
              <w:pStyle w:val="Tabletext"/>
              <w:keepNext/>
              <w:keepLines/>
              <w:rPr>
                <w:rFonts w:asciiTheme="majorBidi" w:hAnsiTheme="majorBidi" w:cstheme="majorBidi"/>
              </w:rPr>
            </w:pPr>
            <w:r w:rsidRPr="0024720E">
              <w:rPr>
                <w:rFonts w:asciiTheme="majorBidi" w:hAnsiTheme="majorBidi" w:cstheme="majorBidi"/>
              </w:rPr>
              <w:t>Indoor Hotspot – eMBB</w:t>
            </w:r>
          </w:p>
        </w:tc>
        <w:tc>
          <w:tcPr>
            <w:tcW w:w="3260" w:type="dxa"/>
            <w:tcBorders>
              <w:top w:val="single" w:sz="4" w:space="0" w:color="auto"/>
              <w:left w:val="single" w:sz="4" w:space="0" w:color="auto"/>
              <w:bottom w:val="single" w:sz="4" w:space="0" w:color="auto"/>
              <w:right w:val="single" w:sz="4" w:space="0" w:color="auto"/>
            </w:tcBorders>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1.5</w:t>
            </w:r>
          </w:p>
        </w:tc>
        <w:tc>
          <w:tcPr>
            <w:tcW w:w="2546" w:type="dxa"/>
            <w:tcBorders>
              <w:top w:val="single" w:sz="4" w:space="0" w:color="auto"/>
              <w:left w:val="single" w:sz="4" w:space="0" w:color="auto"/>
              <w:bottom w:val="single" w:sz="4" w:space="0" w:color="auto"/>
              <w:right w:val="single" w:sz="4" w:space="0" w:color="auto"/>
            </w:tcBorders>
            <w:hideMark/>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10</w:t>
            </w:r>
          </w:p>
        </w:tc>
      </w:tr>
      <w:tr w:rsidR="00293BAF" w:rsidRPr="0024720E" w:rsidTr="00B812EB">
        <w:tc>
          <w:tcPr>
            <w:tcW w:w="3823" w:type="dxa"/>
            <w:tcBorders>
              <w:top w:val="single" w:sz="4" w:space="0" w:color="auto"/>
              <w:left w:val="single" w:sz="4" w:space="0" w:color="auto"/>
              <w:bottom w:val="single" w:sz="4" w:space="0" w:color="auto"/>
              <w:right w:val="single" w:sz="4" w:space="0" w:color="auto"/>
            </w:tcBorders>
            <w:hideMark/>
          </w:tcPr>
          <w:p w:rsidR="00293BAF" w:rsidRPr="0024720E" w:rsidRDefault="00293BAF" w:rsidP="00B812EB">
            <w:pPr>
              <w:pStyle w:val="Tabletext"/>
              <w:keepNext/>
              <w:keepLines/>
              <w:rPr>
                <w:rFonts w:asciiTheme="majorBidi" w:hAnsiTheme="majorBidi" w:cstheme="majorBidi"/>
              </w:rPr>
            </w:pPr>
            <w:r w:rsidRPr="0024720E">
              <w:rPr>
                <w:rFonts w:asciiTheme="majorBidi" w:hAnsiTheme="majorBidi" w:cstheme="majorBidi"/>
              </w:rPr>
              <w:t>Dense Urban – eMBB</w:t>
            </w:r>
          </w:p>
        </w:tc>
        <w:tc>
          <w:tcPr>
            <w:tcW w:w="3260" w:type="dxa"/>
            <w:tcBorders>
              <w:top w:val="single" w:sz="4" w:space="0" w:color="auto"/>
              <w:left w:val="single" w:sz="4" w:space="0" w:color="auto"/>
              <w:bottom w:val="single" w:sz="4" w:space="0" w:color="auto"/>
              <w:right w:val="single" w:sz="4" w:space="0" w:color="auto"/>
            </w:tcBorders>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1.12</w:t>
            </w:r>
          </w:p>
        </w:tc>
        <w:tc>
          <w:tcPr>
            <w:tcW w:w="2546" w:type="dxa"/>
            <w:tcBorders>
              <w:top w:val="single" w:sz="4" w:space="0" w:color="auto"/>
              <w:left w:val="single" w:sz="4" w:space="0" w:color="auto"/>
              <w:bottom w:val="single" w:sz="4" w:space="0" w:color="auto"/>
              <w:right w:val="single" w:sz="4" w:space="0" w:color="auto"/>
            </w:tcBorders>
            <w:hideMark/>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30</w:t>
            </w:r>
          </w:p>
        </w:tc>
      </w:tr>
      <w:tr w:rsidR="00293BAF" w:rsidRPr="0024720E" w:rsidTr="00B812EB">
        <w:tc>
          <w:tcPr>
            <w:tcW w:w="3823" w:type="dxa"/>
            <w:vMerge w:val="restart"/>
            <w:tcBorders>
              <w:top w:val="single" w:sz="4" w:space="0" w:color="auto"/>
              <w:left w:val="single" w:sz="4" w:space="0" w:color="auto"/>
              <w:right w:val="single" w:sz="4" w:space="0" w:color="auto"/>
            </w:tcBorders>
            <w:hideMark/>
          </w:tcPr>
          <w:p w:rsidR="00293BAF" w:rsidRPr="0024720E" w:rsidRDefault="00293BAF" w:rsidP="00B812EB">
            <w:pPr>
              <w:pStyle w:val="Tabletext"/>
              <w:keepNext/>
              <w:keepLines/>
              <w:rPr>
                <w:rFonts w:asciiTheme="majorBidi" w:hAnsiTheme="majorBidi" w:cstheme="majorBidi"/>
              </w:rPr>
            </w:pPr>
            <w:r w:rsidRPr="0024720E">
              <w:rPr>
                <w:rFonts w:asciiTheme="majorBidi" w:hAnsiTheme="majorBidi" w:cstheme="majorBidi"/>
              </w:rPr>
              <w:t>Rural – eMBB</w:t>
            </w:r>
          </w:p>
        </w:tc>
        <w:tc>
          <w:tcPr>
            <w:tcW w:w="3260" w:type="dxa"/>
            <w:tcBorders>
              <w:top w:val="single" w:sz="4" w:space="0" w:color="auto"/>
              <w:left w:val="single" w:sz="4" w:space="0" w:color="auto"/>
              <w:bottom w:val="single" w:sz="4" w:space="0" w:color="auto"/>
              <w:right w:val="single" w:sz="4" w:space="0" w:color="auto"/>
            </w:tcBorders>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0.8</w:t>
            </w:r>
          </w:p>
        </w:tc>
        <w:tc>
          <w:tcPr>
            <w:tcW w:w="2546" w:type="dxa"/>
            <w:tcBorders>
              <w:top w:val="single" w:sz="4" w:space="0" w:color="auto"/>
              <w:left w:val="single" w:sz="4" w:space="0" w:color="auto"/>
              <w:bottom w:val="single" w:sz="4" w:space="0" w:color="auto"/>
              <w:right w:val="single" w:sz="4" w:space="0" w:color="auto"/>
            </w:tcBorders>
            <w:hideMark/>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120</w:t>
            </w:r>
          </w:p>
        </w:tc>
      </w:tr>
      <w:tr w:rsidR="00293BAF" w:rsidRPr="0024720E" w:rsidTr="00B812EB">
        <w:tc>
          <w:tcPr>
            <w:tcW w:w="3823" w:type="dxa"/>
            <w:vMerge/>
            <w:tcBorders>
              <w:left w:val="single" w:sz="4" w:space="0" w:color="auto"/>
              <w:bottom w:val="single" w:sz="4" w:space="0" w:color="auto"/>
              <w:right w:val="single" w:sz="4" w:space="0" w:color="auto"/>
            </w:tcBorders>
            <w:hideMark/>
          </w:tcPr>
          <w:p w:rsidR="00293BAF" w:rsidRPr="0024720E" w:rsidRDefault="00293BAF" w:rsidP="00B812EB">
            <w:pPr>
              <w:pStyle w:val="Tabletext"/>
              <w:keepNext/>
              <w:keepLines/>
              <w:rPr>
                <w:rFonts w:asciiTheme="majorBidi" w:hAnsiTheme="majorBidi" w:cstheme="majorBidi"/>
              </w:rPr>
            </w:pPr>
          </w:p>
        </w:tc>
        <w:tc>
          <w:tcPr>
            <w:tcW w:w="3260" w:type="dxa"/>
            <w:tcBorders>
              <w:top w:val="single" w:sz="4" w:space="0" w:color="auto"/>
              <w:left w:val="single" w:sz="4" w:space="0" w:color="auto"/>
              <w:bottom w:val="single" w:sz="4" w:space="0" w:color="auto"/>
              <w:right w:val="single" w:sz="4" w:space="0" w:color="auto"/>
            </w:tcBorders>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0.45</w:t>
            </w:r>
          </w:p>
        </w:tc>
        <w:tc>
          <w:tcPr>
            <w:tcW w:w="2546" w:type="dxa"/>
            <w:tcBorders>
              <w:top w:val="single" w:sz="4" w:space="0" w:color="auto"/>
              <w:left w:val="single" w:sz="4" w:space="0" w:color="auto"/>
              <w:bottom w:val="single" w:sz="4" w:space="0" w:color="auto"/>
              <w:right w:val="single" w:sz="4" w:space="0" w:color="auto"/>
            </w:tcBorders>
            <w:hideMark/>
          </w:tcPr>
          <w:p w:rsidR="00293BAF" w:rsidRPr="0024720E" w:rsidRDefault="00293BAF" w:rsidP="00B812EB">
            <w:pPr>
              <w:pStyle w:val="Tabletext"/>
              <w:keepNext/>
              <w:keepLines/>
              <w:jc w:val="center"/>
              <w:rPr>
                <w:rFonts w:asciiTheme="majorBidi" w:hAnsiTheme="majorBidi" w:cstheme="majorBidi"/>
              </w:rPr>
            </w:pPr>
            <w:r w:rsidRPr="0024720E">
              <w:rPr>
                <w:rFonts w:asciiTheme="majorBidi" w:hAnsiTheme="majorBidi" w:cstheme="majorBidi"/>
              </w:rPr>
              <w:t>500</w:t>
            </w:r>
          </w:p>
        </w:tc>
      </w:tr>
    </w:tbl>
    <w:p w:rsidR="00293BAF" w:rsidRDefault="00293BAF" w:rsidP="00293BAF">
      <w:pPr>
        <w:pStyle w:val="Tablefin"/>
      </w:pPr>
    </w:p>
    <w:p w:rsidR="00293BAF" w:rsidRDefault="00293BAF" w:rsidP="00293BAF">
      <w:pPr>
        <w:pStyle w:val="2"/>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s>
      </w:pPr>
      <w:r>
        <w:rPr>
          <w:rFonts w:hint="eastAsia"/>
        </w:rPr>
        <w:t>Evaluation method</w:t>
      </w:r>
    </w:p>
    <w:p w:rsidR="00293BAF" w:rsidRDefault="005337D7" w:rsidP="00293BAF">
      <w:pPr>
        <w:rPr>
          <w:lang w:eastAsia="zh-CN"/>
        </w:rPr>
      </w:pPr>
      <w:r>
        <w:rPr>
          <w:rFonts w:hint="eastAsia"/>
          <w:lang w:eastAsia="zh-CN"/>
        </w:rPr>
        <w:t>According to</w:t>
      </w:r>
      <w:r w:rsidR="00293BAF">
        <w:rPr>
          <w:rFonts w:hint="eastAsia"/>
          <w:lang w:eastAsia="zh-CN"/>
        </w:rPr>
        <w:t xml:space="preserve"> Report ITU-R M.2412 (see [</w:t>
      </w:r>
      <w:r w:rsidR="00224518">
        <w:rPr>
          <w:rFonts w:hint="eastAsia"/>
          <w:lang w:eastAsia="zh-CN"/>
        </w:rPr>
        <w:t>2</w:t>
      </w:r>
      <w:r w:rsidR="00293BAF">
        <w:rPr>
          <w:rFonts w:hint="eastAsia"/>
          <w:lang w:eastAsia="zh-CN"/>
        </w:rPr>
        <w:t xml:space="preserve">]), </w:t>
      </w:r>
      <w:r>
        <w:rPr>
          <w:rFonts w:hint="eastAsia"/>
          <w:lang w:eastAsia="zh-CN"/>
        </w:rPr>
        <w:t>s</w:t>
      </w:r>
      <w:r w:rsidRPr="005337D7">
        <w:rPr>
          <w:lang w:eastAsia="zh-CN"/>
        </w:rPr>
        <w:t>ystem level simulation and link level simulation are used to evaluate mobility</w:t>
      </w:r>
      <w:r w:rsidR="00293BAF">
        <w:rPr>
          <w:rFonts w:hint="eastAsia"/>
          <w:lang w:eastAsia="zh-CN"/>
        </w:rPr>
        <w:t>.</w:t>
      </w:r>
      <w:r>
        <w:rPr>
          <w:rFonts w:hint="eastAsia"/>
          <w:lang w:eastAsia="zh-CN"/>
        </w:rPr>
        <w:t xml:space="preserve"> </w:t>
      </w:r>
      <w:r w:rsidRPr="005337D7">
        <w:rPr>
          <w:lang w:eastAsia="zh-CN"/>
        </w:rPr>
        <w:t>For system level simulation part, the simulation should be performed using the same evaluation parameters and configuration selected for the evaluation of average spectral efficiency and 5th percentile user spectral efficiency.</w:t>
      </w:r>
    </w:p>
    <w:p w:rsidR="00C31888" w:rsidRDefault="00C31888" w:rsidP="00293BAF">
      <w:pPr>
        <w:rPr>
          <w:lang w:eastAsia="zh-CN"/>
        </w:rPr>
      </w:pPr>
      <w:r>
        <w:rPr>
          <w:rFonts w:hint="eastAsia"/>
          <w:lang w:eastAsia="zh-CN"/>
        </w:rPr>
        <w:t xml:space="preserve">System level simulation should provide the 50%-tile UL SINR to link level simulation. Link level simulation will be conducted under different SINR and the given mobility class to derive the link data rate </w:t>
      </w:r>
      <w:r>
        <w:rPr>
          <w:lang w:eastAsia="zh-CN"/>
        </w:rPr>
        <w:t>normalized</w:t>
      </w:r>
      <w:r>
        <w:rPr>
          <w:rFonts w:hint="eastAsia"/>
          <w:lang w:eastAsia="zh-CN"/>
        </w:rPr>
        <w:t xml:space="preserve"> by bandwidth.</w:t>
      </w:r>
    </w:p>
    <w:p w:rsidR="00A46605" w:rsidRDefault="00A46605" w:rsidP="00293BAF">
      <w:pPr>
        <w:rPr>
          <w:lang w:eastAsia="zh-CN"/>
        </w:rPr>
      </w:pPr>
      <w:r>
        <w:rPr>
          <w:rFonts w:hint="eastAsia"/>
          <w:lang w:eastAsia="zh-CN"/>
        </w:rPr>
        <w:t>A detailed evaluation method description</w:t>
      </w:r>
      <w:r w:rsidR="00A741DE">
        <w:rPr>
          <w:rFonts w:hint="eastAsia"/>
          <w:lang w:eastAsia="zh-CN"/>
        </w:rPr>
        <w:t xml:space="preserve"> from Report ITU-R M.2412</w:t>
      </w:r>
      <w:r>
        <w:rPr>
          <w:rFonts w:hint="eastAsia"/>
          <w:lang w:eastAsia="zh-CN"/>
        </w:rPr>
        <w:t xml:space="preserve"> is provided in Annex 1.</w:t>
      </w:r>
    </w:p>
    <w:p w:rsidR="00C31888" w:rsidRDefault="00C31888" w:rsidP="00293BAF">
      <w:pPr>
        <w:rPr>
          <w:lang w:eastAsia="zh-CN"/>
        </w:rPr>
      </w:pPr>
      <w:r>
        <w:rPr>
          <w:rFonts w:hint="eastAsia"/>
          <w:lang w:eastAsia="zh-CN"/>
        </w:rPr>
        <w:t xml:space="preserve">It is observed that the UL SINR is an interface of system level </w:t>
      </w:r>
      <w:r>
        <w:rPr>
          <w:lang w:eastAsia="zh-CN"/>
        </w:rPr>
        <w:t>simulation</w:t>
      </w:r>
      <w:r>
        <w:rPr>
          <w:rFonts w:hint="eastAsia"/>
          <w:lang w:eastAsia="zh-CN"/>
        </w:rPr>
        <w:t xml:space="preserve"> and link level simulation. In this contribution, how to calculate UL SINR in system level simulation is presented in Section 3.</w:t>
      </w:r>
    </w:p>
    <w:p w:rsidR="00293BAF" w:rsidRDefault="00293BAF" w:rsidP="00293BAF">
      <w:pPr>
        <w:pStyle w:val="2"/>
      </w:pPr>
      <w:r>
        <w:rPr>
          <w:rFonts w:hint="eastAsia"/>
        </w:rPr>
        <w:t>Evaluation configuration</w:t>
      </w:r>
    </w:p>
    <w:p w:rsidR="00293BAF" w:rsidRDefault="00293BAF" w:rsidP="00293BAF">
      <w:pPr>
        <w:rPr>
          <w:lang w:eastAsia="zh-CN"/>
        </w:rPr>
      </w:pPr>
      <w:r>
        <w:rPr>
          <w:rFonts w:hint="eastAsia"/>
          <w:lang w:eastAsia="zh-CN"/>
        </w:rPr>
        <w:t xml:space="preserve">The evaluation configuration of mobility includes system level part and link level part. </w:t>
      </w:r>
    </w:p>
    <w:p w:rsidR="00293BAF" w:rsidRDefault="00293BAF" w:rsidP="00293BAF">
      <w:pPr>
        <w:rPr>
          <w:lang w:eastAsia="zh-CN"/>
        </w:rPr>
      </w:pPr>
      <w:r>
        <w:rPr>
          <w:rFonts w:hint="eastAsia"/>
          <w:lang w:eastAsia="zh-CN"/>
        </w:rPr>
        <w:t xml:space="preserve">For system level part, the evaluation configurations of Indoor Hotspot </w:t>
      </w:r>
      <w:r>
        <w:rPr>
          <w:lang w:eastAsia="zh-CN"/>
        </w:rPr>
        <w:t>–</w:t>
      </w:r>
      <w:r>
        <w:rPr>
          <w:rFonts w:hint="eastAsia"/>
          <w:lang w:eastAsia="zh-CN"/>
        </w:rPr>
        <w:t xml:space="preserve"> eMBB, Dense Urban </w:t>
      </w:r>
      <w:r>
        <w:rPr>
          <w:lang w:eastAsia="zh-CN"/>
        </w:rPr>
        <w:t>–</w:t>
      </w:r>
      <w:r>
        <w:rPr>
          <w:rFonts w:hint="eastAsia"/>
          <w:lang w:eastAsia="zh-CN"/>
        </w:rPr>
        <w:t xml:space="preserve"> eMBB and Rural </w:t>
      </w:r>
      <w:r>
        <w:rPr>
          <w:lang w:eastAsia="zh-CN"/>
        </w:rPr>
        <w:t>–</w:t>
      </w:r>
      <w:r>
        <w:rPr>
          <w:rFonts w:hint="eastAsia"/>
          <w:lang w:eastAsia="zh-CN"/>
        </w:rPr>
        <w:t xml:space="preserve"> eMBB test environments are used. The evaluation configuration can be found in Section 8.4 in Report ITU-R M.2412.</w:t>
      </w:r>
    </w:p>
    <w:p w:rsidR="00337219" w:rsidRDefault="00293BAF" w:rsidP="00337219">
      <w:pPr>
        <w:rPr>
          <w:lang w:eastAsia="zh-CN"/>
        </w:rPr>
      </w:pPr>
      <w:r>
        <w:rPr>
          <w:rFonts w:hint="eastAsia"/>
          <w:lang w:eastAsia="zh-CN"/>
        </w:rPr>
        <w:t>For link level part, the evaluation configuration is found in Section 8.4 in Report ITU-R M.2412. The link level simulation parameters are defined in Table 8-3</w:t>
      </w:r>
      <w:r w:rsidR="00337219">
        <w:rPr>
          <w:rFonts w:hint="eastAsia"/>
          <w:lang w:eastAsia="zh-CN"/>
        </w:rPr>
        <w:t xml:space="preserve"> in Report ITU-R M.2412</w:t>
      </w:r>
      <w:r>
        <w:rPr>
          <w:rFonts w:hint="eastAsia"/>
          <w:lang w:eastAsia="zh-CN"/>
        </w:rPr>
        <w:t>.</w:t>
      </w:r>
      <w:r w:rsidR="00337219">
        <w:rPr>
          <w:rFonts w:hint="eastAsia"/>
          <w:lang w:eastAsia="zh-CN"/>
        </w:rPr>
        <w:t xml:space="preserve"> And the channel model parameters for link level simulation part can be found in Table 8-5</w:t>
      </w:r>
      <w:r w:rsidR="00337219" w:rsidRPr="00337219">
        <w:rPr>
          <w:rFonts w:hint="eastAsia"/>
          <w:lang w:eastAsia="zh-CN"/>
        </w:rPr>
        <w:t xml:space="preserve"> </w:t>
      </w:r>
      <w:r w:rsidR="00337219">
        <w:rPr>
          <w:rFonts w:hint="eastAsia"/>
          <w:lang w:eastAsia="zh-CN"/>
        </w:rPr>
        <w:t>in Report ITU-R M.2412.</w:t>
      </w:r>
      <w:r w:rsidR="00BF5ADE">
        <w:rPr>
          <w:rFonts w:hint="eastAsia"/>
          <w:lang w:eastAsia="zh-CN"/>
        </w:rPr>
        <w:t xml:space="preserve"> Both tables are copied in Annex 2 for reference.</w:t>
      </w:r>
    </w:p>
    <w:p w:rsidR="00341868" w:rsidRDefault="00B00DB6" w:rsidP="00250328">
      <w:pPr>
        <w:pStyle w:val="1"/>
        <w:jc w:val="left"/>
        <w:rPr>
          <w:lang w:eastAsia="zh-CN"/>
        </w:rPr>
      </w:pPr>
      <w:r w:rsidRPr="00FB1F95">
        <w:rPr>
          <w:rFonts w:hint="eastAsia"/>
        </w:rPr>
        <w:lastRenderedPageBreak/>
        <w:t>Consideration</w:t>
      </w:r>
      <w:r>
        <w:rPr>
          <w:rFonts w:hint="eastAsia"/>
        </w:rPr>
        <w:t xml:space="preserve"> on pre-processing SINR</w:t>
      </w:r>
    </w:p>
    <w:p w:rsidR="00EA0F00" w:rsidRDefault="00EA0F00" w:rsidP="00EA0F00">
      <w:pPr>
        <w:rPr>
          <w:lang w:eastAsia="zh-CN"/>
        </w:rPr>
      </w:pPr>
      <w:bookmarkStart w:id="3" w:name="_Ref129681832"/>
      <w:r>
        <w:rPr>
          <w:rFonts w:hint="eastAsia"/>
          <w:lang w:eastAsia="zh-CN"/>
        </w:rPr>
        <w:t xml:space="preserve">Based on the evaluation method defined in Report ITU-R M.2412, the system level simulation will provide </w:t>
      </w:r>
      <w:r w:rsidRPr="00513A1D">
        <w:t>50</w:t>
      </w:r>
      <w:r w:rsidRPr="00513A1D">
        <w:rPr>
          <w:vertAlign w:val="superscript"/>
        </w:rPr>
        <w:t>th</w:t>
      </w:r>
      <w:r w:rsidRPr="00513A1D">
        <w:t xml:space="preserve">-percentile </w:t>
      </w:r>
      <w:r w:rsidRPr="00513A1D">
        <w:rPr>
          <w:i/>
        </w:rPr>
        <w:t>SINR</w:t>
      </w:r>
      <w:r w:rsidRPr="00513A1D">
        <w:t xml:space="preserve"> value</w:t>
      </w:r>
      <w:r>
        <w:rPr>
          <w:rFonts w:hint="eastAsia"/>
          <w:lang w:eastAsia="zh-CN"/>
        </w:rPr>
        <w:t xml:space="preserve"> in Step 2, and this value will be used in link level simulation to derive the </w:t>
      </w:r>
      <w:r w:rsidRPr="00513A1D">
        <w:t>uplink spectral efficiency value</w:t>
      </w:r>
      <w:r w:rsidRPr="00513A1D">
        <w:rPr>
          <w:rFonts w:eastAsia="MS Mincho"/>
        </w:rPr>
        <w:t xml:space="preserve"> (link data rate normalized by channel bandwidth)</w:t>
      </w:r>
      <w:r>
        <w:rPr>
          <w:rFonts w:hint="eastAsia"/>
          <w:lang w:eastAsia="zh-CN"/>
        </w:rPr>
        <w:t xml:space="preserve"> and </w:t>
      </w:r>
      <w:r w:rsidRPr="00513A1D">
        <w:t>the residual decoded packet error ratio</w:t>
      </w:r>
      <w:r>
        <w:rPr>
          <w:rFonts w:hint="eastAsia"/>
          <w:lang w:eastAsia="zh-CN"/>
        </w:rPr>
        <w:t>. Therefore the SINR is an important parameter for this system-to-link interface.</w:t>
      </w:r>
    </w:p>
    <w:p w:rsidR="00EA0F00" w:rsidRPr="00C0639D" w:rsidRDefault="00EA0F00" w:rsidP="00EA0F00">
      <w:pPr>
        <w:pStyle w:val="2"/>
      </w:pPr>
      <w:r>
        <w:rPr>
          <w:rFonts w:hint="eastAsia"/>
        </w:rPr>
        <w:t>Definition of pre-processing SINR</w:t>
      </w:r>
    </w:p>
    <w:p w:rsidR="00EA0F00" w:rsidRDefault="00EA0F00" w:rsidP="00EA0F00">
      <w:pPr>
        <w:rPr>
          <w:lang w:eastAsia="zh-CN"/>
        </w:rPr>
      </w:pPr>
      <w:r>
        <w:rPr>
          <w:rFonts w:hint="eastAsia"/>
          <w:lang w:eastAsia="zh-CN"/>
        </w:rPr>
        <w:t xml:space="preserve">In Rel-15 development, massive MIMO and/or hybrid beamforming is to be used. In this case, digital beamforming and analog beamforming will contribute to and impact the SINR. It is understood that the multi-antenna operations under high speed </w:t>
      </w:r>
      <w:r w:rsidRPr="00513A1D">
        <w:t>values</w:t>
      </w:r>
      <w:r>
        <w:rPr>
          <w:rFonts w:hint="eastAsia"/>
          <w:lang w:eastAsia="zh-CN"/>
        </w:rPr>
        <w:t xml:space="preserve"> including channel estimation, receive processing, etc. need to be performed in link level simulation to precisely capture the link performance under high mobility cases. So the pre-processing SINR (the SINR of a single Rx antenna with respect to a Tx antenna) will be used in link level simulation. However, if we involve analog beamforming and digital beamforming all together into the link level simulation, the complexity would be very high. Considering that under a given analog beam, multi-antenna operation is mostly related to the processing on antenna ports, it is therefore considered to define pre-processing SINR on a Rx antenna port with respect to a Tx antenna port.</w:t>
      </w:r>
    </w:p>
    <w:p w:rsidR="00EA0F00" w:rsidRDefault="00EA0F00" w:rsidP="00EA0F00">
      <w:pPr>
        <w:pStyle w:val="2"/>
      </w:pPr>
      <w:r>
        <w:rPr>
          <w:rFonts w:hint="eastAsia"/>
        </w:rPr>
        <w:t>Derivation of pre-processing SINR</w:t>
      </w:r>
    </w:p>
    <w:p w:rsidR="00EA0F00" w:rsidRDefault="00EA0F00" w:rsidP="00EA0F00">
      <w:pPr>
        <w:rPr>
          <w:lang w:eastAsia="zh-CN"/>
        </w:rPr>
      </w:pPr>
      <w:r>
        <w:rPr>
          <w:rFonts w:hint="eastAsia"/>
          <w:lang w:eastAsia="zh-CN"/>
        </w:rPr>
        <w:t xml:space="preserve">By assuming there are </w:t>
      </w:r>
      <w:r w:rsidRPr="00E71546">
        <w:rPr>
          <w:rFonts w:hint="eastAsia"/>
          <w:i/>
          <w:lang w:eastAsia="zh-CN"/>
        </w:rPr>
        <w:t>U</w:t>
      </w:r>
      <w:r>
        <w:rPr>
          <w:rFonts w:hint="eastAsia"/>
          <w:lang w:eastAsia="zh-CN"/>
        </w:rPr>
        <w:t xml:space="preserve"> Rx antenna ports, and for the </w:t>
      </w:r>
      <w:r w:rsidRPr="00991224">
        <w:t xml:space="preserve">virtualization of </w:t>
      </w:r>
      <w:r>
        <w:rPr>
          <w:rFonts w:hint="eastAsia"/>
          <w:lang w:eastAsia="zh-CN"/>
        </w:rPr>
        <w:t xml:space="preserve">Tx antenna </w:t>
      </w:r>
      <w:r w:rsidRPr="00991224">
        <w:t xml:space="preserve">port </w:t>
      </w:r>
      <w:r w:rsidRPr="00991224">
        <w:rPr>
          <w:i/>
        </w:rPr>
        <w:t>p</w:t>
      </w:r>
      <w:r>
        <w:rPr>
          <w:rFonts w:hint="eastAsia"/>
          <w:lang w:eastAsia="zh-CN"/>
        </w:rPr>
        <w:t>, the signal model is expressed as</w:t>
      </w:r>
    </w:p>
    <w:p w:rsidR="00EA0F00" w:rsidRDefault="00EA0F00" w:rsidP="00EA0F00">
      <w:pPr>
        <w:jc w:val="right"/>
        <w:rPr>
          <w:lang w:eastAsia="zh-CN"/>
        </w:rPr>
      </w:pPr>
      <w:r w:rsidRPr="00795C0C">
        <w:rPr>
          <w:position w:val="-14"/>
          <w:lang w:eastAsia="zh-CN"/>
        </w:rPr>
        <w:object w:dxaOrig="12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5.75pt" o:ole="">
            <v:imagedata r:id="rId8" o:title=""/>
          </v:shape>
          <o:OLEObject Type="Embed" ProgID="Equation.DSMT4" ShapeID="_x0000_i1025" DrawAspect="Content" ObjectID="_1580372187" r:id="rId9"/>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p>
    <w:p w:rsidR="00EA0F00" w:rsidRDefault="00EA0F00" w:rsidP="00EA0F00">
      <w:pPr>
        <w:rPr>
          <w:lang w:eastAsia="zh-CN"/>
        </w:rPr>
      </w:pPr>
      <w:r>
        <w:rPr>
          <w:lang w:eastAsia="zh-CN"/>
        </w:rPr>
        <w:t>where</w:t>
      </w:r>
      <w:r>
        <w:rPr>
          <w:rFonts w:hint="eastAsia"/>
          <w:lang w:eastAsia="zh-CN"/>
        </w:rPr>
        <w:t xml:space="preserve"> </w:t>
      </w:r>
      <w:r w:rsidRPr="00DA2A78">
        <w:rPr>
          <w:rFonts w:hint="eastAsia"/>
          <w:b/>
          <w:lang w:eastAsia="zh-CN"/>
        </w:rPr>
        <w:t>h</w:t>
      </w:r>
      <w:r w:rsidRPr="00DA2A78">
        <w:rPr>
          <w:rFonts w:hint="eastAsia"/>
          <w:i/>
          <w:vertAlign w:val="subscript"/>
          <w:lang w:eastAsia="zh-CN"/>
        </w:rPr>
        <w:t>p</w:t>
      </w:r>
      <w:r>
        <w:rPr>
          <w:rFonts w:hint="eastAsia"/>
          <w:lang w:eastAsia="zh-CN"/>
        </w:rPr>
        <w:t xml:space="preserve"> is the </w:t>
      </w:r>
      <w:r w:rsidRPr="00DA2A78">
        <w:rPr>
          <w:rFonts w:hint="eastAsia"/>
          <w:i/>
          <w:lang w:eastAsia="zh-CN"/>
        </w:rPr>
        <w:t>U</w:t>
      </w:r>
      <w:r w:rsidRPr="003D77DF">
        <w:rPr>
          <w:lang w:eastAsia="zh-CN"/>
        </w:rPr>
        <w:t>×</w:t>
      </w:r>
      <w:r>
        <w:rPr>
          <w:rFonts w:hint="eastAsia"/>
          <w:lang w:eastAsia="zh-CN"/>
        </w:rPr>
        <w:t xml:space="preserve">1 channel vector from Tx antenna port </w:t>
      </w:r>
      <w:r w:rsidRPr="00DA2A78">
        <w:rPr>
          <w:rFonts w:hint="eastAsia"/>
          <w:i/>
          <w:lang w:eastAsia="zh-CN"/>
        </w:rPr>
        <w:t>p</w:t>
      </w:r>
      <w:r>
        <w:rPr>
          <w:rFonts w:hint="eastAsia"/>
          <w:lang w:eastAsia="zh-CN"/>
        </w:rPr>
        <w:t xml:space="preserve"> to the </w:t>
      </w:r>
      <w:r w:rsidRPr="00DA2A78">
        <w:rPr>
          <w:rFonts w:hint="eastAsia"/>
          <w:i/>
          <w:lang w:eastAsia="zh-CN"/>
        </w:rPr>
        <w:t>U</w:t>
      </w:r>
      <w:r>
        <w:rPr>
          <w:rFonts w:hint="eastAsia"/>
          <w:lang w:eastAsia="zh-CN"/>
        </w:rPr>
        <w:t xml:space="preserve"> Rx antenna ports, </w:t>
      </w:r>
      <w:r w:rsidRPr="004F249B">
        <w:rPr>
          <w:rFonts w:hint="eastAsia"/>
          <w:i/>
          <w:lang w:eastAsia="zh-CN"/>
        </w:rPr>
        <w:t>s</w:t>
      </w:r>
      <w:r w:rsidRPr="004F249B">
        <w:rPr>
          <w:rFonts w:hint="eastAsia"/>
          <w:i/>
          <w:vertAlign w:val="subscript"/>
          <w:lang w:eastAsia="zh-CN"/>
        </w:rPr>
        <w:t>p</w:t>
      </w:r>
      <w:r>
        <w:rPr>
          <w:rFonts w:hint="eastAsia"/>
          <w:lang w:eastAsia="zh-CN"/>
        </w:rPr>
        <w:t xml:space="preserve"> is the transmitted signal on port </w:t>
      </w:r>
      <w:r w:rsidRPr="004F249B">
        <w:rPr>
          <w:rFonts w:hint="eastAsia"/>
          <w:i/>
          <w:lang w:eastAsia="zh-CN"/>
        </w:rPr>
        <w:t>p</w:t>
      </w:r>
      <w:r>
        <w:rPr>
          <w:rFonts w:hint="eastAsia"/>
          <w:lang w:eastAsia="zh-CN"/>
        </w:rPr>
        <w:t xml:space="preserve">, and </w:t>
      </w:r>
      <w:r w:rsidRPr="004F249B">
        <w:rPr>
          <w:rFonts w:hint="eastAsia"/>
          <w:b/>
          <w:lang w:eastAsia="zh-CN"/>
        </w:rPr>
        <w:t>n</w:t>
      </w:r>
      <w:r>
        <w:rPr>
          <w:rFonts w:hint="eastAsia"/>
          <w:lang w:eastAsia="zh-CN"/>
        </w:rPr>
        <w:t xml:space="preserve"> is the </w:t>
      </w:r>
      <w:r w:rsidRPr="00DA2A78">
        <w:rPr>
          <w:rFonts w:hint="eastAsia"/>
          <w:i/>
          <w:lang w:eastAsia="zh-CN"/>
        </w:rPr>
        <w:t>U</w:t>
      </w:r>
      <w:r w:rsidRPr="003D77DF">
        <w:rPr>
          <w:lang w:eastAsia="zh-CN"/>
        </w:rPr>
        <w:t>×</w:t>
      </w:r>
      <w:r>
        <w:rPr>
          <w:rFonts w:hint="eastAsia"/>
          <w:lang w:eastAsia="zh-CN"/>
        </w:rPr>
        <w:t xml:space="preserve">1 vector that represent the interference plus noise observed on the </w:t>
      </w:r>
      <w:r w:rsidRPr="00DA2A78">
        <w:rPr>
          <w:rFonts w:hint="eastAsia"/>
          <w:i/>
          <w:lang w:eastAsia="zh-CN"/>
        </w:rPr>
        <w:t>U</w:t>
      </w:r>
      <w:r>
        <w:rPr>
          <w:rFonts w:hint="eastAsia"/>
          <w:lang w:eastAsia="zh-CN"/>
        </w:rPr>
        <w:t xml:space="preserve"> Rx antenna ports. It should be noted that the virtualization of transmit port </w:t>
      </w:r>
      <w:r w:rsidRPr="00D01654">
        <w:rPr>
          <w:rFonts w:hint="eastAsia"/>
          <w:i/>
          <w:lang w:eastAsia="zh-CN"/>
        </w:rPr>
        <w:t>p</w:t>
      </w:r>
      <w:r>
        <w:rPr>
          <w:rFonts w:hint="eastAsia"/>
          <w:lang w:eastAsia="zh-CN"/>
        </w:rPr>
        <w:t xml:space="preserve"> and the </w:t>
      </w:r>
      <w:r w:rsidRPr="00D01654">
        <w:rPr>
          <w:rFonts w:hint="eastAsia"/>
          <w:i/>
          <w:lang w:eastAsia="zh-CN"/>
        </w:rPr>
        <w:t>U</w:t>
      </w:r>
      <w:r>
        <w:rPr>
          <w:rFonts w:hint="eastAsia"/>
          <w:lang w:eastAsia="zh-CN"/>
        </w:rPr>
        <w:t xml:space="preserve"> receive ports (Tx and Rx analog beamforming) is considered via the following</w:t>
      </w:r>
    </w:p>
    <w:p w:rsidR="00EA0F00" w:rsidRDefault="00EA0F00" w:rsidP="00EA0F00">
      <w:pPr>
        <w:jc w:val="center"/>
        <w:rPr>
          <w:lang w:eastAsia="zh-CN"/>
        </w:rPr>
      </w:pPr>
      <w:r w:rsidRPr="00795C0C">
        <w:rPr>
          <w:position w:val="-14"/>
          <w:lang w:eastAsia="zh-CN"/>
        </w:rPr>
        <w:object w:dxaOrig="1440" w:dyaOrig="400">
          <v:shape id="_x0000_i1026" type="#_x0000_t75" style="width:59.25pt;height:18.75pt" o:ole="">
            <v:imagedata r:id="rId10" o:title=""/>
          </v:shape>
          <o:OLEObject Type="Embed" ProgID="Equation.DSMT4" ShapeID="_x0000_i1026" DrawAspect="Content" ObjectID="_1580372188" r:id="rId11"/>
        </w:object>
      </w:r>
    </w:p>
    <w:p w:rsidR="00EA0F00" w:rsidRDefault="00EA0F00" w:rsidP="00EA0F00">
      <w:pPr>
        <w:rPr>
          <w:lang w:eastAsia="zh-CN"/>
        </w:rPr>
      </w:pPr>
      <w:r>
        <w:rPr>
          <w:lang w:eastAsia="zh-CN"/>
        </w:rPr>
        <w:t>where</w:t>
      </w:r>
      <w:r>
        <w:rPr>
          <w:rFonts w:hint="eastAsia"/>
          <w:lang w:eastAsia="zh-CN"/>
        </w:rPr>
        <w:t xml:space="preserve"> </w:t>
      </w:r>
      <w:r w:rsidRPr="0031129F">
        <w:rPr>
          <w:rFonts w:hint="eastAsia"/>
          <w:b/>
          <w:lang w:eastAsia="zh-CN"/>
        </w:rPr>
        <w:t>G</w:t>
      </w:r>
      <w:r w:rsidRPr="0031129F">
        <w:rPr>
          <w:rFonts w:hint="eastAsia"/>
          <w:vertAlign w:val="subscript"/>
          <w:lang w:eastAsia="zh-CN"/>
        </w:rPr>
        <w:t>Rx</w:t>
      </w:r>
      <w:r>
        <w:rPr>
          <w:rFonts w:hint="eastAsia"/>
          <w:lang w:eastAsia="zh-CN"/>
        </w:rPr>
        <w:t xml:space="preserve"> =diag(</w:t>
      </w:r>
      <w:r w:rsidRPr="0031129F">
        <w:rPr>
          <w:rFonts w:hint="eastAsia"/>
          <w:b/>
          <w:lang w:eastAsia="zh-CN"/>
        </w:rPr>
        <w:t>g</w:t>
      </w:r>
      <w:r w:rsidRPr="0031129F">
        <w:rPr>
          <w:rFonts w:hint="eastAsia"/>
          <w:vertAlign w:val="subscript"/>
          <w:lang w:eastAsia="zh-CN"/>
        </w:rPr>
        <w:t>1</w:t>
      </w:r>
      <w:r>
        <w:rPr>
          <w:rFonts w:hint="eastAsia"/>
          <w:lang w:eastAsia="zh-CN"/>
        </w:rPr>
        <w:t xml:space="preserve">, .., </w:t>
      </w:r>
      <w:r w:rsidRPr="0031129F">
        <w:rPr>
          <w:rFonts w:hint="eastAsia"/>
          <w:b/>
          <w:lang w:eastAsia="zh-CN"/>
        </w:rPr>
        <w:t>g</w:t>
      </w:r>
      <w:r w:rsidRPr="0031129F">
        <w:rPr>
          <w:rFonts w:hint="eastAsia"/>
          <w:i/>
          <w:vertAlign w:val="subscript"/>
          <w:lang w:eastAsia="zh-CN"/>
        </w:rPr>
        <w:t>U</w:t>
      </w:r>
      <w:r>
        <w:rPr>
          <w:rFonts w:hint="eastAsia"/>
          <w:lang w:eastAsia="zh-CN"/>
        </w:rPr>
        <w:t xml:space="preserve">) is the </w:t>
      </w:r>
      <w:r w:rsidRPr="00F155F5">
        <w:rPr>
          <w:rFonts w:hint="eastAsia"/>
          <w:i/>
          <w:lang w:eastAsia="zh-CN"/>
        </w:rPr>
        <w:t>N</w:t>
      </w:r>
      <w:r w:rsidRPr="00F155F5">
        <w:rPr>
          <w:rFonts w:hint="eastAsia"/>
          <w:vertAlign w:val="subscript"/>
          <w:lang w:eastAsia="zh-CN"/>
        </w:rPr>
        <w:t>R</w:t>
      </w:r>
      <w:r w:rsidRPr="003D1C81">
        <w:rPr>
          <w:rFonts w:hint="eastAsia"/>
          <w:i/>
          <w:lang w:eastAsia="zh-CN"/>
        </w:rPr>
        <w:t>U</w:t>
      </w:r>
      <w:r w:rsidRPr="003D77DF">
        <w:rPr>
          <w:lang w:eastAsia="zh-CN"/>
        </w:rPr>
        <w:t>×</w:t>
      </w:r>
      <w:r w:rsidRPr="003D1C81">
        <w:rPr>
          <w:rFonts w:hint="eastAsia"/>
          <w:i/>
          <w:lang w:eastAsia="zh-CN"/>
        </w:rPr>
        <w:t>U</w:t>
      </w:r>
      <w:r>
        <w:rPr>
          <w:rFonts w:hint="eastAsia"/>
          <w:lang w:eastAsia="zh-CN"/>
        </w:rPr>
        <w:t xml:space="preserve"> Rx analog beamforming matrix with </w:t>
      </w:r>
      <w:r w:rsidRPr="00C111CA">
        <w:rPr>
          <w:rFonts w:hint="eastAsia"/>
          <w:b/>
          <w:lang w:eastAsia="zh-CN"/>
        </w:rPr>
        <w:t>g</w:t>
      </w:r>
      <w:r w:rsidRPr="00C111CA">
        <w:rPr>
          <w:rFonts w:hint="eastAsia"/>
          <w:i/>
          <w:vertAlign w:val="subscript"/>
          <w:lang w:eastAsia="zh-CN"/>
        </w:rPr>
        <w:t>i</w:t>
      </w:r>
      <w:r>
        <w:rPr>
          <w:rFonts w:hint="eastAsia"/>
          <w:lang w:eastAsia="zh-CN"/>
        </w:rPr>
        <w:t xml:space="preserve"> being the </w:t>
      </w:r>
      <w:r w:rsidRPr="00F155F5">
        <w:rPr>
          <w:rFonts w:hint="eastAsia"/>
          <w:i/>
          <w:lang w:eastAsia="zh-CN"/>
        </w:rPr>
        <w:t>N</w:t>
      </w:r>
      <w:r w:rsidRPr="00F155F5">
        <w:rPr>
          <w:rFonts w:hint="eastAsia"/>
          <w:vertAlign w:val="subscript"/>
          <w:lang w:eastAsia="zh-CN"/>
        </w:rPr>
        <w:t>R</w:t>
      </w:r>
      <w:r w:rsidRPr="003D77DF">
        <w:rPr>
          <w:lang w:eastAsia="zh-CN"/>
        </w:rPr>
        <w:t>×</w:t>
      </w:r>
      <w:r>
        <w:rPr>
          <w:rFonts w:hint="eastAsia"/>
          <w:lang w:eastAsia="zh-CN"/>
        </w:rPr>
        <w:t xml:space="preserve">1 analog beamforming vector for the </w:t>
      </w:r>
      <w:r w:rsidRPr="00F155F5">
        <w:rPr>
          <w:rFonts w:hint="eastAsia"/>
          <w:i/>
          <w:lang w:eastAsia="zh-CN"/>
        </w:rPr>
        <w:t>i</w:t>
      </w:r>
      <w:r>
        <w:rPr>
          <w:rFonts w:hint="eastAsia"/>
          <w:lang w:eastAsia="zh-CN"/>
        </w:rPr>
        <w:t>th Rx antenna port (</w:t>
      </w:r>
      <w:r w:rsidRPr="00F155F5">
        <w:rPr>
          <w:rFonts w:hint="eastAsia"/>
          <w:i/>
          <w:lang w:eastAsia="zh-CN"/>
        </w:rPr>
        <w:t>N</w:t>
      </w:r>
      <w:r w:rsidRPr="00F155F5">
        <w:rPr>
          <w:rFonts w:hint="eastAsia"/>
          <w:vertAlign w:val="subscript"/>
          <w:lang w:eastAsia="zh-CN"/>
        </w:rPr>
        <w:t>R</w:t>
      </w:r>
      <w:r>
        <w:rPr>
          <w:rFonts w:hint="eastAsia"/>
          <w:lang w:eastAsia="zh-CN"/>
        </w:rPr>
        <w:t xml:space="preserve"> is the number of antenna elements that virtualize one Rx antenna port, and diag(</w:t>
      </w:r>
      <w:r w:rsidRPr="00CA22C6">
        <w:rPr>
          <w:rFonts w:hint="eastAsia"/>
          <w:b/>
          <w:lang w:eastAsia="zh-CN"/>
        </w:rPr>
        <w:t>a</w:t>
      </w:r>
      <w:r>
        <w:rPr>
          <w:rFonts w:hint="eastAsia"/>
          <w:lang w:eastAsia="zh-CN"/>
        </w:rPr>
        <w:t>,</w:t>
      </w:r>
      <w:r w:rsidRPr="00CA22C6">
        <w:rPr>
          <w:rFonts w:hint="eastAsia"/>
          <w:b/>
          <w:lang w:eastAsia="zh-CN"/>
        </w:rPr>
        <w:t>b</w:t>
      </w:r>
      <w:r>
        <w:rPr>
          <w:rFonts w:hint="eastAsia"/>
          <w:lang w:eastAsia="zh-CN"/>
        </w:rPr>
        <w:t xml:space="preserve">) is the diagonal block matrix with diagonal sub-matrix being </w:t>
      </w:r>
      <w:r w:rsidRPr="00CA22C6">
        <w:rPr>
          <w:rFonts w:hint="eastAsia"/>
          <w:b/>
          <w:lang w:eastAsia="zh-CN"/>
        </w:rPr>
        <w:t>a</w:t>
      </w:r>
      <w:r>
        <w:rPr>
          <w:rFonts w:hint="eastAsia"/>
          <w:lang w:eastAsia="zh-CN"/>
        </w:rPr>
        <w:t xml:space="preserve"> and </w:t>
      </w:r>
      <w:r w:rsidRPr="00CA22C6">
        <w:rPr>
          <w:rFonts w:hint="eastAsia"/>
          <w:b/>
          <w:lang w:eastAsia="zh-CN"/>
        </w:rPr>
        <w:t>b</w:t>
      </w:r>
      <w:r>
        <w:rPr>
          <w:rFonts w:hint="eastAsia"/>
          <w:lang w:eastAsia="zh-CN"/>
        </w:rPr>
        <w:t xml:space="preserve">), </w:t>
      </w:r>
      <w:r w:rsidRPr="00D2621F">
        <w:rPr>
          <w:rFonts w:hint="eastAsia"/>
          <w:b/>
          <w:lang w:eastAsia="zh-CN"/>
        </w:rPr>
        <w:t>w</w:t>
      </w:r>
      <w:r w:rsidRPr="00D2621F">
        <w:rPr>
          <w:rFonts w:hint="eastAsia"/>
          <w:i/>
          <w:vertAlign w:val="subscript"/>
          <w:lang w:eastAsia="zh-CN"/>
        </w:rPr>
        <w:t>p</w:t>
      </w:r>
      <w:r>
        <w:rPr>
          <w:rFonts w:hint="eastAsia"/>
          <w:lang w:eastAsia="zh-CN"/>
        </w:rPr>
        <w:t xml:space="preserve"> is the </w:t>
      </w:r>
      <w:r w:rsidRPr="00F155F5">
        <w:rPr>
          <w:rFonts w:hint="eastAsia"/>
          <w:i/>
          <w:lang w:eastAsia="zh-CN"/>
        </w:rPr>
        <w:t>N</w:t>
      </w:r>
      <w:r>
        <w:rPr>
          <w:rFonts w:hint="eastAsia"/>
          <w:vertAlign w:val="subscript"/>
          <w:lang w:eastAsia="zh-CN"/>
        </w:rPr>
        <w:t>T</w:t>
      </w:r>
      <w:r w:rsidRPr="003D77DF">
        <w:rPr>
          <w:lang w:eastAsia="zh-CN"/>
        </w:rPr>
        <w:t>×</w:t>
      </w:r>
      <w:r>
        <w:rPr>
          <w:rFonts w:hint="eastAsia"/>
          <w:lang w:eastAsia="zh-CN"/>
        </w:rPr>
        <w:t xml:space="preserve">1 Tx analog beamforming vector for the virtualizaton of port </w:t>
      </w:r>
      <w:r w:rsidRPr="00D2621F">
        <w:rPr>
          <w:rFonts w:hint="eastAsia"/>
          <w:i/>
          <w:lang w:eastAsia="zh-CN"/>
        </w:rPr>
        <w:t>p</w:t>
      </w:r>
      <w:r>
        <w:rPr>
          <w:rFonts w:hint="eastAsia"/>
          <w:lang w:eastAsia="zh-CN"/>
        </w:rPr>
        <w:t xml:space="preserve">, and </w:t>
      </w:r>
      <w:r w:rsidRPr="005E1E1B">
        <w:rPr>
          <w:rFonts w:hint="eastAsia"/>
          <w:b/>
          <w:lang w:eastAsia="zh-CN"/>
        </w:rPr>
        <w:t>H</w:t>
      </w:r>
      <w:r>
        <w:rPr>
          <w:rFonts w:hint="eastAsia"/>
          <w:lang w:eastAsia="zh-CN"/>
        </w:rPr>
        <w:t xml:space="preserve"> is the </w:t>
      </w:r>
      <w:r w:rsidRPr="00F155F5">
        <w:rPr>
          <w:rFonts w:hint="eastAsia"/>
          <w:i/>
          <w:lang w:eastAsia="zh-CN"/>
        </w:rPr>
        <w:t>N</w:t>
      </w:r>
      <w:r w:rsidRPr="00F155F5">
        <w:rPr>
          <w:rFonts w:hint="eastAsia"/>
          <w:vertAlign w:val="subscript"/>
          <w:lang w:eastAsia="zh-CN"/>
        </w:rPr>
        <w:t>R</w:t>
      </w:r>
      <w:r w:rsidRPr="003D1C81">
        <w:rPr>
          <w:rFonts w:hint="eastAsia"/>
          <w:i/>
          <w:lang w:eastAsia="zh-CN"/>
        </w:rPr>
        <w:t>U</w:t>
      </w:r>
      <w:r w:rsidRPr="003D77DF">
        <w:rPr>
          <w:lang w:eastAsia="zh-CN"/>
        </w:rPr>
        <w:t>×</w:t>
      </w:r>
      <w:r w:rsidRPr="00F155F5">
        <w:rPr>
          <w:rFonts w:hint="eastAsia"/>
          <w:i/>
          <w:lang w:eastAsia="zh-CN"/>
        </w:rPr>
        <w:t>N</w:t>
      </w:r>
      <w:r>
        <w:rPr>
          <w:rFonts w:hint="eastAsia"/>
          <w:vertAlign w:val="subscript"/>
          <w:lang w:eastAsia="zh-CN"/>
        </w:rPr>
        <w:t>T</w:t>
      </w:r>
      <w:r>
        <w:rPr>
          <w:rFonts w:hint="eastAsia"/>
          <w:lang w:eastAsia="zh-CN"/>
        </w:rPr>
        <w:t xml:space="preserve"> channel matrix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 the Tx antenna port </w:t>
      </w:r>
      <w:r w:rsidRPr="00331453">
        <w:rPr>
          <w:rFonts w:hint="eastAsia"/>
          <w:i/>
          <w:lang w:eastAsia="zh-CN"/>
        </w:rPr>
        <w:t>p</w:t>
      </w:r>
      <w:r>
        <w:rPr>
          <w:rFonts w:hint="eastAsia"/>
          <w:lang w:eastAsia="zh-CN"/>
        </w:rPr>
        <w:t>).</w:t>
      </w:r>
    </w:p>
    <w:p w:rsidR="00EA0F00" w:rsidRDefault="00EA0F00" w:rsidP="00EA0F00">
      <w:pPr>
        <w:rPr>
          <w:lang w:eastAsia="zh-CN"/>
        </w:rPr>
      </w:pPr>
      <w:r>
        <w:rPr>
          <w:rFonts w:hint="eastAsia"/>
          <w:lang w:eastAsia="zh-CN"/>
        </w:rPr>
        <w:t xml:space="preserve">According to (1), the received signal power on the </w:t>
      </w:r>
      <w:r w:rsidRPr="007D3505">
        <w:rPr>
          <w:rFonts w:hint="eastAsia"/>
          <w:i/>
          <w:lang w:eastAsia="zh-CN"/>
        </w:rPr>
        <w:t>i</w:t>
      </w:r>
      <w:r>
        <w:rPr>
          <w:rFonts w:hint="eastAsia"/>
          <w:lang w:eastAsia="zh-CN"/>
        </w:rPr>
        <w:t xml:space="preserve">th Rx antenna port for Tx port </w:t>
      </w:r>
      <w:r w:rsidRPr="00C94BBE">
        <w:rPr>
          <w:rFonts w:hint="eastAsia"/>
          <w:i/>
          <w:lang w:eastAsia="zh-CN"/>
        </w:rPr>
        <w:t>p</w:t>
      </w:r>
      <w:r>
        <w:rPr>
          <w:rFonts w:hint="eastAsia"/>
          <w:lang w:eastAsia="zh-CN"/>
        </w:rPr>
        <w:t xml:space="preserve"> can be expressed as</w:t>
      </w:r>
    </w:p>
    <w:p w:rsidR="00EA0F00" w:rsidRDefault="00EA0F00" w:rsidP="00EA0F00">
      <w:pPr>
        <w:jc w:val="center"/>
        <w:rPr>
          <w:lang w:eastAsia="zh-CN"/>
        </w:rPr>
      </w:pPr>
      <w:r w:rsidRPr="00B2725D">
        <w:rPr>
          <w:position w:val="-24"/>
          <w:lang w:eastAsia="zh-CN"/>
        </w:rPr>
        <w:object w:dxaOrig="2380" w:dyaOrig="660">
          <v:shape id="_x0000_i1027" type="#_x0000_t75" style="width:102.75pt;height:29.25pt" o:ole="">
            <v:imagedata r:id="rId12" o:title=""/>
          </v:shape>
          <o:OLEObject Type="Embed" ProgID="Equation.DSMT4" ShapeID="_x0000_i1027" DrawAspect="Content" ObjectID="_1580372189" r:id="rId13"/>
        </w:object>
      </w:r>
    </w:p>
    <w:p w:rsidR="00EA0F00" w:rsidRDefault="00EA0F00" w:rsidP="00EA0F00">
      <w:pPr>
        <w:rPr>
          <w:lang w:eastAsia="zh-CN"/>
        </w:rPr>
      </w:pPr>
      <w:r>
        <w:rPr>
          <w:lang w:eastAsia="zh-CN"/>
        </w:rPr>
        <w:t>where</w:t>
      </w:r>
      <w:r>
        <w:rPr>
          <w:rFonts w:hint="eastAsia"/>
          <w:lang w:eastAsia="zh-CN"/>
        </w:rPr>
        <w:t xml:space="preserve"> (</w:t>
      </w:r>
      <w:r w:rsidRPr="00C80795">
        <w:rPr>
          <w:rFonts w:hint="eastAsia"/>
          <w:i/>
          <w:lang w:eastAsia="zh-CN"/>
        </w:rPr>
        <w:t>TX</w:t>
      </w:r>
      <w:r w:rsidRPr="00C80795">
        <w:rPr>
          <w:rFonts w:hint="eastAsia"/>
          <w:vertAlign w:val="subscript"/>
          <w:lang w:eastAsia="zh-CN"/>
        </w:rPr>
        <w:t>power</w:t>
      </w:r>
      <w:r>
        <w:rPr>
          <w:rFonts w:hint="eastAsia"/>
          <w:lang w:eastAsia="zh-CN"/>
        </w:rPr>
        <w:t>/</w:t>
      </w:r>
      <w:r w:rsidRPr="00C80795">
        <w:rPr>
          <w:rFonts w:hint="eastAsia"/>
          <w:i/>
          <w:lang w:eastAsia="zh-CN"/>
        </w:rPr>
        <w:t>S</w:t>
      </w:r>
      <w:r>
        <w:rPr>
          <w:rFonts w:hint="eastAsia"/>
          <w:lang w:eastAsia="zh-CN"/>
        </w:rPr>
        <w:t xml:space="preserve">) is the average transmit power on port </w:t>
      </w:r>
      <w:r w:rsidRPr="00C80795">
        <w:rPr>
          <w:rFonts w:hint="eastAsia"/>
          <w:i/>
          <w:lang w:eastAsia="zh-CN"/>
        </w:rPr>
        <w:t>p</w:t>
      </w:r>
      <w:r>
        <w:rPr>
          <w:rFonts w:hint="eastAsia"/>
          <w:lang w:eastAsia="zh-CN"/>
        </w:rPr>
        <w:t xml:space="preserve">, </w:t>
      </w:r>
      <w:r w:rsidRPr="00C80795">
        <w:rPr>
          <w:rFonts w:hint="eastAsia"/>
          <w:i/>
          <w:lang w:eastAsia="zh-CN"/>
        </w:rPr>
        <w:t>S</w:t>
      </w:r>
      <w:r>
        <w:rPr>
          <w:rFonts w:hint="eastAsia"/>
          <w:lang w:eastAsia="zh-CN"/>
        </w:rPr>
        <w:t xml:space="preserve"> is the number of Tx antenna ports, and </w:t>
      </w:r>
      <w:r w:rsidRPr="00C80795">
        <w:rPr>
          <w:rFonts w:hint="eastAsia"/>
          <w:i/>
          <w:lang w:eastAsia="zh-CN"/>
        </w:rPr>
        <w:t>TX</w:t>
      </w:r>
      <w:r w:rsidRPr="00C80795">
        <w:rPr>
          <w:rFonts w:hint="eastAsia"/>
          <w:vertAlign w:val="subscript"/>
          <w:lang w:eastAsia="zh-CN"/>
        </w:rPr>
        <w:t>power</w:t>
      </w:r>
      <w:r>
        <w:rPr>
          <w:rFonts w:hint="eastAsia"/>
          <w:lang w:eastAsia="zh-CN"/>
        </w:rPr>
        <w:t xml:space="preserve"> is the total transmit power over the </w:t>
      </w:r>
      <w:r w:rsidRPr="005C4735">
        <w:rPr>
          <w:rFonts w:hint="eastAsia"/>
          <w:i/>
          <w:lang w:eastAsia="zh-CN"/>
        </w:rPr>
        <w:t>S</w:t>
      </w:r>
      <w:r>
        <w:rPr>
          <w:rFonts w:hint="eastAsia"/>
          <w:lang w:eastAsia="zh-CN"/>
        </w:rPr>
        <w:t xml:space="preserve"> ports on a specific resource element (RE). </w:t>
      </w:r>
    </w:p>
    <w:p w:rsidR="00EA0F00" w:rsidRDefault="00EA0F00" w:rsidP="00EA0F00">
      <w:pPr>
        <w:rPr>
          <w:lang w:eastAsia="zh-CN"/>
        </w:rPr>
      </w:pPr>
      <w:r>
        <w:rPr>
          <w:rFonts w:hint="eastAsia"/>
          <w:lang w:eastAsia="zh-CN"/>
        </w:rPr>
        <w:t xml:space="preserve">In link level simulation, the applied SNR is for total transmitting power for all Tx ports. So the received signal power on the </w:t>
      </w:r>
      <w:r w:rsidRPr="007D3505">
        <w:rPr>
          <w:rFonts w:hint="eastAsia"/>
          <w:i/>
          <w:lang w:eastAsia="zh-CN"/>
        </w:rPr>
        <w:t>i</w:t>
      </w:r>
      <w:r>
        <w:rPr>
          <w:rFonts w:hint="eastAsia"/>
          <w:lang w:eastAsia="zh-CN"/>
        </w:rPr>
        <w:t xml:space="preserve">th Rx antenna port for all Tx ports are a superposition of </w:t>
      </w:r>
      <w:r w:rsidRPr="004B078F">
        <w:rPr>
          <w:position w:val="-14"/>
          <w:lang w:eastAsia="zh-CN"/>
        </w:rPr>
        <w:object w:dxaOrig="400" w:dyaOrig="400">
          <v:shape id="_x0000_i1028" type="#_x0000_t75" style="width:18.75pt;height:18.75pt" o:ole="">
            <v:imagedata r:id="rId14" o:title=""/>
          </v:shape>
          <o:OLEObject Type="Embed" ProgID="Equation.DSMT4" ShapeID="_x0000_i1028" DrawAspect="Content" ObjectID="_1580372190" r:id="rId15"/>
        </w:object>
      </w:r>
      <w:r>
        <w:rPr>
          <w:rFonts w:hint="eastAsia"/>
          <w:lang w:eastAsia="zh-CN"/>
        </w:rPr>
        <w:t>, and therefore</w:t>
      </w:r>
    </w:p>
    <w:p w:rsidR="00EA0F00" w:rsidRDefault="00EA0F00" w:rsidP="00EA0F00">
      <w:pPr>
        <w:jc w:val="center"/>
        <w:rPr>
          <w:lang w:eastAsia="zh-CN"/>
        </w:rPr>
      </w:pPr>
      <w:r w:rsidRPr="00744BEB">
        <w:rPr>
          <w:position w:val="-30"/>
          <w:lang w:eastAsia="zh-CN"/>
        </w:rPr>
        <w:object w:dxaOrig="3540" w:dyaOrig="720">
          <v:shape id="_x0000_i1029" type="#_x0000_t75" style="width:155.25pt;height:33.75pt" o:ole="">
            <v:imagedata r:id="rId16" o:title=""/>
          </v:shape>
          <o:OLEObject Type="Embed" ProgID="Equation.DSMT4" ShapeID="_x0000_i1029" DrawAspect="Content" ObjectID="_1580372191" r:id="rId17"/>
        </w:object>
      </w:r>
    </w:p>
    <w:p w:rsidR="00EA0F00" w:rsidRDefault="00EA0F00" w:rsidP="00EA0F00">
      <w:pPr>
        <w:rPr>
          <w:lang w:eastAsia="zh-CN"/>
        </w:rPr>
      </w:pPr>
      <w:r>
        <w:rPr>
          <w:rFonts w:hint="eastAsia"/>
          <w:lang w:eastAsia="zh-CN"/>
        </w:rPr>
        <w:t xml:space="preserve">On the other hand, the observed interference plus noise power on the </w:t>
      </w:r>
      <w:r w:rsidRPr="007D3505">
        <w:rPr>
          <w:rFonts w:hint="eastAsia"/>
          <w:i/>
          <w:lang w:eastAsia="zh-CN"/>
        </w:rPr>
        <w:t>i</w:t>
      </w:r>
      <w:r>
        <w:rPr>
          <w:rFonts w:hint="eastAsia"/>
          <w:lang w:eastAsia="zh-CN"/>
        </w:rPr>
        <w:t>th Rx antenna port (</w:t>
      </w:r>
      <w:r>
        <w:rPr>
          <w:lang w:eastAsia="zh-CN"/>
        </w:rPr>
        <w:t>irrelevant</w:t>
      </w:r>
      <w:r>
        <w:rPr>
          <w:rFonts w:hint="eastAsia"/>
          <w:lang w:eastAsia="zh-CN"/>
        </w:rPr>
        <w:t xml:space="preserve"> to Tx port </w:t>
      </w:r>
      <w:r w:rsidRPr="0031575A">
        <w:rPr>
          <w:rFonts w:hint="eastAsia"/>
          <w:i/>
          <w:lang w:eastAsia="zh-CN"/>
        </w:rPr>
        <w:t>p</w:t>
      </w:r>
      <w:r>
        <w:rPr>
          <w:rFonts w:hint="eastAsia"/>
          <w:lang w:eastAsia="zh-CN"/>
        </w:rPr>
        <w:t>) is given by</w:t>
      </w:r>
    </w:p>
    <w:p w:rsidR="00EA0F00" w:rsidRDefault="00EA0F00" w:rsidP="00EA0F00">
      <w:pPr>
        <w:jc w:val="center"/>
        <w:rPr>
          <w:lang w:eastAsia="zh-CN"/>
        </w:rPr>
      </w:pPr>
      <w:r w:rsidRPr="00046AF4">
        <w:rPr>
          <w:position w:val="-16"/>
          <w:lang w:eastAsia="zh-CN"/>
        </w:rPr>
        <w:object w:dxaOrig="1340" w:dyaOrig="420">
          <v:shape id="_x0000_i1030" type="#_x0000_t75" style="width:60pt;height:18.75pt" o:ole="">
            <v:imagedata r:id="rId18" o:title=""/>
          </v:shape>
          <o:OLEObject Type="Embed" ProgID="Equation.DSMT4" ShapeID="_x0000_i1030" DrawAspect="Content" ObjectID="_1580372192" r:id="rId19"/>
        </w:object>
      </w:r>
    </w:p>
    <w:p w:rsidR="00EA0F00" w:rsidRDefault="00EA0F00" w:rsidP="00EA0F00">
      <w:pPr>
        <w:rPr>
          <w:lang w:eastAsia="zh-CN"/>
        </w:rPr>
      </w:pPr>
      <w:r>
        <w:rPr>
          <w:lang w:eastAsia="zh-CN"/>
        </w:rPr>
        <w:t>where</w:t>
      </w:r>
      <w:r>
        <w:rPr>
          <w:rFonts w:hint="eastAsia"/>
          <w:lang w:eastAsia="zh-CN"/>
        </w:rPr>
        <w:t xml:space="preserve"> </w:t>
      </w:r>
      <w:r w:rsidRPr="00D51C33">
        <w:rPr>
          <w:rFonts w:hint="eastAsia"/>
          <w:b/>
          <w:lang w:eastAsia="zh-CN"/>
        </w:rPr>
        <w:t>R</w:t>
      </w:r>
      <w:r w:rsidRPr="00D51C33">
        <w:rPr>
          <w:rFonts w:hint="eastAsia"/>
          <w:b/>
          <w:vertAlign w:val="subscript"/>
          <w:lang w:eastAsia="zh-CN"/>
        </w:rPr>
        <w:t>n</w:t>
      </w:r>
      <w:r>
        <w:rPr>
          <w:rFonts w:hint="eastAsia"/>
          <w:lang w:eastAsia="zh-CN"/>
        </w:rPr>
        <w:t>=E(</w:t>
      </w:r>
      <w:r w:rsidRPr="00D51C33">
        <w:rPr>
          <w:rFonts w:hint="eastAsia"/>
          <w:b/>
          <w:lang w:eastAsia="zh-CN"/>
        </w:rPr>
        <w:t>nn</w:t>
      </w:r>
      <w:r w:rsidRPr="00D51C33">
        <w:rPr>
          <w:rFonts w:hint="eastAsia"/>
          <w:i/>
          <w:vertAlign w:val="superscript"/>
          <w:lang w:eastAsia="zh-CN"/>
        </w:rPr>
        <w:t>H</w:t>
      </w:r>
      <w:r>
        <w:rPr>
          <w:rFonts w:hint="eastAsia"/>
          <w:lang w:eastAsia="zh-CN"/>
        </w:rPr>
        <w:t xml:space="preserve">) is the </w:t>
      </w:r>
      <w:r>
        <w:rPr>
          <w:lang w:eastAsia="zh-CN"/>
        </w:rPr>
        <w:t>covariance</w:t>
      </w:r>
      <w:r>
        <w:rPr>
          <w:rFonts w:hint="eastAsia"/>
          <w:lang w:eastAsia="zh-CN"/>
        </w:rPr>
        <w:t xml:space="preserve"> matrix of interference and noise on the same RE, and (</w:t>
      </w:r>
      <w:r w:rsidRPr="00D51C33">
        <w:rPr>
          <w:rFonts w:hint="eastAsia"/>
          <w:b/>
          <w:lang w:eastAsia="zh-CN"/>
        </w:rPr>
        <w:t>R</w:t>
      </w:r>
      <w:r w:rsidRPr="00D51C33">
        <w:rPr>
          <w:rFonts w:hint="eastAsia"/>
          <w:b/>
          <w:vertAlign w:val="subscript"/>
          <w:lang w:eastAsia="zh-CN"/>
        </w:rPr>
        <w:t>n</w:t>
      </w:r>
      <w:r>
        <w:rPr>
          <w:rFonts w:hint="eastAsia"/>
          <w:lang w:eastAsia="zh-CN"/>
        </w:rPr>
        <w:t>)</w:t>
      </w:r>
      <w:r w:rsidRPr="000B5987">
        <w:rPr>
          <w:rFonts w:hint="eastAsia"/>
          <w:i/>
          <w:vertAlign w:val="subscript"/>
          <w:lang w:eastAsia="zh-CN"/>
        </w:rPr>
        <w:t>i,i</w:t>
      </w:r>
      <w:r>
        <w:rPr>
          <w:rFonts w:hint="eastAsia"/>
          <w:lang w:eastAsia="zh-CN"/>
        </w:rPr>
        <w:t xml:space="preserve"> is the </w:t>
      </w:r>
      <w:r w:rsidRPr="000B5987">
        <w:rPr>
          <w:rFonts w:hint="eastAsia"/>
          <w:i/>
          <w:lang w:eastAsia="zh-CN"/>
        </w:rPr>
        <w:t>i</w:t>
      </w:r>
      <w:r>
        <w:rPr>
          <w:rFonts w:hint="eastAsia"/>
          <w:lang w:eastAsia="zh-CN"/>
        </w:rPr>
        <w:t xml:space="preserve">th diagonal element of </w:t>
      </w:r>
      <w:r w:rsidRPr="00D51C33">
        <w:rPr>
          <w:rFonts w:hint="eastAsia"/>
          <w:b/>
          <w:lang w:eastAsia="zh-CN"/>
        </w:rPr>
        <w:t>R</w:t>
      </w:r>
      <w:r w:rsidRPr="00D51C33">
        <w:rPr>
          <w:rFonts w:hint="eastAsia"/>
          <w:b/>
          <w:vertAlign w:val="subscript"/>
          <w:lang w:eastAsia="zh-CN"/>
        </w:rPr>
        <w:t>n</w:t>
      </w:r>
      <w:r>
        <w:rPr>
          <w:rFonts w:hint="eastAsia"/>
          <w:lang w:eastAsia="zh-CN"/>
        </w:rPr>
        <w:t>.</w:t>
      </w:r>
    </w:p>
    <w:p w:rsidR="00EA0F00" w:rsidRDefault="00EA0F00" w:rsidP="00EA0F00">
      <w:pPr>
        <w:rPr>
          <w:lang w:eastAsia="zh-CN"/>
        </w:rPr>
      </w:pPr>
      <w:r>
        <w:rPr>
          <w:rFonts w:hint="eastAsia"/>
          <w:lang w:eastAsia="zh-CN"/>
        </w:rPr>
        <w:lastRenderedPageBreak/>
        <w:t xml:space="preserve">The average received signal power over the </w:t>
      </w:r>
      <w:r w:rsidRPr="00E255CB">
        <w:rPr>
          <w:rFonts w:hint="eastAsia"/>
          <w:i/>
          <w:lang w:eastAsia="zh-CN"/>
        </w:rPr>
        <w:t>U</w:t>
      </w:r>
      <w:r>
        <w:rPr>
          <w:rFonts w:hint="eastAsia"/>
          <w:lang w:eastAsia="zh-CN"/>
        </w:rPr>
        <w:t xml:space="preserve"> Rx antenna ports is</w:t>
      </w:r>
    </w:p>
    <w:p w:rsidR="00EA0F00" w:rsidRDefault="00EA0F00" w:rsidP="00EA0F00">
      <w:pPr>
        <w:jc w:val="center"/>
        <w:rPr>
          <w:lang w:eastAsia="zh-CN"/>
        </w:rPr>
      </w:pPr>
      <w:r w:rsidRPr="00DD5505">
        <w:rPr>
          <w:position w:val="-30"/>
          <w:lang w:eastAsia="zh-CN"/>
        </w:rPr>
        <w:object w:dxaOrig="4180" w:dyaOrig="720">
          <v:shape id="_x0000_i1031" type="#_x0000_t75" style="width:183pt;height:33.75pt" o:ole="">
            <v:imagedata r:id="rId20" o:title=""/>
          </v:shape>
          <o:OLEObject Type="Embed" ProgID="Equation.DSMT4" ShapeID="_x0000_i1031" DrawAspect="Content" ObjectID="_1580372193" r:id="rId21"/>
        </w:object>
      </w:r>
    </w:p>
    <w:p w:rsidR="00EA0F00" w:rsidRDefault="00EA0F00" w:rsidP="00EA0F00">
      <w:pPr>
        <w:tabs>
          <w:tab w:val="center" w:pos="4819"/>
        </w:tabs>
        <w:rPr>
          <w:lang w:eastAsia="zh-CN"/>
        </w:rPr>
      </w:pPr>
      <w:r>
        <w:rPr>
          <w:rFonts w:hint="eastAsia"/>
          <w:lang w:eastAsia="zh-CN"/>
        </w:rPr>
        <w:t xml:space="preserve">In long term, </w:t>
      </w:r>
      <w:r w:rsidRPr="00DD5505">
        <w:rPr>
          <w:position w:val="-12"/>
          <w:lang w:eastAsia="zh-CN"/>
        </w:rPr>
        <w:object w:dxaOrig="260" w:dyaOrig="380">
          <v:shape id="_x0000_i1032" type="#_x0000_t75" style="width:11.25pt;height:18.75pt" o:ole="">
            <v:imagedata r:id="rId22" o:title=""/>
          </v:shape>
          <o:OLEObject Type="Embed" ProgID="Equation.DSMT4" ShapeID="_x0000_i1032" DrawAspect="Content" ObjectID="_1580372194" r:id="rId23"/>
        </w:object>
      </w:r>
      <w:r>
        <w:rPr>
          <w:rFonts w:hint="eastAsia"/>
          <w:lang w:eastAsia="zh-CN"/>
        </w:rPr>
        <w:t xml:space="preserve"> would approximate to</w:t>
      </w:r>
      <w:r>
        <w:rPr>
          <w:lang w:eastAsia="zh-CN"/>
        </w:rPr>
        <w:tab/>
      </w:r>
    </w:p>
    <w:p w:rsidR="00EA0F00" w:rsidRDefault="00EA0F00" w:rsidP="00EA0F00">
      <w:pPr>
        <w:jc w:val="right"/>
        <w:rPr>
          <w:lang w:eastAsia="zh-CN"/>
        </w:rPr>
      </w:pPr>
      <w:r w:rsidRPr="008954F3">
        <w:rPr>
          <w:position w:val="-32"/>
        </w:rPr>
        <w:object w:dxaOrig="7119" w:dyaOrig="760">
          <v:shape id="_x0000_i1033" type="#_x0000_t75" style="width:357pt;height:38.25pt" o:ole="">
            <v:imagedata r:id="rId24" o:title=""/>
          </v:shape>
          <o:OLEObject Type="Embed" ProgID="Equation.DSMT4" ShapeID="_x0000_i1033" DrawAspect="Content" ObjectID="_1580372195" r:id="rId25"/>
        </w:object>
      </w:r>
      <w:r>
        <w:rPr>
          <w:rFonts w:hint="eastAsia"/>
          <w:lang w:eastAsia="zh-CN"/>
        </w:rPr>
        <w:tab/>
      </w:r>
      <w:r>
        <w:rPr>
          <w:rFonts w:hint="eastAsia"/>
          <w:lang w:eastAsia="zh-CN"/>
        </w:rPr>
        <w:tab/>
      </w:r>
      <w:r>
        <w:rPr>
          <w:rFonts w:hint="eastAsia"/>
          <w:lang w:eastAsia="zh-CN"/>
        </w:rPr>
        <w:tab/>
      </w:r>
      <w:r>
        <w:rPr>
          <w:rFonts w:hint="eastAsia"/>
          <w:lang w:eastAsia="zh-CN"/>
        </w:rPr>
        <w:tab/>
        <w:t>(2)</w:t>
      </w:r>
    </w:p>
    <w:p w:rsidR="00EA0F00" w:rsidRPr="00991224" w:rsidRDefault="00EA0F00" w:rsidP="00EA0F00">
      <w:r>
        <w:rPr>
          <w:lang w:eastAsia="zh-CN"/>
        </w:rPr>
        <w:t>where</w:t>
      </w:r>
      <w:r>
        <w:rPr>
          <w:rFonts w:hint="eastAsia"/>
          <w:lang w:eastAsia="zh-CN"/>
        </w:rPr>
        <w:t xml:space="preserve"> </w:t>
      </w:r>
      <w:r w:rsidRPr="00FD12A1">
        <w:rPr>
          <w:rFonts w:hint="eastAsia"/>
          <w:i/>
          <w:lang w:eastAsia="zh-CN"/>
        </w:rPr>
        <w:t>RSRP</w:t>
      </w:r>
      <w:r w:rsidRPr="00FD12A1">
        <w:rPr>
          <w:rFonts w:hint="eastAsia"/>
          <w:i/>
          <w:vertAlign w:val="subscript"/>
          <w:lang w:eastAsia="zh-CN"/>
        </w:rPr>
        <w:t>p</w:t>
      </w:r>
      <w:r>
        <w:rPr>
          <w:rFonts w:hint="eastAsia"/>
          <w:lang w:eastAsia="zh-CN"/>
        </w:rPr>
        <w:t xml:space="preserve"> is calculated similar to equation (8.1-1) in TR36.873, and </w:t>
      </w:r>
      <w:r w:rsidRPr="00991224">
        <w:t>for NLOS path for n=1, …, N,</w:t>
      </w:r>
    </w:p>
    <w:p w:rsidR="00EA0F00" w:rsidRPr="00991224" w:rsidRDefault="00EA0F00" w:rsidP="00EA0F00">
      <w:pPr>
        <w:pStyle w:val="EQ"/>
        <w:tabs>
          <w:tab w:val="clear" w:pos="4536"/>
          <w:tab w:val="clear" w:pos="9072"/>
          <w:tab w:val="center" w:pos="4820"/>
          <w:tab w:val="right" w:pos="9639"/>
        </w:tabs>
        <w:rPr>
          <w:lang w:eastAsia="zh-CN"/>
        </w:rPr>
      </w:pPr>
      <w:r>
        <w:tab/>
      </w:r>
      <w:r w:rsidRPr="00991224">
        <w:object w:dxaOrig="8540" w:dyaOrig="1760">
          <v:shape id="_x0000_i1034" type="#_x0000_t75" style="width:426pt;height:88.5pt" o:ole="">
            <v:imagedata r:id="rId26" o:title=""/>
          </v:shape>
          <o:OLEObject Type="Embed" ProgID="Equation.3" ShapeID="_x0000_i1034" DrawAspect="Content" ObjectID="_1580372196" r:id="rId27"/>
        </w:object>
      </w:r>
      <w:r>
        <w:tab/>
      </w:r>
    </w:p>
    <w:p w:rsidR="00EA0F00" w:rsidRPr="00991224" w:rsidRDefault="00EA0F00" w:rsidP="00EA0F00">
      <w:pPr>
        <w:tabs>
          <w:tab w:val="left" w:pos="3994"/>
        </w:tabs>
      </w:pPr>
      <w:r w:rsidRPr="00991224">
        <w:t xml:space="preserve">and for LOS path </w:t>
      </w:r>
    </w:p>
    <w:p w:rsidR="00EA0F00" w:rsidRPr="00991224" w:rsidRDefault="00EA0F00" w:rsidP="00EA0F00">
      <w:pPr>
        <w:pStyle w:val="EQ"/>
        <w:tabs>
          <w:tab w:val="clear" w:pos="4536"/>
          <w:tab w:val="clear" w:pos="9072"/>
          <w:tab w:val="center" w:pos="4820"/>
          <w:tab w:val="right" w:pos="9639"/>
        </w:tabs>
      </w:pPr>
      <w:r>
        <w:tab/>
      </w:r>
      <w:r w:rsidRPr="00991224">
        <w:object w:dxaOrig="8640" w:dyaOrig="1200">
          <v:shape id="_x0000_i1035" type="#_x0000_t75" style="width:6in;height:60pt" o:ole="">
            <v:imagedata r:id="rId28" o:title=""/>
          </v:shape>
          <o:OLEObject Type="Embed" ProgID="Equation.3" ShapeID="_x0000_i1035" DrawAspect="Content" ObjectID="_1580372197" r:id="rId29"/>
        </w:object>
      </w:r>
      <w:r w:rsidRPr="00991224">
        <w:tab/>
      </w:r>
    </w:p>
    <w:p w:rsidR="00EA0F00" w:rsidRPr="00991224" w:rsidRDefault="00EA0F00" w:rsidP="00EA0F00">
      <w:r w:rsidRPr="00991224">
        <w:t>with</w:t>
      </w:r>
    </w:p>
    <w:p w:rsidR="00EA0F00" w:rsidRPr="00991224" w:rsidRDefault="00EA0F00" w:rsidP="00EA0F00">
      <w:pPr>
        <w:pStyle w:val="EQ"/>
        <w:tabs>
          <w:tab w:val="clear" w:pos="4536"/>
          <w:tab w:val="clear" w:pos="9072"/>
          <w:tab w:val="center" w:pos="4820"/>
          <w:tab w:val="right" w:pos="9639"/>
        </w:tabs>
        <w:rPr>
          <w:lang w:eastAsia="zh-CN"/>
        </w:rPr>
      </w:pPr>
      <w:r>
        <w:tab/>
      </w:r>
      <w:r w:rsidRPr="00813B47">
        <w:rPr>
          <w:position w:val="-18"/>
        </w:rPr>
        <w:object w:dxaOrig="7940" w:dyaOrig="480">
          <v:shape id="_x0000_i1036" type="#_x0000_t75" style="width:396pt;height:23.25pt" o:ole="">
            <v:imagedata r:id="rId30" o:title=""/>
          </v:shape>
          <o:OLEObject Type="Embed" ProgID="Equation.DSMT4" ShapeID="_x0000_i1036" DrawAspect="Content" ObjectID="_1580372198" r:id="rId31"/>
        </w:object>
      </w:r>
      <w:r>
        <w:tab/>
      </w:r>
    </w:p>
    <w:p w:rsidR="00EA0F00" w:rsidRDefault="00EA0F00" w:rsidP="00EA0F00">
      <w:pPr>
        <w:pStyle w:val="EQ"/>
        <w:tabs>
          <w:tab w:val="clear" w:pos="4536"/>
          <w:tab w:val="clear" w:pos="9072"/>
          <w:tab w:val="center" w:pos="4820"/>
          <w:tab w:val="right" w:pos="9639"/>
        </w:tabs>
        <w:rPr>
          <w:lang w:eastAsia="zh-CN"/>
        </w:rPr>
      </w:pPr>
      <w:r>
        <w:tab/>
      </w:r>
      <w:r w:rsidRPr="00813B47">
        <w:rPr>
          <w:position w:val="-18"/>
        </w:rPr>
        <w:object w:dxaOrig="7960" w:dyaOrig="480">
          <v:shape id="_x0000_i1037" type="#_x0000_t75" style="width:398.25pt;height:23.25pt" o:ole="">
            <v:imagedata r:id="rId32" o:title=""/>
          </v:shape>
          <o:OLEObject Type="Embed" ProgID="Equation.DSMT4" ShapeID="_x0000_i1037" DrawAspect="Content" ObjectID="_1580372199" r:id="rId33"/>
        </w:object>
      </w:r>
    </w:p>
    <w:p w:rsidR="00EA0F00" w:rsidRDefault="00EA0F00" w:rsidP="00EA0F00">
      <w:pPr>
        <w:jc w:val="center"/>
        <w:rPr>
          <w:lang w:eastAsia="zh-CN"/>
        </w:rPr>
      </w:pPr>
      <w:r w:rsidRPr="009170BB">
        <w:rPr>
          <w:position w:val="-18"/>
          <w:lang w:eastAsia="zh-CN"/>
        </w:rPr>
        <w:object w:dxaOrig="7780" w:dyaOrig="480">
          <v:shape id="_x0000_i1038" type="#_x0000_t75" style="width:388.5pt;height:23.25pt" o:ole="">
            <v:imagedata r:id="rId34" o:title=""/>
          </v:shape>
          <o:OLEObject Type="Embed" ProgID="Equation.DSMT4" ShapeID="_x0000_i1038" DrawAspect="Content" ObjectID="_1580372200" r:id="rId35"/>
        </w:object>
      </w:r>
    </w:p>
    <w:p w:rsidR="00EA0F00" w:rsidRPr="0008557B" w:rsidRDefault="00EA0F00" w:rsidP="00EA0F00">
      <w:pPr>
        <w:jc w:val="center"/>
        <w:rPr>
          <w:lang w:eastAsia="zh-CN"/>
        </w:rPr>
      </w:pPr>
      <w:r w:rsidRPr="009170BB">
        <w:rPr>
          <w:position w:val="-18"/>
          <w:lang w:eastAsia="zh-CN"/>
        </w:rPr>
        <w:object w:dxaOrig="7800" w:dyaOrig="480">
          <v:shape id="_x0000_i1039" type="#_x0000_t75" style="width:391.5pt;height:23.25pt" o:ole="">
            <v:imagedata r:id="rId36" o:title=""/>
          </v:shape>
          <o:OLEObject Type="Embed" ProgID="Equation.DSMT4" ShapeID="_x0000_i1039" DrawAspect="Content" ObjectID="_1580372201" r:id="rId37"/>
        </w:object>
      </w:r>
    </w:p>
    <w:p w:rsidR="00EA0F00" w:rsidRDefault="00EA0F00" w:rsidP="00EA0F00">
      <w:pPr>
        <w:rPr>
          <w:lang w:eastAsia="zh-CN"/>
        </w:rPr>
      </w:pPr>
      <w:r>
        <w:rPr>
          <w:rFonts w:hint="eastAsia"/>
          <w:lang w:eastAsia="zh-CN"/>
        </w:rPr>
        <w:t xml:space="preserve">On the other hand, the average interference plus noise power over the </w:t>
      </w:r>
      <w:r w:rsidRPr="00E255CB">
        <w:rPr>
          <w:rFonts w:hint="eastAsia"/>
          <w:i/>
          <w:lang w:eastAsia="zh-CN"/>
        </w:rPr>
        <w:t>U</w:t>
      </w:r>
      <w:r>
        <w:rPr>
          <w:rFonts w:hint="eastAsia"/>
          <w:lang w:eastAsia="zh-CN"/>
        </w:rPr>
        <w:t xml:space="preserve"> Rx antenna ports is</w:t>
      </w:r>
    </w:p>
    <w:p w:rsidR="00EA0F00" w:rsidRPr="00991224" w:rsidRDefault="00EA0F00" w:rsidP="00EA0F00">
      <w:pPr>
        <w:jc w:val="right"/>
        <w:rPr>
          <w:lang w:eastAsia="zh-CN"/>
        </w:rPr>
      </w:pPr>
      <w:r w:rsidRPr="00457837">
        <w:rPr>
          <w:position w:val="-24"/>
          <w:lang w:eastAsia="zh-CN"/>
        </w:rPr>
        <w:object w:dxaOrig="1660" w:dyaOrig="620">
          <v:shape id="_x0000_i1040" type="#_x0000_t75" style="width:75pt;height:27pt" o:ole="">
            <v:imagedata r:id="rId38" o:title=""/>
          </v:shape>
          <o:OLEObject Type="Embed" ProgID="Equation.DSMT4" ShapeID="_x0000_i1040" DrawAspect="Content" ObjectID="_1580372202" r:id="rId39"/>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rsidR="00EA0F00" w:rsidRDefault="00EA0F00" w:rsidP="00EA0F00">
      <w:pPr>
        <w:rPr>
          <w:lang w:eastAsia="zh-CN"/>
        </w:rPr>
      </w:pPr>
      <w:r>
        <w:rPr>
          <w:rFonts w:hint="eastAsia"/>
          <w:lang w:eastAsia="zh-CN"/>
        </w:rPr>
        <w:t>The pre-processing SINR can be expressed as</w:t>
      </w:r>
    </w:p>
    <w:p w:rsidR="00EA0F00" w:rsidRDefault="00EA0F00" w:rsidP="00EA0F00">
      <w:pPr>
        <w:jc w:val="right"/>
        <w:rPr>
          <w:lang w:eastAsia="zh-CN"/>
        </w:rPr>
      </w:pPr>
      <w:r w:rsidRPr="00C3219E">
        <w:rPr>
          <w:position w:val="-30"/>
          <w:lang w:eastAsia="zh-CN"/>
        </w:rPr>
        <w:object w:dxaOrig="1860" w:dyaOrig="700">
          <v:shape id="_x0000_i1041" type="#_x0000_t75" style="width:81pt;height:30.75pt" o:ole="">
            <v:imagedata r:id="rId40" o:title=""/>
          </v:shape>
          <o:OLEObject Type="Embed" ProgID="Equation.DSMT4" ShapeID="_x0000_i1041" DrawAspect="Content" ObjectID="_1580372203" r:id="rId41"/>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(4)</w:t>
      </w:r>
    </w:p>
    <w:p w:rsidR="00EA0F00" w:rsidRPr="00516FCC" w:rsidRDefault="00EA0F00" w:rsidP="00EA0F00">
      <w:pPr>
        <w:rPr>
          <w:lang w:eastAsia="zh-CN"/>
        </w:rPr>
      </w:pPr>
      <w:r>
        <w:rPr>
          <w:lang w:eastAsia="zh-CN"/>
        </w:rPr>
        <w:t>where</w:t>
      </w:r>
      <w:r>
        <w:rPr>
          <w:rFonts w:hint="eastAsia"/>
          <w:lang w:eastAsia="zh-CN"/>
        </w:rPr>
        <w:t xml:space="preserve"> </w:t>
      </w:r>
      <w:r w:rsidRPr="00810B18">
        <w:rPr>
          <w:position w:val="-14"/>
          <w:lang w:eastAsia="zh-CN"/>
        </w:rPr>
        <w:object w:dxaOrig="400" w:dyaOrig="400">
          <v:shape id="_x0000_i1042" type="#_x0000_t75" style="width:18.75pt;height:18.75pt" o:ole="">
            <v:imagedata r:id="rId42" o:title=""/>
          </v:shape>
          <o:OLEObject Type="Embed" ProgID="Equation.DSMT4" ShapeID="_x0000_i1042" DrawAspect="Content" ObjectID="_1580372204" r:id="rId43"/>
        </w:object>
      </w:r>
      <w:r>
        <w:rPr>
          <w:rFonts w:hint="eastAsia"/>
          <w:lang w:eastAsia="zh-CN"/>
        </w:rPr>
        <w:t xml:space="preserve"> is given by (2), and </w:t>
      </w:r>
      <w:r w:rsidRPr="00CB632F">
        <w:rPr>
          <w:position w:val="-12"/>
          <w:lang w:eastAsia="zh-CN"/>
        </w:rPr>
        <w:object w:dxaOrig="460" w:dyaOrig="380">
          <v:shape id="_x0000_i1043" type="#_x0000_t75" style="width:19.5pt;height:16.5pt" o:ole="">
            <v:imagedata r:id="rId44" o:title=""/>
          </v:shape>
          <o:OLEObject Type="Embed" ProgID="Equation.DSMT4" ShapeID="_x0000_i1043" DrawAspect="Content" ObjectID="_1580372205" r:id="rId45"/>
        </w:object>
      </w:r>
      <w:r>
        <w:rPr>
          <w:rFonts w:hint="eastAsia"/>
          <w:lang w:eastAsia="zh-CN"/>
        </w:rPr>
        <w:t xml:space="preserve"> is given by (3).</w:t>
      </w:r>
    </w:p>
    <w:p w:rsidR="004F1363" w:rsidRDefault="00EA0F00" w:rsidP="00EA0F00">
      <w:pPr>
        <w:pStyle w:val="Eqn"/>
        <w:rPr>
          <w:lang w:eastAsia="zh-CN"/>
        </w:rPr>
      </w:pPr>
      <w:r>
        <w:rPr>
          <w:rFonts w:hint="eastAsia"/>
          <w:lang w:eastAsia="zh-CN"/>
        </w:rPr>
        <w:t xml:space="preserve">In system level simulation, the pre-processing SINR can be calculated via (4), </w:t>
      </w:r>
      <w:r w:rsidR="00363499">
        <w:rPr>
          <w:rFonts w:hint="eastAsia"/>
          <w:lang w:eastAsia="zh-CN"/>
        </w:rPr>
        <w:t>and the CDF can be derived from the SINR of different users</w:t>
      </w:r>
      <w:r>
        <w:rPr>
          <w:rFonts w:hint="eastAsia"/>
          <w:lang w:eastAsia="zh-CN"/>
        </w:rPr>
        <w:t>.</w:t>
      </w:r>
      <w:r w:rsidR="00363499">
        <w:rPr>
          <w:rFonts w:hint="eastAsia"/>
          <w:lang w:eastAsia="zh-CN"/>
        </w:rPr>
        <w:t xml:space="preserve"> The 50%-tile SINR will be provided to link level simulation.</w:t>
      </w:r>
      <w:r w:rsidR="004F1363">
        <w:rPr>
          <w:rFonts w:hint="eastAsia"/>
          <w:lang w:eastAsia="zh-CN"/>
        </w:rPr>
        <w:t xml:space="preserve"> </w:t>
      </w:r>
    </w:p>
    <w:p w:rsidR="00997D20" w:rsidRDefault="00997D20" w:rsidP="00997D20">
      <w:pPr>
        <w:pStyle w:val="2"/>
      </w:pPr>
      <w:r>
        <w:rPr>
          <w:rFonts w:hint="eastAsia"/>
        </w:rPr>
        <w:t>Antenna gain consideration in link level simulat</w:t>
      </w:r>
      <w:r w:rsidR="00DC42F0">
        <w:rPr>
          <w:rFonts w:hint="eastAsia"/>
          <w:lang w:eastAsia="zh-CN"/>
        </w:rPr>
        <w:t>i</w:t>
      </w:r>
      <w:r>
        <w:rPr>
          <w:rFonts w:hint="eastAsia"/>
        </w:rPr>
        <w:t>on</w:t>
      </w:r>
    </w:p>
    <w:p w:rsidR="00997D20" w:rsidRDefault="00997D20" w:rsidP="00997D20">
      <w:pPr>
        <w:rPr>
          <w:lang w:eastAsia="zh-CN"/>
        </w:rPr>
      </w:pPr>
      <w:r>
        <w:rPr>
          <w:rFonts w:hint="eastAsia"/>
          <w:lang w:eastAsia="zh-CN"/>
        </w:rPr>
        <w:t xml:space="preserve">It is noted that the antenna element gain </w:t>
      </w:r>
      <w:r w:rsidRPr="00E46E11">
        <w:rPr>
          <w:rFonts w:hint="eastAsia"/>
          <w:i/>
          <w:lang w:eastAsia="zh-CN"/>
        </w:rPr>
        <w:t>F</w:t>
      </w:r>
      <w:r w:rsidRPr="00E46E11">
        <w:rPr>
          <w:rFonts w:hint="eastAsia"/>
          <w:vertAlign w:val="subscript"/>
          <w:lang w:eastAsia="zh-CN"/>
        </w:rPr>
        <w:t>tx</w:t>
      </w:r>
      <w:r>
        <w:rPr>
          <w:rFonts w:hint="eastAsia"/>
          <w:lang w:eastAsia="zh-CN"/>
        </w:rPr>
        <w:t xml:space="preserve"> and </w:t>
      </w:r>
      <w:r w:rsidRPr="00E46E11">
        <w:rPr>
          <w:rFonts w:hint="eastAsia"/>
          <w:i/>
          <w:lang w:eastAsia="zh-CN"/>
        </w:rPr>
        <w:t>F</w:t>
      </w:r>
      <w:r w:rsidRPr="00E46E11">
        <w:rPr>
          <w:rFonts w:hint="eastAsia"/>
          <w:vertAlign w:val="subscript"/>
          <w:lang w:eastAsia="zh-CN"/>
        </w:rPr>
        <w:t>rx</w:t>
      </w:r>
      <w:r>
        <w:rPr>
          <w:rFonts w:hint="eastAsia"/>
          <w:lang w:eastAsia="zh-CN"/>
        </w:rPr>
        <w:t>, as well as the Tx and Rx analog beamforming gain is taken into account in the pre-processing SINR calculation in system level. Therefore, these gain shall not be accounted again in link level simulation.</w:t>
      </w:r>
    </w:p>
    <w:p w:rsidR="00997D20" w:rsidRDefault="00997D20" w:rsidP="00997D20">
      <w:pPr>
        <w:rPr>
          <w:lang w:eastAsia="zh-CN"/>
        </w:rPr>
      </w:pPr>
      <w:r>
        <w:rPr>
          <w:rFonts w:hint="eastAsia"/>
          <w:lang w:eastAsia="zh-CN"/>
        </w:rPr>
        <w:lastRenderedPageBreak/>
        <w:t xml:space="preserve">In this case, the link level simulation will assume an </w:t>
      </w:r>
      <w:r w:rsidRPr="00740D24">
        <w:rPr>
          <w:rFonts w:hint="eastAsia"/>
          <w:i/>
          <w:lang w:eastAsia="zh-CN"/>
        </w:rPr>
        <w:t>S</w:t>
      </w:r>
      <w:r w:rsidRPr="003D77DF">
        <w:rPr>
          <w:lang w:eastAsia="zh-CN"/>
        </w:rPr>
        <w:t>×</w:t>
      </w:r>
      <w:r w:rsidRPr="00DA2A78">
        <w:rPr>
          <w:rFonts w:hint="eastAsia"/>
          <w:i/>
          <w:lang w:eastAsia="zh-CN"/>
        </w:rPr>
        <w:t>U</w:t>
      </w:r>
      <w:r>
        <w:rPr>
          <w:rFonts w:hint="eastAsia"/>
          <w:i/>
          <w:lang w:eastAsia="zh-CN"/>
        </w:rPr>
        <w:t xml:space="preserve"> </w:t>
      </w:r>
      <w:r w:rsidRPr="00B2125A">
        <w:rPr>
          <w:rFonts w:hint="eastAsia"/>
          <w:lang w:eastAsia="zh-CN"/>
        </w:rPr>
        <w:t>MIMO</w:t>
      </w:r>
      <w:r>
        <w:rPr>
          <w:rFonts w:hint="eastAsia"/>
          <w:i/>
          <w:lang w:eastAsia="zh-CN"/>
        </w:rPr>
        <w:t xml:space="preserve"> </w:t>
      </w:r>
      <w:r>
        <w:rPr>
          <w:rFonts w:hint="eastAsia"/>
          <w:lang w:eastAsia="zh-CN"/>
        </w:rPr>
        <w:t xml:space="preserve">system (with </w:t>
      </w:r>
      <w:r w:rsidRPr="002B1A08">
        <w:rPr>
          <w:rFonts w:hint="eastAsia"/>
          <w:i/>
          <w:lang w:eastAsia="zh-CN"/>
        </w:rPr>
        <w:t>S</w:t>
      </w:r>
      <w:r>
        <w:rPr>
          <w:rFonts w:hint="eastAsia"/>
          <w:lang w:eastAsia="zh-CN"/>
        </w:rPr>
        <w:t xml:space="preserve"> Tx antenna ports and </w:t>
      </w:r>
      <w:r w:rsidRPr="002B1A08">
        <w:rPr>
          <w:rFonts w:hint="eastAsia"/>
          <w:i/>
          <w:lang w:eastAsia="zh-CN"/>
        </w:rPr>
        <w:t>U</w:t>
      </w:r>
      <w:r>
        <w:rPr>
          <w:rFonts w:hint="eastAsia"/>
          <w:lang w:eastAsia="zh-CN"/>
        </w:rPr>
        <w:t xml:space="preserve"> Rx antenna ports), and 0dB gain can be assumed for Tx and Rx antenna ports to </w:t>
      </w:r>
      <w:r w:rsidR="0091316D">
        <w:rPr>
          <w:lang w:eastAsia="zh-CN"/>
        </w:rPr>
        <w:t>avoid</w:t>
      </w:r>
      <w:r>
        <w:rPr>
          <w:rFonts w:hint="eastAsia"/>
          <w:lang w:eastAsia="zh-CN"/>
        </w:rPr>
        <w:t xml:space="preserve"> duplicate gain in the evaluation.</w:t>
      </w:r>
    </w:p>
    <w:p w:rsidR="00997D20" w:rsidRDefault="00997D20" w:rsidP="00997D20">
      <w:pPr>
        <w:pStyle w:val="Eqn"/>
        <w:rPr>
          <w:b/>
          <w:lang w:eastAsia="zh-CN"/>
        </w:rPr>
      </w:pPr>
      <w:r w:rsidRPr="004D2551">
        <w:rPr>
          <w:rFonts w:hint="eastAsia"/>
          <w:b/>
          <w:i/>
          <w:lang w:eastAsia="zh-CN"/>
        </w:rPr>
        <w:t xml:space="preserve">Observation </w:t>
      </w:r>
      <w:r w:rsidR="00024F72">
        <w:rPr>
          <w:rFonts w:hint="eastAsia"/>
          <w:b/>
          <w:i/>
          <w:lang w:eastAsia="zh-CN"/>
        </w:rPr>
        <w:t>1</w:t>
      </w:r>
      <w:r w:rsidRPr="004D2551">
        <w:rPr>
          <w:rFonts w:hint="eastAsia"/>
          <w:b/>
          <w:i/>
          <w:lang w:eastAsia="zh-CN"/>
        </w:rPr>
        <w:t xml:space="preserve">: </w:t>
      </w:r>
      <w:r>
        <w:rPr>
          <w:rFonts w:hint="eastAsia"/>
          <w:b/>
          <w:lang w:eastAsia="zh-CN"/>
        </w:rPr>
        <w:t>Pre-processing SINR is considered to be used and is derived from system level simulation.</w:t>
      </w:r>
      <w:r w:rsidR="00830844">
        <w:rPr>
          <w:rFonts w:hint="eastAsia"/>
          <w:b/>
          <w:lang w:eastAsia="zh-CN"/>
        </w:rPr>
        <w:t xml:space="preserve"> Equation (4) is </w:t>
      </w:r>
      <w:r w:rsidR="00E7387B">
        <w:rPr>
          <w:rFonts w:hint="eastAsia"/>
          <w:b/>
          <w:lang w:eastAsia="zh-CN"/>
        </w:rPr>
        <w:t>considered</w:t>
      </w:r>
      <w:r w:rsidR="00830844">
        <w:rPr>
          <w:rFonts w:hint="eastAsia"/>
          <w:b/>
          <w:lang w:eastAsia="zh-CN"/>
        </w:rPr>
        <w:t xml:space="preserve"> to be used for pre-processing SINR calculation.</w:t>
      </w:r>
    </w:p>
    <w:p w:rsidR="00E97B42" w:rsidRDefault="00E97B42" w:rsidP="00E8701F">
      <w:pPr>
        <w:pStyle w:val="1"/>
        <w:rPr>
          <w:lang w:eastAsia="zh-CN"/>
        </w:rPr>
      </w:pPr>
      <w:r>
        <w:rPr>
          <w:rFonts w:hint="eastAsia"/>
          <w:lang w:eastAsia="zh-CN"/>
        </w:rPr>
        <w:t>Initial evaluation results for SINR distribution</w:t>
      </w:r>
    </w:p>
    <w:p w:rsidR="005337D7" w:rsidRDefault="005337D7" w:rsidP="005337D7">
      <w:pPr>
        <w:spacing w:before="240"/>
        <w:rPr>
          <w:lang w:eastAsia="zh-CN"/>
        </w:rPr>
      </w:pPr>
      <w:r>
        <w:t xml:space="preserve">In Figure </w:t>
      </w:r>
      <w:r>
        <w:rPr>
          <w:rFonts w:hint="eastAsia"/>
          <w:lang w:eastAsia="zh-CN"/>
        </w:rPr>
        <w:t>1</w:t>
      </w:r>
      <w:r>
        <w:t xml:space="preserve">, the </w:t>
      </w:r>
      <w:r>
        <w:rPr>
          <w:rFonts w:hint="eastAsia"/>
        </w:rPr>
        <w:t>pre-processing SINR</w:t>
      </w:r>
      <w:r>
        <w:t xml:space="preserve"> </w:t>
      </w:r>
      <w:r w:rsidR="00473D55">
        <w:rPr>
          <w:rFonts w:hint="eastAsia"/>
          <w:lang w:eastAsia="zh-CN"/>
        </w:rPr>
        <w:t>CDF</w:t>
      </w:r>
      <w:r>
        <w:t xml:space="preserve"> for Rural</w:t>
      </w:r>
      <w:r w:rsidR="00473D55">
        <w:rPr>
          <w:rFonts w:hint="eastAsia"/>
          <w:lang w:eastAsia="zh-CN"/>
        </w:rPr>
        <w:t>-</w:t>
      </w:r>
      <w:r>
        <w:t>eMBB</w:t>
      </w:r>
      <w:r>
        <w:rPr>
          <w:rFonts w:hint="eastAsia"/>
          <w:lang w:eastAsia="zh-CN"/>
        </w:rPr>
        <w:t xml:space="preserve"> </w:t>
      </w:r>
      <w:r w:rsidR="00473D55">
        <w:rPr>
          <w:rFonts w:hint="eastAsia"/>
          <w:lang w:eastAsia="zh-CN"/>
        </w:rPr>
        <w:t xml:space="preserve">test environment for carrier frequency of </w:t>
      </w:r>
      <w:r>
        <w:rPr>
          <w:rFonts w:hint="eastAsia"/>
          <w:lang w:eastAsia="zh-CN"/>
        </w:rPr>
        <w:t>700MHz</w:t>
      </w:r>
      <w:r>
        <w:t xml:space="preserve"> </w:t>
      </w:r>
      <w:r>
        <w:rPr>
          <w:rFonts w:hint="eastAsia"/>
          <w:lang w:eastAsia="zh-CN"/>
        </w:rPr>
        <w:t>is</w:t>
      </w:r>
      <w:r w:rsidRPr="003C1505">
        <w:t xml:space="preserve"> </w:t>
      </w:r>
      <w:r>
        <w:t>provided</w:t>
      </w:r>
      <w:r>
        <w:rPr>
          <w:lang w:eastAsia="zh-CN"/>
        </w:rPr>
        <w:t xml:space="preserve">. </w:t>
      </w:r>
      <w:r w:rsidR="00A6311C">
        <w:rPr>
          <w:rFonts w:hint="eastAsia"/>
          <w:lang w:eastAsia="zh-CN"/>
        </w:rPr>
        <w:t xml:space="preserve">It is observed that </w:t>
      </w:r>
      <w:r w:rsidR="0013490E">
        <w:rPr>
          <w:rFonts w:hint="eastAsia"/>
          <w:lang w:eastAsia="zh-CN"/>
        </w:rPr>
        <w:t>the 50%-tile SINR is 10dB under both channel model A and B.</w:t>
      </w:r>
    </w:p>
    <w:p w:rsidR="005337D7" w:rsidRDefault="00A337D3" w:rsidP="005337D7">
      <w:pPr>
        <w:pStyle w:val="Eqn"/>
        <w:jc w:val="center"/>
        <w:rPr>
          <w:lang w:eastAsia="zh-CN"/>
        </w:rPr>
      </w:pPr>
      <w:r w:rsidRPr="00A337D3">
        <w:rPr>
          <w:noProof/>
          <w:lang w:eastAsia="zh-CN"/>
        </w:rPr>
        <w:drawing>
          <wp:inline distT="0" distB="0" distL="0" distR="0">
            <wp:extent cx="3846559" cy="2880000"/>
            <wp:effectExtent l="19050" t="0" r="1541"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cstate="print"/>
                    <a:srcRect/>
                    <a:stretch>
                      <a:fillRect/>
                    </a:stretch>
                  </pic:blipFill>
                  <pic:spPr bwMode="auto">
                    <a:xfrm>
                      <a:off x="0" y="0"/>
                      <a:ext cx="3846559" cy="2880000"/>
                    </a:xfrm>
                    <a:prstGeom prst="rect">
                      <a:avLst/>
                    </a:prstGeom>
                    <a:noFill/>
                    <a:ln w="9525">
                      <a:noFill/>
                      <a:miter lim="800000"/>
                      <a:headEnd/>
                      <a:tailEnd/>
                    </a:ln>
                  </pic:spPr>
                </pic:pic>
              </a:graphicData>
            </a:graphic>
          </wp:inline>
        </w:drawing>
      </w:r>
      <w:r w:rsidR="005337D7" w:rsidDel="00881804">
        <w:rPr>
          <w:noProof/>
          <w:lang w:eastAsia="zh-CN"/>
        </w:rPr>
        <w:t xml:space="preserve"> </w:t>
      </w:r>
    </w:p>
    <w:p w:rsidR="005337D7" w:rsidRPr="00187F25" w:rsidRDefault="005337D7" w:rsidP="005337D7">
      <w:pPr>
        <w:pStyle w:val="Eqn"/>
        <w:jc w:val="center"/>
        <w:rPr>
          <w:sz w:val="21"/>
          <w:lang w:eastAsia="zh-CN"/>
        </w:rPr>
      </w:pPr>
      <w:r w:rsidRPr="00187F25">
        <w:rPr>
          <w:sz w:val="21"/>
          <w:lang w:eastAsia="zh-CN"/>
        </w:rPr>
        <w:t>Figure</w:t>
      </w:r>
      <w:r w:rsidR="00187F25" w:rsidRPr="00187F25">
        <w:rPr>
          <w:rFonts w:hint="eastAsia"/>
          <w:sz w:val="21"/>
          <w:lang w:eastAsia="zh-CN"/>
        </w:rPr>
        <w:t xml:space="preserve"> </w:t>
      </w:r>
      <w:r w:rsidRPr="00187F25">
        <w:rPr>
          <w:sz w:val="21"/>
          <w:lang w:eastAsia="zh-CN"/>
        </w:rPr>
        <w:t>1</w:t>
      </w:r>
      <w:r w:rsidR="00187F25">
        <w:rPr>
          <w:rFonts w:hint="eastAsia"/>
          <w:sz w:val="21"/>
          <w:lang w:eastAsia="zh-CN"/>
        </w:rPr>
        <w:t xml:space="preserve"> </w:t>
      </w:r>
      <w:r w:rsidRPr="00187F25">
        <w:rPr>
          <w:sz w:val="21"/>
          <w:lang w:eastAsia="zh-CN"/>
        </w:rPr>
        <w:t xml:space="preserve">UL SINR for </w:t>
      </w:r>
      <w:r w:rsidRPr="00187F25">
        <w:rPr>
          <w:sz w:val="21"/>
        </w:rPr>
        <w:t>Rural eMBB</w:t>
      </w:r>
      <w:r w:rsidRPr="00187F25">
        <w:rPr>
          <w:sz w:val="21"/>
          <w:lang w:eastAsia="zh-CN"/>
        </w:rPr>
        <w:t xml:space="preserve"> 700MHz</w:t>
      </w:r>
    </w:p>
    <w:p w:rsidR="00187F25" w:rsidRPr="00187F25" w:rsidRDefault="00187F25" w:rsidP="000F517F">
      <w:pPr>
        <w:pStyle w:val="Eqn"/>
        <w:rPr>
          <w:lang w:eastAsia="zh-CN"/>
        </w:rPr>
      </w:pPr>
      <w:r w:rsidRPr="004D2551">
        <w:rPr>
          <w:rFonts w:hint="eastAsia"/>
          <w:b/>
          <w:i/>
          <w:lang w:eastAsia="zh-CN"/>
        </w:rPr>
        <w:t xml:space="preserve">Observation </w:t>
      </w:r>
      <w:r w:rsidR="00D42EF0">
        <w:rPr>
          <w:rFonts w:hint="eastAsia"/>
          <w:b/>
          <w:i/>
          <w:lang w:eastAsia="zh-CN"/>
        </w:rPr>
        <w:t>2</w:t>
      </w:r>
      <w:r w:rsidRPr="004D2551">
        <w:rPr>
          <w:rFonts w:hint="eastAsia"/>
          <w:b/>
          <w:i/>
          <w:lang w:eastAsia="zh-CN"/>
        </w:rPr>
        <w:t xml:space="preserve">: </w:t>
      </w:r>
      <w:r w:rsidR="000F517F">
        <w:rPr>
          <w:rFonts w:hint="eastAsia"/>
          <w:b/>
          <w:lang w:eastAsia="zh-CN"/>
        </w:rPr>
        <w:t xml:space="preserve">For Rural-eMBB test environment, 50%-tile </w:t>
      </w:r>
      <w:r w:rsidR="00274D24">
        <w:rPr>
          <w:b/>
          <w:lang w:eastAsia="zh-CN"/>
        </w:rPr>
        <w:t xml:space="preserve">UL </w:t>
      </w:r>
      <w:r w:rsidR="000F517F">
        <w:rPr>
          <w:rFonts w:hint="eastAsia"/>
          <w:b/>
          <w:lang w:eastAsia="zh-CN"/>
        </w:rPr>
        <w:t xml:space="preserve">SINR is </w:t>
      </w:r>
      <w:r w:rsidR="00274D24">
        <w:rPr>
          <w:b/>
          <w:lang w:eastAsia="zh-CN"/>
        </w:rPr>
        <w:t>around</w:t>
      </w:r>
      <w:r w:rsidR="000F517F">
        <w:rPr>
          <w:rFonts w:hint="eastAsia"/>
          <w:b/>
          <w:lang w:eastAsia="zh-CN"/>
        </w:rPr>
        <w:t xml:space="preserve"> 10dB for 700 MHz</w:t>
      </w:r>
      <w:r>
        <w:rPr>
          <w:rFonts w:hint="eastAsia"/>
          <w:b/>
          <w:lang w:eastAsia="zh-CN"/>
        </w:rPr>
        <w:t>.</w:t>
      </w:r>
    </w:p>
    <w:p w:rsidR="00341868" w:rsidRDefault="009B57CB" w:rsidP="00341868">
      <w:pPr>
        <w:pStyle w:val="1"/>
        <w:rPr>
          <w:lang w:eastAsia="zh-CN"/>
        </w:rPr>
      </w:pPr>
      <w:r>
        <w:rPr>
          <w:rFonts w:hint="eastAsia"/>
          <w:lang w:eastAsia="zh-CN"/>
        </w:rPr>
        <w:t>Summary</w:t>
      </w:r>
    </w:p>
    <w:p w:rsidR="009B57CB" w:rsidRDefault="009B57CB" w:rsidP="009B57CB">
      <w:pPr>
        <w:rPr>
          <w:lang w:eastAsia="zh-CN"/>
        </w:rPr>
      </w:pPr>
      <w:bookmarkStart w:id="4" w:name="_Ref124589665"/>
      <w:bookmarkStart w:id="5" w:name="_Ref71620620"/>
      <w:bookmarkStart w:id="6" w:name="_Ref124671424"/>
      <w:r>
        <w:rPr>
          <w:rFonts w:hint="eastAsia"/>
          <w:lang w:eastAsia="zh-CN"/>
        </w:rPr>
        <w:t>In this document, the consideration on mobility evaluation is provided. The following observations are made.</w:t>
      </w:r>
    </w:p>
    <w:p w:rsidR="005B07D4" w:rsidRDefault="005B07D4" w:rsidP="005B07D4">
      <w:pPr>
        <w:pStyle w:val="Eqn"/>
        <w:rPr>
          <w:b/>
          <w:lang w:eastAsia="zh-CN"/>
        </w:rPr>
      </w:pPr>
      <w:r w:rsidRPr="004D2551">
        <w:rPr>
          <w:rFonts w:hint="eastAsia"/>
          <w:b/>
          <w:i/>
          <w:lang w:eastAsia="zh-CN"/>
        </w:rPr>
        <w:t xml:space="preserve">Observation </w:t>
      </w:r>
      <w:r>
        <w:rPr>
          <w:rFonts w:hint="eastAsia"/>
          <w:b/>
          <w:i/>
          <w:lang w:eastAsia="zh-CN"/>
        </w:rPr>
        <w:t>1</w:t>
      </w:r>
      <w:r w:rsidRPr="004D2551">
        <w:rPr>
          <w:rFonts w:hint="eastAsia"/>
          <w:b/>
          <w:i/>
          <w:lang w:eastAsia="zh-CN"/>
        </w:rPr>
        <w:t xml:space="preserve">: </w:t>
      </w:r>
      <w:r>
        <w:rPr>
          <w:rFonts w:hint="eastAsia"/>
          <w:b/>
          <w:lang w:eastAsia="zh-CN"/>
        </w:rPr>
        <w:t>Pre-processing SINR is considered to be used and is derived from system level simulation. Equation (4) is considered to be used for pre-processing SINR calculation.</w:t>
      </w:r>
    </w:p>
    <w:p w:rsidR="00614915" w:rsidRPr="00D42EF0" w:rsidRDefault="005B07D4" w:rsidP="00341868">
      <w:pPr>
        <w:pStyle w:val="Eqn"/>
        <w:rPr>
          <w:i/>
          <w:lang w:eastAsia="zh-CN"/>
        </w:rPr>
      </w:pPr>
      <w:r w:rsidRPr="004D2551">
        <w:rPr>
          <w:rFonts w:hint="eastAsia"/>
          <w:b/>
          <w:i/>
          <w:lang w:eastAsia="zh-CN"/>
        </w:rPr>
        <w:t xml:space="preserve">Observation </w:t>
      </w:r>
      <w:r>
        <w:rPr>
          <w:rFonts w:hint="eastAsia"/>
          <w:b/>
          <w:i/>
          <w:lang w:eastAsia="zh-CN"/>
        </w:rPr>
        <w:t>2</w:t>
      </w:r>
      <w:r w:rsidRPr="004D2551">
        <w:rPr>
          <w:rFonts w:hint="eastAsia"/>
          <w:b/>
          <w:i/>
          <w:lang w:eastAsia="zh-CN"/>
        </w:rPr>
        <w:t xml:space="preserve">: </w:t>
      </w:r>
      <w:r>
        <w:rPr>
          <w:rFonts w:hint="eastAsia"/>
          <w:b/>
          <w:lang w:eastAsia="zh-CN"/>
        </w:rPr>
        <w:t xml:space="preserve">For Rural-eMBB test environment, 50%-tile </w:t>
      </w:r>
      <w:r>
        <w:rPr>
          <w:b/>
          <w:lang w:eastAsia="zh-CN"/>
        </w:rPr>
        <w:t xml:space="preserve">UL </w:t>
      </w:r>
      <w:r>
        <w:rPr>
          <w:rFonts w:hint="eastAsia"/>
          <w:b/>
          <w:lang w:eastAsia="zh-CN"/>
        </w:rPr>
        <w:t xml:space="preserve">SINR is </w:t>
      </w:r>
      <w:r>
        <w:rPr>
          <w:b/>
          <w:lang w:eastAsia="zh-CN"/>
        </w:rPr>
        <w:t>around</w:t>
      </w:r>
      <w:r>
        <w:rPr>
          <w:rFonts w:hint="eastAsia"/>
          <w:b/>
          <w:lang w:eastAsia="zh-CN"/>
        </w:rPr>
        <w:t xml:space="preserve"> 10dB for 700 MHz.</w:t>
      </w:r>
    </w:p>
    <w:p w:rsidR="00341868" w:rsidRPr="00CF195E" w:rsidRDefault="00E86488" w:rsidP="00E86488">
      <w:pPr>
        <w:pStyle w:val="1"/>
        <w:numPr>
          <w:ilvl w:val="0"/>
          <w:numId w:val="0"/>
        </w:numPr>
        <w:tabs>
          <w:tab w:val="left" w:pos="3230"/>
        </w:tabs>
        <w:ind w:left="432" w:hanging="432"/>
        <w:rPr>
          <w:lang w:eastAsia="zh-CN"/>
        </w:rPr>
      </w:pPr>
      <w:r>
        <w:t>Referenc</w:t>
      </w:r>
      <w:r>
        <w:rPr>
          <w:rFonts w:hint="eastAsia"/>
          <w:lang w:eastAsia="zh-CN"/>
        </w:rPr>
        <w:t>e</w:t>
      </w:r>
    </w:p>
    <w:bookmarkEnd w:id="3"/>
    <w:bookmarkEnd w:id="4"/>
    <w:bookmarkEnd w:id="5"/>
    <w:bookmarkEnd w:id="6"/>
    <w:p w:rsidR="00680C4F" w:rsidRDefault="00680C4F" w:rsidP="00F769D3">
      <w:pPr>
        <w:pStyle w:val="References"/>
        <w:numPr>
          <w:ilvl w:val="0"/>
          <w:numId w:val="3"/>
        </w:numPr>
        <w:spacing w:line="240" w:lineRule="atLeast"/>
        <w:ind w:left="357" w:hanging="357"/>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680C4F" w:rsidRDefault="00680C4F" w:rsidP="00F769D3">
      <w:pPr>
        <w:pStyle w:val="References"/>
        <w:numPr>
          <w:ilvl w:val="0"/>
          <w:numId w:val="3"/>
        </w:numPr>
        <w:spacing w:line="240" w:lineRule="atLeast"/>
        <w:ind w:left="357" w:hanging="357"/>
        <w:rPr>
          <w:rFonts w:eastAsiaTheme="minorEastAsia"/>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71292C">
        <w:rPr>
          <w:rFonts w:eastAsiaTheme="minorEastAsia" w:hint="eastAsia"/>
          <w:lang w:eastAsia="zh-CN"/>
        </w:rPr>
        <w:t>.</w:t>
      </w:r>
    </w:p>
    <w:p w:rsidR="007C3FA8" w:rsidRDefault="007C3FA8" w:rsidP="00093DD0">
      <w:pPr>
        <w:rPr>
          <w:kern w:val="2"/>
          <w:lang w:eastAsia="zh-CN"/>
        </w:rPr>
      </w:pPr>
    </w:p>
    <w:p w:rsidR="00D33CAA" w:rsidRDefault="00D33CAA" w:rsidP="00093DD0">
      <w:pPr>
        <w:rPr>
          <w:kern w:val="2"/>
          <w:lang w:eastAsia="zh-CN"/>
        </w:rPr>
      </w:pPr>
    </w:p>
    <w:p w:rsidR="00D33CAA" w:rsidRDefault="00D33CAA" w:rsidP="00093DD0">
      <w:pPr>
        <w:rPr>
          <w:kern w:val="2"/>
          <w:lang w:eastAsia="zh-CN"/>
        </w:rPr>
      </w:pPr>
    </w:p>
    <w:p w:rsidR="003D6736" w:rsidRDefault="003D6736" w:rsidP="00093DD0">
      <w:pPr>
        <w:rPr>
          <w:kern w:val="2"/>
          <w:lang w:eastAsia="zh-CN"/>
        </w:rPr>
      </w:pPr>
    </w:p>
    <w:p w:rsidR="003D6736" w:rsidRDefault="003D6736" w:rsidP="00093DD0">
      <w:pPr>
        <w:rPr>
          <w:kern w:val="2"/>
          <w:lang w:eastAsia="zh-CN"/>
        </w:rPr>
      </w:pPr>
    </w:p>
    <w:p w:rsidR="002D1A78" w:rsidRPr="00E6052E" w:rsidRDefault="002D1A78" w:rsidP="0056120C">
      <w:pPr>
        <w:pStyle w:val="1"/>
        <w:numPr>
          <w:ilvl w:val="0"/>
          <w:numId w:val="0"/>
        </w:numPr>
        <w:tabs>
          <w:tab w:val="left" w:pos="1418"/>
        </w:tabs>
        <w:ind w:left="1418" w:hanging="1418"/>
      </w:pPr>
      <w:r w:rsidRPr="00E6052E">
        <w:rPr>
          <w:rFonts w:hint="eastAsia"/>
        </w:rPr>
        <w:lastRenderedPageBreak/>
        <w:t xml:space="preserve">Annex 1 </w:t>
      </w:r>
      <w:r w:rsidR="0056120C">
        <w:rPr>
          <w:rFonts w:hint="eastAsia"/>
          <w:lang w:eastAsia="zh-CN"/>
        </w:rPr>
        <w:tab/>
      </w:r>
      <w:r w:rsidRPr="00E6052E">
        <w:rPr>
          <w:rFonts w:hint="eastAsia"/>
        </w:rPr>
        <w:t>Evaluation method for mobility</w:t>
      </w:r>
    </w:p>
    <w:p w:rsidR="002D1A78" w:rsidRDefault="002D1A78" w:rsidP="002D1A78">
      <w:pPr>
        <w:rPr>
          <w:lang w:eastAsia="zh-CN"/>
        </w:rPr>
      </w:pPr>
      <w:r>
        <w:rPr>
          <w:rFonts w:hint="eastAsia"/>
          <w:lang w:eastAsia="zh-CN"/>
        </w:rPr>
        <w:t>As defined in Report ITU-R M.2412, the evaluation method of mobility is as follows.</w:t>
      </w:r>
    </w:p>
    <w:p w:rsidR="002D1A78" w:rsidRPr="0037445F" w:rsidRDefault="002D1A78" w:rsidP="002D1A78">
      <w:pPr>
        <w:pStyle w:val="enumlev1"/>
        <w:rPr>
          <w:sz w:val="22"/>
          <w:lang w:val="en-US"/>
        </w:rPr>
      </w:pPr>
      <w:r w:rsidRPr="0037445F">
        <w:rPr>
          <w:i/>
          <w:sz w:val="22"/>
          <w:lang w:val="en-US"/>
        </w:rPr>
        <w:t>Step 1:</w:t>
      </w:r>
      <w:r w:rsidRPr="0037445F">
        <w:rPr>
          <w:sz w:val="22"/>
          <w:lang w:val="en-US"/>
        </w:rPr>
        <w:t xml:space="preserve"> </w:t>
      </w:r>
      <w:r w:rsidRPr="0037445F">
        <w:rPr>
          <w:sz w:val="22"/>
          <w:lang w:val="en-US"/>
        </w:rPr>
        <w:tab/>
      </w:r>
      <w:r w:rsidRPr="0037445F">
        <w:rPr>
          <w:sz w:val="22"/>
          <w:lang w:val="en-US" w:eastAsia="ja-JP"/>
        </w:rPr>
        <w:t>Run</w:t>
      </w:r>
      <w:r w:rsidRPr="0037445F">
        <w:rPr>
          <w:sz w:val="22"/>
          <w:lang w:val="en-US"/>
        </w:rPr>
        <w:t xml:space="preserve"> uplink system-level simulations, identical to those for average spectral efficiency, and 5</w:t>
      </w:r>
      <w:r w:rsidRPr="0037445F">
        <w:rPr>
          <w:sz w:val="22"/>
          <w:vertAlign w:val="superscript"/>
          <w:lang w:val="en-US"/>
        </w:rPr>
        <w:t>th</w:t>
      </w:r>
      <w:r w:rsidRPr="0037445F">
        <w:rPr>
          <w:sz w:val="22"/>
          <w:lang w:val="en-US"/>
        </w:rPr>
        <w:t xml:space="preserve"> percentile user spectral efficiency except for speeds taken from Table 4 of Report ITU-R M.</w:t>
      </w:r>
      <w:r w:rsidRPr="0037445F">
        <w:rPr>
          <w:rFonts w:hint="eastAsia"/>
          <w:sz w:val="22"/>
          <w:lang w:val="en-US" w:eastAsia="zh-CN"/>
        </w:rPr>
        <w:t>2410</w:t>
      </w:r>
      <w:r w:rsidRPr="0037445F">
        <w:rPr>
          <w:sz w:val="22"/>
          <w:lang w:val="en-US"/>
        </w:rPr>
        <w:t>, using link</w:t>
      </w:r>
      <w:r w:rsidRPr="0037445F">
        <w:rPr>
          <w:rFonts w:eastAsia="MS Mincho"/>
          <w:sz w:val="22"/>
          <w:lang w:val="en-US" w:eastAsia="ja-JP"/>
        </w:rPr>
        <w:t>-</w:t>
      </w:r>
      <w:r w:rsidRPr="0037445F">
        <w:rPr>
          <w:sz w:val="22"/>
          <w:lang w:val="en-US"/>
        </w:rPr>
        <w:t xml:space="preserve">level simulations and a link-to-system interface appropriate for these speed values, for the set of selected test environment(s) associated with the candidate RITs/SRITs and collect overall statistics for uplink </w:t>
      </w:r>
      <w:r w:rsidRPr="0037445F">
        <w:rPr>
          <w:i/>
          <w:sz w:val="22"/>
          <w:lang w:val="en-US"/>
        </w:rPr>
        <w:t>SINR</w:t>
      </w:r>
      <w:r w:rsidRPr="0037445F">
        <w:rPr>
          <w:sz w:val="22"/>
          <w:lang w:val="en-US"/>
        </w:rPr>
        <w:t xml:space="preserve"> values, and construct CDF over these values for each test environment.</w:t>
      </w:r>
    </w:p>
    <w:p w:rsidR="002D1A78" w:rsidRPr="0037445F" w:rsidRDefault="002D1A78" w:rsidP="002D1A78">
      <w:pPr>
        <w:pStyle w:val="enumlev1"/>
        <w:rPr>
          <w:sz w:val="22"/>
          <w:lang w:val="en-US"/>
        </w:rPr>
      </w:pPr>
      <w:r w:rsidRPr="0037445F">
        <w:rPr>
          <w:i/>
          <w:sz w:val="22"/>
          <w:lang w:val="en-US"/>
        </w:rPr>
        <w:t>Step 2:</w:t>
      </w:r>
      <w:r w:rsidRPr="0037445F">
        <w:rPr>
          <w:sz w:val="22"/>
          <w:lang w:val="en-US"/>
        </w:rPr>
        <w:tab/>
        <w:t>Use the CDF for the test environment(s) to save the respective 50</w:t>
      </w:r>
      <w:r w:rsidRPr="0037445F">
        <w:rPr>
          <w:sz w:val="22"/>
          <w:vertAlign w:val="superscript"/>
          <w:lang w:val="en-US"/>
        </w:rPr>
        <w:t>th</w:t>
      </w:r>
      <w:r w:rsidRPr="0037445F">
        <w:rPr>
          <w:sz w:val="22"/>
          <w:lang w:val="en-US"/>
        </w:rPr>
        <w:t xml:space="preserve">-percentile </w:t>
      </w:r>
      <w:r w:rsidRPr="0037445F">
        <w:rPr>
          <w:i/>
          <w:sz w:val="22"/>
          <w:lang w:val="en-US"/>
        </w:rPr>
        <w:t>SINR</w:t>
      </w:r>
      <w:r w:rsidRPr="0037445F">
        <w:rPr>
          <w:sz w:val="22"/>
          <w:lang w:val="en-US"/>
        </w:rPr>
        <w:t xml:space="preserve"> value.</w:t>
      </w:r>
    </w:p>
    <w:p w:rsidR="002D1A78" w:rsidRPr="0037445F" w:rsidRDefault="002D1A78" w:rsidP="002D1A78">
      <w:pPr>
        <w:pStyle w:val="enumlev1"/>
        <w:rPr>
          <w:sz w:val="22"/>
          <w:lang w:val="en-US"/>
        </w:rPr>
      </w:pPr>
      <w:r w:rsidRPr="0037445F">
        <w:rPr>
          <w:i/>
          <w:sz w:val="22"/>
          <w:lang w:val="en-US"/>
        </w:rPr>
        <w:t>Step 3:</w:t>
      </w:r>
      <w:r w:rsidRPr="0037445F">
        <w:rPr>
          <w:sz w:val="22"/>
          <w:lang w:val="en-US"/>
        </w:rPr>
        <w:t xml:space="preserve"> </w:t>
      </w:r>
      <w:r w:rsidRPr="0037445F">
        <w:rPr>
          <w:sz w:val="22"/>
          <w:lang w:val="en-US"/>
        </w:rPr>
        <w:tab/>
        <w:t>Run new uplink link</w:t>
      </w:r>
      <w:r w:rsidRPr="0037445F">
        <w:rPr>
          <w:rFonts w:eastAsia="MS Mincho"/>
          <w:sz w:val="22"/>
          <w:lang w:val="en-US"/>
        </w:rPr>
        <w:t>-</w:t>
      </w:r>
      <w:r w:rsidRPr="0037445F">
        <w:rPr>
          <w:sz w:val="22"/>
          <w:lang w:val="en-US"/>
        </w:rPr>
        <w:t>level simulations for the selected test environment(s) for either NLOS or LOS channel conditions using the associated speeds in Table 4 of Report ITU</w:t>
      </w:r>
      <w:r w:rsidRPr="0037445F">
        <w:rPr>
          <w:sz w:val="22"/>
          <w:lang w:val="en-US"/>
        </w:rPr>
        <w:noBreakHyphen/>
        <w:t>R M.</w:t>
      </w:r>
      <w:r w:rsidRPr="0037445F">
        <w:rPr>
          <w:rFonts w:hint="eastAsia"/>
          <w:sz w:val="22"/>
          <w:lang w:val="en-US" w:eastAsia="zh-CN"/>
        </w:rPr>
        <w:t>2410</w:t>
      </w:r>
      <w:r w:rsidRPr="0037445F">
        <w:rPr>
          <w:sz w:val="22"/>
          <w:lang w:val="en-US"/>
        </w:rPr>
        <w:t xml:space="preserve">, as input parameters, to obtain link data rate and residual packet error ratio as a function of </w:t>
      </w:r>
      <w:r w:rsidRPr="0037445F">
        <w:rPr>
          <w:i/>
          <w:iCs/>
          <w:sz w:val="22"/>
          <w:lang w:val="en-US"/>
        </w:rPr>
        <w:t>SINR</w:t>
      </w:r>
      <w:r w:rsidRPr="0037445F">
        <w:rPr>
          <w:sz w:val="22"/>
          <w:lang w:val="en-US"/>
        </w:rPr>
        <w:t>. The link-level simulation shall use air interface configuration(s) supported by the proposal and take into account retransmission, channel estimation and phase noise impact.</w:t>
      </w:r>
    </w:p>
    <w:p w:rsidR="002D1A78" w:rsidRPr="0037445F" w:rsidRDefault="002D1A78" w:rsidP="002D1A78">
      <w:pPr>
        <w:pStyle w:val="enumlev1"/>
        <w:rPr>
          <w:sz w:val="22"/>
          <w:lang w:val="en-US"/>
        </w:rPr>
      </w:pPr>
      <w:r w:rsidRPr="0037445F">
        <w:rPr>
          <w:i/>
          <w:sz w:val="22"/>
          <w:lang w:val="en-US"/>
        </w:rPr>
        <w:t>Step 4:</w:t>
      </w:r>
      <w:r w:rsidRPr="0037445F">
        <w:rPr>
          <w:sz w:val="22"/>
          <w:lang w:val="en-US"/>
        </w:rPr>
        <w:t xml:space="preserve"> </w:t>
      </w:r>
      <w:r w:rsidRPr="0037445F">
        <w:rPr>
          <w:sz w:val="22"/>
          <w:lang w:val="en-US"/>
        </w:rPr>
        <w:tab/>
      </w:r>
      <w:r w:rsidRPr="0037445F">
        <w:rPr>
          <w:sz w:val="22"/>
          <w:lang w:val="en-US" w:eastAsia="ja-JP"/>
        </w:rPr>
        <w:t>Compare</w:t>
      </w:r>
      <w:r w:rsidRPr="0037445F">
        <w:rPr>
          <w:sz w:val="22"/>
          <w:lang w:val="en-US"/>
        </w:rPr>
        <w:t xml:space="preserve"> the uplink spectral efficiency values</w:t>
      </w:r>
      <w:r w:rsidRPr="0037445F">
        <w:rPr>
          <w:rFonts w:eastAsia="MS Mincho"/>
          <w:sz w:val="22"/>
          <w:lang w:val="en-US"/>
        </w:rPr>
        <w:t xml:space="preserve"> (link data rate normalized by channel bandwidth) obtained from</w:t>
      </w:r>
      <w:r w:rsidRPr="0037445F">
        <w:rPr>
          <w:rFonts w:eastAsia="MS Mincho"/>
          <w:i/>
          <w:sz w:val="22"/>
          <w:lang w:val="en-US"/>
        </w:rPr>
        <w:t xml:space="preserve"> Step 3</w:t>
      </w:r>
      <w:r w:rsidRPr="0037445F">
        <w:rPr>
          <w:sz w:val="22"/>
          <w:lang w:val="en-US"/>
        </w:rPr>
        <w:t xml:space="preserve"> using the associated </w:t>
      </w:r>
      <w:r w:rsidRPr="0037445F">
        <w:rPr>
          <w:i/>
          <w:iCs/>
          <w:sz w:val="22"/>
          <w:lang w:val="en-US"/>
        </w:rPr>
        <w:t>SINR</w:t>
      </w:r>
      <w:r w:rsidRPr="0037445F">
        <w:rPr>
          <w:sz w:val="22"/>
          <w:lang w:val="en-US"/>
        </w:rPr>
        <w:t xml:space="preserve"> value </w:t>
      </w:r>
      <w:r w:rsidRPr="0037445F">
        <w:rPr>
          <w:rFonts w:eastAsia="MS Mincho"/>
          <w:sz w:val="22"/>
          <w:lang w:val="en-US"/>
        </w:rPr>
        <w:t xml:space="preserve">obtained from </w:t>
      </w:r>
      <w:r w:rsidRPr="0037445F">
        <w:rPr>
          <w:rFonts w:eastAsia="MS Mincho"/>
          <w:i/>
          <w:sz w:val="22"/>
          <w:lang w:val="en-US"/>
        </w:rPr>
        <w:t>Step 2</w:t>
      </w:r>
      <w:r w:rsidRPr="0037445F">
        <w:rPr>
          <w:rFonts w:eastAsia="MS Mincho"/>
          <w:sz w:val="22"/>
          <w:lang w:val="en-US"/>
        </w:rPr>
        <w:t xml:space="preserve"> for </w:t>
      </w:r>
      <w:r w:rsidRPr="0037445F">
        <w:rPr>
          <w:rFonts w:eastAsia="Malgun Gothic"/>
          <w:sz w:val="22"/>
          <w:lang w:val="en-US"/>
        </w:rPr>
        <w:t>selected test environments</w:t>
      </w:r>
      <w:r w:rsidRPr="0037445F">
        <w:rPr>
          <w:rFonts w:eastAsia="MS Mincho"/>
          <w:sz w:val="22"/>
          <w:lang w:val="en-US"/>
        </w:rPr>
        <w:t xml:space="preserve">, </w:t>
      </w:r>
      <w:r w:rsidRPr="0037445F">
        <w:rPr>
          <w:sz w:val="22"/>
          <w:lang w:val="en-US"/>
        </w:rPr>
        <w:t>with the corresponding threshold values in the Table 4 of Report ITU-R M.</w:t>
      </w:r>
      <w:r w:rsidRPr="0037445F">
        <w:rPr>
          <w:rFonts w:hint="eastAsia"/>
          <w:sz w:val="22"/>
          <w:lang w:val="en-US" w:eastAsia="zh-CN"/>
        </w:rPr>
        <w:t>2410</w:t>
      </w:r>
      <w:r w:rsidRPr="0037445F">
        <w:rPr>
          <w:sz w:val="22"/>
          <w:lang w:val="en-US"/>
        </w:rPr>
        <w:t>.</w:t>
      </w:r>
    </w:p>
    <w:p w:rsidR="002D1A78" w:rsidRDefault="002D1A78" w:rsidP="00A727A0">
      <w:pPr>
        <w:ind w:left="1133" w:hangingChars="515" w:hanging="1133"/>
        <w:rPr>
          <w:lang w:eastAsia="zh-CN"/>
        </w:rPr>
      </w:pPr>
      <w:r w:rsidRPr="0037445F">
        <w:rPr>
          <w:i/>
        </w:rPr>
        <w:t xml:space="preserve">Step 5: </w:t>
      </w:r>
      <w:r w:rsidRPr="0037445F">
        <w:rPr>
          <w:i/>
        </w:rPr>
        <w:tab/>
      </w:r>
      <w:r w:rsidRPr="0037445F">
        <w:t xml:space="preserve">The proposal fulfils the mobility requirement if the spectral efficiency value is larger than </w:t>
      </w:r>
      <w:r w:rsidRPr="0037445F">
        <w:rPr>
          <w:lang w:eastAsia="ja-JP"/>
        </w:rPr>
        <w:t>or</w:t>
      </w:r>
      <w:r w:rsidRPr="0037445F">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F04CE0" w:rsidRPr="00F04CE0" w:rsidRDefault="00F04CE0" w:rsidP="00F04CE0">
      <w:pPr>
        <w:pStyle w:val="1"/>
        <w:numPr>
          <w:ilvl w:val="0"/>
          <w:numId w:val="0"/>
        </w:numPr>
        <w:tabs>
          <w:tab w:val="left" w:pos="1418"/>
        </w:tabs>
        <w:ind w:left="1418" w:hanging="1418"/>
      </w:pPr>
      <w:r w:rsidRPr="00F04CE0">
        <w:rPr>
          <w:rFonts w:hint="eastAsia"/>
        </w:rPr>
        <w:t>Annex 2</w:t>
      </w:r>
      <w:r>
        <w:rPr>
          <w:rFonts w:hint="eastAsia"/>
        </w:rPr>
        <w:t xml:space="preserve"> </w:t>
      </w:r>
      <w:r w:rsidR="005622BA">
        <w:rPr>
          <w:rFonts w:hint="eastAsia"/>
          <w:lang w:eastAsia="zh-CN"/>
        </w:rPr>
        <w:tab/>
      </w:r>
      <w:r>
        <w:rPr>
          <w:rFonts w:hint="eastAsia"/>
        </w:rPr>
        <w:t>Link level simulation parameters for mobility evaluation</w:t>
      </w:r>
    </w:p>
    <w:p w:rsidR="00F04CE0" w:rsidRDefault="00F04CE0" w:rsidP="00F04CE0">
      <w:pPr>
        <w:ind w:left="1133" w:hangingChars="515" w:hanging="1133"/>
        <w:rPr>
          <w:i/>
          <w:lang w:eastAsia="zh-CN"/>
        </w:rPr>
      </w:pPr>
      <w:r>
        <w:rPr>
          <w:rFonts w:hint="eastAsia"/>
          <w:lang w:eastAsia="zh-CN"/>
        </w:rPr>
        <w:t>The link level simulation parameters are defined in Table 8-3</w:t>
      </w:r>
    </w:p>
    <w:p w:rsidR="00F04CE0" w:rsidRPr="002A50C6" w:rsidRDefault="00F04CE0" w:rsidP="00000440">
      <w:pPr>
        <w:pStyle w:val="TableNo"/>
        <w:spacing w:before="240"/>
        <w:rPr>
          <w:lang w:val="en-US"/>
        </w:rPr>
      </w:pPr>
      <w:r w:rsidRPr="002A50C6">
        <w:rPr>
          <w:lang w:val="en-US"/>
        </w:rPr>
        <w:t>Table 8-3</w:t>
      </w:r>
    </w:p>
    <w:p w:rsidR="00F04CE0" w:rsidRPr="002A50C6" w:rsidRDefault="00F04CE0" w:rsidP="00F04CE0">
      <w:pPr>
        <w:pStyle w:val="Tabletitle"/>
        <w:rPr>
          <w:lang w:val="en-US"/>
        </w:rPr>
      </w:pPr>
      <w:r w:rsidRPr="002A50C6">
        <w:rPr>
          <w:lang w:val="en-US"/>
        </w:rPr>
        <w:t>Additional parameters for link</w:t>
      </w:r>
      <w:r w:rsidRPr="002A50C6">
        <w:rPr>
          <w:rFonts w:eastAsia="MS Mincho"/>
          <w:lang w:val="en-US"/>
        </w:rPr>
        <w:t>-</w:t>
      </w:r>
      <w:r w:rsidRPr="002A50C6">
        <w:rPr>
          <w:lang w:val="en-US"/>
        </w:rPr>
        <w:t>l</w:t>
      </w:r>
      <w:r>
        <w:rPr>
          <w:lang w:val="en-US"/>
        </w:rPr>
        <w:t xml:space="preserve">evel simulation </w:t>
      </w:r>
      <w:r>
        <w:rPr>
          <w:lang w:val="en-US"/>
        </w:rPr>
        <w:br/>
        <w:t>(for mobility</w:t>
      </w:r>
      <w:r>
        <w:rPr>
          <w:rFonts w:hint="eastAsia"/>
          <w:lang w:val="en-US" w:eastAsia="zh-CN"/>
        </w:rPr>
        <w:t xml:space="preserve"> </w:t>
      </w:r>
      <w:r w:rsidRPr="002A50C6">
        <w:rPr>
          <w:lang w:val="en-US"/>
        </w:rPr>
        <w:t>requirement</w:t>
      </w:r>
      <w:r w:rsidRPr="002A50C6">
        <w:rPr>
          <w:rFonts w:eastAsia="MS Mincho"/>
          <w:lang w:val="en-US"/>
        </w:rPr>
        <w:t>s</w:t>
      </w:r>
      <w:r w:rsidRPr="002A50C6">
        <w:rPr>
          <w:lang w:val="en-US"/>
        </w:rPr>
        <w:t>)</w:t>
      </w:r>
    </w:p>
    <w:tbl>
      <w:tblPr>
        <w:tblStyle w:val="ab"/>
        <w:tblW w:w="9567" w:type="dxa"/>
        <w:jc w:val="center"/>
        <w:tblLook w:val="04A0" w:firstRow="1" w:lastRow="0" w:firstColumn="1" w:lastColumn="0" w:noHBand="0" w:noVBand="1"/>
      </w:tblPr>
      <w:tblGrid>
        <w:gridCol w:w="2516"/>
        <w:gridCol w:w="2410"/>
        <w:gridCol w:w="2409"/>
        <w:gridCol w:w="2232"/>
      </w:tblGrid>
      <w:tr w:rsidR="00F04CE0" w:rsidRPr="002A50C6" w:rsidTr="00646FBE">
        <w:trPr>
          <w:jc w:val="center"/>
        </w:trPr>
        <w:tc>
          <w:tcPr>
            <w:tcW w:w="2516" w:type="dxa"/>
            <w:vAlign w:val="center"/>
          </w:tcPr>
          <w:p w:rsidR="00F04CE0" w:rsidRPr="002A50C6" w:rsidRDefault="00F04CE0" w:rsidP="00646FBE">
            <w:pPr>
              <w:pStyle w:val="Tablehead"/>
              <w:rPr>
                <w:lang w:val="en-US" w:eastAsia="zh-CN"/>
              </w:rPr>
            </w:pPr>
            <w:r w:rsidRPr="002A50C6">
              <w:rPr>
                <w:lang w:val="en-US" w:eastAsia="zh-CN"/>
              </w:rPr>
              <w:t>Parameters</w:t>
            </w:r>
          </w:p>
        </w:tc>
        <w:tc>
          <w:tcPr>
            <w:tcW w:w="2410" w:type="dxa"/>
            <w:vAlign w:val="center"/>
          </w:tcPr>
          <w:p w:rsidR="00F04CE0" w:rsidRPr="002A50C6" w:rsidRDefault="00F04CE0" w:rsidP="00646FBE">
            <w:pPr>
              <w:pStyle w:val="Tablehead"/>
              <w:rPr>
                <w:lang w:val="en-US" w:eastAsia="zh-CN"/>
              </w:rPr>
            </w:pPr>
            <w:r w:rsidRPr="002A50C6">
              <w:rPr>
                <w:rFonts w:ascii="Times New Roman" w:hAnsi="Times New Roman" w:cs="Times New Roman"/>
                <w:lang w:val="en-US" w:eastAsia="zh-CN"/>
              </w:rPr>
              <w:t>Indoor hotspot-eMBB</w:t>
            </w:r>
          </w:p>
        </w:tc>
        <w:tc>
          <w:tcPr>
            <w:tcW w:w="2409" w:type="dxa"/>
            <w:vAlign w:val="center"/>
          </w:tcPr>
          <w:p w:rsidR="00F04CE0" w:rsidRPr="002A50C6" w:rsidRDefault="00F04CE0" w:rsidP="00646FBE">
            <w:pPr>
              <w:pStyle w:val="Tablehead"/>
              <w:rPr>
                <w:lang w:val="en-US" w:eastAsia="zh-CN"/>
              </w:rPr>
            </w:pPr>
            <w:r w:rsidRPr="002A50C6">
              <w:rPr>
                <w:rFonts w:ascii="Times New Roman" w:hAnsi="Times New Roman" w:cs="Times New Roman"/>
                <w:lang w:val="en-US" w:eastAsia="zh-CN"/>
              </w:rPr>
              <w:t>Dense Urban-eMBB</w:t>
            </w:r>
          </w:p>
        </w:tc>
        <w:tc>
          <w:tcPr>
            <w:tcW w:w="2232" w:type="dxa"/>
            <w:vAlign w:val="center"/>
          </w:tcPr>
          <w:p w:rsidR="00F04CE0" w:rsidRPr="002A50C6" w:rsidRDefault="00F04CE0" w:rsidP="00646FBE">
            <w:pPr>
              <w:pStyle w:val="Tablehead"/>
              <w:rPr>
                <w:rFonts w:ascii="Times New Roman" w:hAnsi="Times New Roman" w:cs="Times New Roman"/>
                <w:lang w:val="en-US" w:eastAsia="zh-CN"/>
              </w:rPr>
            </w:pPr>
            <w:r w:rsidRPr="002A50C6">
              <w:rPr>
                <w:rFonts w:ascii="Times New Roman" w:hAnsi="Times New Roman" w:cs="Times New Roman"/>
                <w:lang w:val="en-US" w:eastAsia="zh-CN"/>
              </w:rPr>
              <w:t>Rural-eMBB</w:t>
            </w:r>
          </w:p>
        </w:tc>
      </w:tr>
      <w:tr w:rsidR="00F04CE0" w:rsidRPr="002A50C6" w:rsidTr="00646FBE">
        <w:trPr>
          <w:jc w:val="center"/>
        </w:trPr>
        <w:tc>
          <w:tcPr>
            <w:tcW w:w="2516" w:type="dxa"/>
          </w:tcPr>
          <w:p w:rsidR="00F04CE0" w:rsidRPr="002A50C6" w:rsidRDefault="00F04CE0" w:rsidP="00646FBE">
            <w:pPr>
              <w:pStyle w:val="Tabletext"/>
              <w:rPr>
                <w:lang w:val="en-US" w:eastAsia="zh-CN"/>
              </w:rPr>
            </w:pPr>
            <w:r w:rsidRPr="002A50C6">
              <w:rPr>
                <w:lang w:val="en-US"/>
              </w:rPr>
              <w:t>Evaluated service profiles</w:t>
            </w:r>
          </w:p>
        </w:tc>
        <w:tc>
          <w:tcPr>
            <w:tcW w:w="2410" w:type="dxa"/>
          </w:tcPr>
          <w:p w:rsidR="00F04CE0" w:rsidRPr="002A50C6" w:rsidRDefault="00F04CE0" w:rsidP="00646FBE">
            <w:pPr>
              <w:pStyle w:val="Tabletext"/>
              <w:jc w:val="center"/>
              <w:rPr>
                <w:lang w:val="en-US"/>
              </w:rPr>
            </w:pPr>
            <w:r w:rsidRPr="002A50C6">
              <w:rPr>
                <w:lang w:val="en-US"/>
              </w:rPr>
              <w:t>Full buffer best effort</w:t>
            </w:r>
          </w:p>
        </w:tc>
        <w:tc>
          <w:tcPr>
            <w:tcW w:w="2409" w:type="dxa"/>
          </w:tcPr>
          <w:p w:rsidR="00F04CE0" w:rsidRPr="002A50C6" w:rsidRDefault="00F04CE0" w:rsidP="00646FBE">
            <w:pPr>
              <w:pStyle w:val="Tabletext"/>
              <w:jc w:val="center"/>
              <w:rPr>
                <w:lang w:val="en-US"/>
              </w:rPr>
            </w:pPr>
            <w:r w:rsidRPr="002A50C6">
              <w:rPr>
                <w:lang w:val="en-US"/>
              </w:rPr>
              <w:t>Full buffer best effort</w:t>
            </w:r>
          </w:p>
        </w:tc>
        <w:tc>
          <w:tcPr>
            <w:tcW w:w="2232" w:type="dxa"/>
          </w:tcPr>
          <w:p w:rsidR="00F04CE0" w:rsidRPr="002A50C6" w:rsidRDefault="00F04CE0" w:rsidP="00646FBE">
            <w:pPr>
              <w:pStyle w:val="Tabletext"/>
              <w:jc w:val="center"/>
              <w:rPr>
                <w:lang w:val="en-US"/>
              </w:rPr>
            </w:pPr>
            <w:r w:rsidRPr="002A50C6">
              <w:rPr>
                <w:lang w:val="en-US"/>
              </w:rPr>
              <w:t>Full buffer best effort</w:t>
            </w:r>
          </w:p>
        </w:tc>
      </w:tr>
      <w:tr w:rsidR="00F04CE0" w:rsidRPr="002A50C6" w:rsidTr="00646FBE">
        <w:trPr>
          <w:jc w:val="center"/>
        </w:trPr>
        <w:tc>
          <w:tcPr>
            <w:tcW w:w="2516" w:type="dxa"/>
          </w:tcPr>
          <w:p w:rsidR="00F04CE0" w:rsidRPr="002A50C6" w:rsidRDefault="00F04CE0" w:rsidP="00646FBE">
            <w:pPr>
              <w:pStyle w:val="Tabletext"/>
              <w:rPr>
                <w:lang w:val="en-US"/>
              </w:rPr>
            </w:pPr>
            <w:r w:rsidRPr="002A50C6">
              <w:rPr>
                <w:lang w:val="en-US"/>
              </w:rPr>
              <w:t>Simulation bandwidth</w:t>
            </w:r>
          </w:p>
        </w:tc>
        <w:tc>
          <w:tcPr>
            <w:tcW w:w="2410" w:type="dxa"/>
          </w:tcPr>
          <w:p w:rsidR="00F04CE0" w:rsidRPr="002A50C6" w:rsidRDefault="00F04CE0" w:rsidP="00646FBE">
            <w:pPr>
              <w:pStyle w:val="Tabletext"/>
              <w:jc w:val="center"/>
              <w:rPr>
                <w:rFonts w:eastAsia="Arial Unicode MS"/>
                <w:lang w:val="en-US" w:eastAsia="ja-JP"/>
              </w:rPr>
            </w:pPr>
            <w:r w:rsidRPr="002A50C6">
              <w:rPr>
                <w:rFonts w:eastAsia="Arial Unicode MS"/>
                <w:lang w:val="en-US" w:eastAsia="zh-CN"/>
              </w:rPr>
              <w:t>10 MHz</w:t>
            </w:r>
          </w:p>
        </w:tc>
        <w:tc>
          <w:tcPr>
            <w:tcW w:w="2409" w:type="dxa"/>
          </w:tcPr>
          <w:p w:rsidR="00F04CE0" w:rsidRPr="002A50C6" w:rsidRDefault="00F04CE0" w:rsidP="00646FBE">
            <w:pPr>
              <w:pStyle w:val="Tabletext"/>
              <w:jc w:val="center"/>
              <w:rPr>
                <w:rFonts w:eastAsia="Arial Unicode MS"/>
                <w:lang w:val="en-US" w:eastAsia="ja-JP"/>
              </w:rPr>
            </w:pPr>
            <w:r w:rsidRPr="002A50C6">
              <w:rPr>
                <w:rFonts w:eastAsia="Arial Unicode MS"/>
                <w:lang w:val="en-US" w:eastAsia="zh-CN"/>
              </w:rPr>
              <w:t>10 MHz</w:t>
            </w:r>
          </w:p>
        </w:tc>
        <w:tc>
          <w:tcPr>
            <w:tcW w:w="2232" w:type="dxa"/>
          </w:tcPr>
          <w:p w:rsidR="00F04CE0" w:rsidRPr="002A50C6" w:rsidRDefault="00F04CE0" w:rsidP="00646FBE">
            <w:pPr>
              <w:pStyle w:val="Tabletext"/>
              <w:jc w:val="center"/>
              <w:rPr>
                <w:rFonts w:eastAsia="Arial Unicode MS"/>
                <w:lang w:val="en-US" w:eastAsia="ja-JP"/>
              </w:rPr>
            </w:pPr>
            <w:r w:rsidRPr="002A50C6">
              <w:rPr>
                <w:rFonts w:eastAsia="Arial Unicode MS"/>
                <w:lang w:val="en-US" w:eastAsia="zh-CN"/>
              </w:rPr>
              <w:t>10 MHz</w:t>
            </w:r>
          </w:p>
        </w:tc>
      </w:tr>
      <w:tr w:rsidR="00F04CE0" w:rsidRPr="002A50C6" w:rsidTr="00646FBE">
        <w:trPr>
          <w:jc w:val="center"/>
        </w:trPr>
        <w:tc>
          <w:tcPr>
            <w:tcW w:w="2516" w:type="dxa"/>
          </w:tcPr>
          <w:p w:rsidR="00F04CE0" w:rsidRPr="002A50C6" w:rsidRDefault="00F04CE0" w:rsidP="00646FBE">
            <w:pPr>
              <w:pStyle w:val="Tabletext"/>
              <w:rPr>
                <w:lang w:val="en-US"/>
              </w:rPr>
            </w:pPr>
            <w:r w:rsidRPr="002A50C6">
              <w:rPr>
                <w:lang w:val="en-US"/>
              </w:rPr>
              <w:t>Number of users in simulation</w:t>
            </w:r>
          </w:p>
        </w:tc>
        <w:tc>
          <w:tcPr>
            <w:tcW w:w="2410" w:type="dxa"/>
          </w:tcPr>
          <w:p w:rsidR="00F04CE0" w:rsidRPr="002A50C6" w:rsidRDefault="00F04CE0" w:rsidP="00646FBE">
            <w:pPr>
              <w:pStyle w:val="Tabletext"/>
              <w:jc w:val="center"/>
              <w:rPr>
                <w:kern w:val="24"/>
                <w:lang w:val="en-US" w:eastAsia="zh-CN"/>
              </w:rPr>
            </w:pPr>
            <w:r w:rsidRPr="002A50C6">
              <w:rPr>
                <w:kern w:val="24"/>
                <w:lang w:val="en-US" w:eastAsia="zh-CN"/>
              </w:rPr>
              <w:t>1</w:t>
            </w:r>
          </w:p>
        </w:tc>
        <w:tc>
          <w:tcPr>
            <w:tcW w:w="2409" w:type="dxa"/>
          </w:tcPr>
          <w:p w:rsidR="00F04CE0" w:rsidRPr="002A50C6" w:rsidRDefault="00F04CE0" w:rsidP="00646FBE">
            <w:pPr>
              <w:pStyle w:val="Tabletext"/>
              <w:jc w:val="center"/>
              <w:rPr>
                <w:kern w:val="24"/>
                <w:lang w:val="en-US" w:eastAsia="zh-CN"/>
              </w:rPr>
            </w:pPr>
            <w:r w:rsidRPr="002A50C6">
              <w:rPr>
                <w:kern w:val="24"/>
                <w:lang w:val="en-US" w:eastAsia="zh-CN"/>
              </w:rPr>
              <w:t>1</w:t>
            </w:r>
          </w:p>
        </w:tc>
        <w:tc>
          <w:tcPr>
            <w:tcW w:w="2232" w:type="dxa"/>
          </w:tcPr>
          <w:p w:rsidR="00F04CE0" w:rsidRPr="002A50C6" w:rsidRDefault="00F04CE0" w:rsidP="00646FBE">
            <w:pPr>
              <w:pStyle w:val="Tabletext"/>
              <w:jc w:val="center"/>
              <w:rPr>
                <w:kern w:val="24"/>
                <w:lang w:val="en-US" w:eastAsia="zh-CN"/>
              </w:rPr>
            </w:pPr>
            <w:r w:rsidRPr="002A50C6">
              <w:rPr>
                <w:kern w:val="24"/>
                <w:lang w:val="en-US" w:eastAsia="zh-CN"/>
              </w:rPr>
              <w:t>1</w:t>
            </w:r>
          </w:p>
        </w:tc>
      </w:tr>
    </w:tbl>
    <w:p w:rsidR="00F04CE0" w:rsidRDefault="00F04CE0" w:rsidP="00F04CE0">
      <w:pPr>
        <w:tabs>
          <w:tab w:val="left" w:pos="1703"/>
        </w:tabs>
        <w:rPr>
          <w:lang w:eastAsia="zh-CN"/>
        </w:rPr>
      </w:pPr>
      <w:r>
        <w:rPr>
          <w:lang w:eastAsia="zh-CN"/>
        </w:rPr>
        <w:tab/>
      </w:r>
    </w:p>
    <w:p w:rsidR="00F04CE0" w:rsidRDefault="00F04CE0" w:rsidP="00F04CE0">
      <w:pPr>
        <w:rPr>
          <w:lang w:eastAsia="zh-CN"/>
        </w:rPr>
      </w:pPr>
      <w:r>
        <w:rPr>
          <w:rFonts w:hint="eastAsia"/>
          <w:lang w:eastAsia="zh-CN"/>
        </w:rPr>
        <w:t>The channel model parameters for link level simulation part can be found in Table 8-5.</w:t>
      </w:r>
    </w:p>
    <w:p w:rsidR="00F04CE0" w:rsidRPr="002A50C6" w:rsidRDefault="00F04CE0" w:rsidP="00000440">
      <w:pPr>
        <w:pStyle w:val="TableNo"/>
        <w:spacing w:before="240"/>
        <w:rPr>
          <w:rFonts w:eastAsia="MS Mincho"/>
          <w:lang w:val="en-US" w:eastAsia="ja-JP"/>
        </w:rPr>
      </w:pPr>
      <w:r w:rsidRPr="002A50C6">
        <w:rPr>
          <w:lang w:val="en-US"/>
        </w:rPr>
        <w:t>Table 8-</w:t>
      </w:r>
      <w:r w:rsidRPr="002A50C6">
        <w:rPr>
          <w:rFonts w:eastAsia="MS Mincho"/>
          <w:lang w:val="en-US" w:eastAsia="ja-JP"/>
        </w:rPr>
        <w:t>5</w:t>
      </w:r>
    </w:p>
    <w:p w:rsidR="00F04CE0" w:rsidRPr="002A50C6" w:rsidRDefault="00F04CE0" w:rsidP="00F04CE0">
      <w:pPr>
        <w:pStyle w:val="Tabletitle"/>
        <w:rPr>
          <w:lang w:val="en-US"/>
        </w:rPr>
      </w:pPr>
      <w:r w:rsidRPr="002A50C6">
        <w:rPr>
          <w:lang w:val="en-US"/>
        </w:rPr>
        <w:t>Additional channel model parameters for link</w:t>
      </w:r>
      <w:r w:rsidRPr="002A50C6">
        <w:rPr>
          <w:rFonts w:eastAsia="MS Mincho"/>
          <w:lang w:val="en-US" w:eastAsia="ja-JP"/>
        </w:rPr>
        <w:t>-</w:t>
      </w:r>
      <w:r w:rsidRPr="002A50C6">
        <w:rPr>
          <w:lang w:val="en-US"/>
        </w:rPr>
        <w:t xml:space="preserve">level simulation </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34"/>
        <w:gridCol w:w="2377"/>
        <w:gridCol w:w="2323"/>
        <w:gridCol w:w="2238"/>
      </w:tblGrid>
      <w:tr w:rsidR="00F04CE0" w:rsidRPr="00F05324" w:rsidTr="00646FBE">
        <w:trPr>
          <w:cantSplit/>
          <w:tblHeader/>
          <w:jc w:val="center"/>
        </w:trPr>
        <w:tc>
          <w:tcPr>
            <w:tcW w:w="2334" w:type="dxa"/>
            <w:tcMar>
              <w:top w:w="0" w:type="dxa"/>
              <w:left w:w="108" w:type="dxa"/>
              <w:bottom w:w="0" w:type="dxa"/>
              <w:right w:w="108" w:type="dxa"/>
            </w:tcMar>
            <w:hideMark/>
          </w:tcPr>
          <w:p w:rsidR="00F04CE0" w:rsidRPr="00F05324" w:rsidRDefault="00F04CE0" w:rsidP="00646FBE">
            <w:pPr>
              <w:pStyle w:val="Tablehead"/>
              <w:rPr>
                <w:rFonts w:ascii="宋体" w:hAnsi="宋体"/>
                <w:sz w:val="18"/>
                <w:szCs w:val="18"/>
                <w:lang w:val="en-US"/>
              </w:rPr>
            </w:pPr>
            <w:r w:rsidRPr="00F05324">
              <w:rPr>
                <w:sz w:val="18"/>
                <w:szCs w:val="18"/>
                <w:lang w:val="en-US"/>
              </w:rPr>
              <w:t>Parameters</w:t>
            </w:r>
          </w:p>
        </w:tc>
        <w:tc>
          <w:tcPr>
            <w:tcW w:w="2377" w:type="dxa"/>
            <w:tcMar>
              <w:top w:w="0" w:type="dxa"/>
              <w:left w:w="108" w:type="dxa"/>
              <w:bottom w:w="0" w:type="dxa"/>
              <w:right w:w="108" w:type="dxa"/>
            </w:tcMar>
            <w:hideMark/>
          </w:tcPr>
          <w:p w:rsidR="00F04CE0" w:rsidRPr="002E7509" w:rsidRDefault="00F04CE0" w:rsidP="00646FBE">
            <w:pPr>
              <w:pStyle w:val="Tablehead"/>
              <w:rPr>
                <w:sz w:val="18"/>
                <w:szCs w:val="18"/>
                <w:lang w:val="en-US" w:eastAsia="zh-CN"/>
              </w:rPr>
            </w:pPr>
            <w:r w:rsidRPr="00F05324">
              <w:rPr>
                <w:rFonts w:ascii="CG Times" w:hAnsi="CG Times"/>
                <w:sz w:val="18"/>
                <w:szCs w:val="18"/>
                <w:lang w:val="en-US"/>
              </w:rPr>
              <w:t xml:space="preserve">Indoor </w:t>
            </w:r>
            <w:r w:rsidRPr="00F05324">
              <w:rPr>
                <w:rFonts w:ascii="CG Times" w:eastAsia="MS Mincho" w:hAnsi="CG Times"/>
                <w:sz w:val="18"/>
                <w:szCs w:val="18"/>
                <w:lang w:val="en-US" w:eastAsia="ja-JP"/>
              </w:rPr>
              <w:t>H</w:t>
            </w:r>
            <w:r w:rsidRPr="00F05324">
              <w:rPr>
                <w:rFonts w:ascii="CG Times" w:hAnsi="CG Times"/>
                <w:sz w:val="18"/>
                <w:szCs w:val="18"/>
                <w:lang w:val="en-US"/>
              </w:rPr>
              <w:t>otspot-eMBB</w:t>
            </w:r>
          </w:p>
        </w:tc>
        <w:tc>
          <w:tcPr>
            <w:tcW w:w="2323" w:type="dxa"/>
            <w:tcMar>
              <w:top w:w="0" w:type="dxa"/>
              <w:left w:w="108" w:type="dxa"/>
              <w:bottom w:w="0" w:type="dxa"/>
              <w:right w:w="108" w:type="dxa"/>
            </w:tcMar>
            <w:hideMark/>
          </w:tcPr>
          <w:p w:rsidR="00F04CE0" w:rsidRPr="002E7509" w:rsidRDefault="00F04CE0" w:rsidP="00646FBE">
            <w:pPr>
              <w:pStyle w:val="Tablehead"/>
              <w:rPr>
                <w:sz w:val="18"/>
                <w:szCs w:val="18"/>
                <w:lang w:val="en-US" w:eastAsia="zh-CN"/>
              </w:rPr>
            </w:pPr>
            <w:r w:rsidRPr="00F05324">
              <w:rPr>
                <w:rFonts w:ascii="CG Times" w:hAnsi="CG Times"/>
                <w:sz w:val="18"/>
                <w:szCs w:val="18"/>
                <w:lang w:val="en-US"/>
              </w:rPr>
              <w:t>Dense Urban-eMBB</w:t>
            </w:r>
          </w:p>
        </w:tc>
        <w:tc>
          <w:tcPr>
            <w:tcW w:w="2238" w:type="dxa"/>
            <w:tcMar>
              <w:top w:w="0" w:type="dxa"/>
              <w:left w:w="108" w:type="dxa"/>
              <w:bottom w:w="0" w:type="dxa"/>
              <w:right w:w="108" w:type="dxa"/>
            </w:tcMar>
            <w:hideMark/>
          </w:tcPr>
          <w:p w:rsidR="00F04CE0" w:rsidRPr="002E7509" w:rsidRDefault="00F04CE0" w:rsidP="00646FBE">
            <w:pPr>
              <w:pStyle w:val="Tablehead"/>
              <w:rPr>
                <w:sz w:val="18"/>
                <w:szCs w:val="18"/>
                <w:lang w:val="en-US" w:eastAsia="zh-CN"/>
              </w:rPr>
            </w:pPr>
            <w:r w:rsidRPr="00F05324">
              <w:rPr>
                <w:rFonts w:ascii="CG Times" w:hAnsi="CG Times"/>
                <w:sz w:val="18"/>
                <w:szCs w:val="18"/>
                <w:lang w:val="en-US"/>
              </w:rPr>
              <w:t>Rural-eMBB</w:t>
            </w:r>
          </w:p>
        </w:tc>
      </w:tr>
      <w:tr w:rsidR="00F04CE0" w:rsidRPr="00F05324" w:rsidTr="00646FBE">
        <w:trPr>
          <w:cantSplit/>
          <w:jc w:val="center"/>
        </w:trPr>
        <w:tc>
          <w:tcPr>
            <w:tcW w:w="2334" w:type="dxa"/>
            <w:tcMar>
              <w:top w:w="0" w:type="dxa"/>
              <w:left w:w="108" w:type="dxa"/>
              <w:bottom w:w="0" w:type="dxa"/>
              <w:right w:w="108" w:type="dxa"/>
            </w:tcMar>
            <w:hideMark/>
          </w:tcPr>
          <w:p w:rsidR="00F04CE0" w:rsidRPr="00F05324" w:rsidRDefault="00F04CE0" w:rsidP="00646FBE">
            <w:pPr>
              <w:pStyle w:val="Tabletext"/>
              <w:rPr>
                <w:sz w:val="18"/>
                <w:szCs w:val="18"/>
                <w:lang w:val="en-US"/>
              </w:rPr>
            </w:pPr>
            <w:r w:rsidRPr="00F05324">
              <w:rPr>
                <w:sz w:val="18"/>
                <w:szCs w:val="18"/>
                <w:lang w:val="en-US"/>
              </w:rPr>
              <w:t>Link</w:t>
            </w:r>
            <w:r w:rsidRPr="00F05324">
              <w:rPr>
                <w:rFonts w:eastAsia="MS Mincho"/>
                <w:sz w:val="18"/>
                <w:szCs w:val="18"/>
                <w:lang w:val="en-US" w:eastAsia="ja-JP"/>
              </w:rPr>
              <w:t>-</w:t>
            </w:r>
            <w:r w:rsidRPr="00F05324">
              <w:rPr>
                <w:sz w:val="18"/>
                <w:szCs w:val="18"/>
                <w:lang w:val="en-US"/>
              </w:rPr>
              <w:t>level Channel model</w:t>
            </w:r>
          </w:p>
        </w:tc>
        <w:tc>
          <w:tcPr>
            <w:tcW w:w="2377"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NLOS: CDL/TDL-i</w:t>
            </w:r>
          </w:p>
          <w:p w:rsidR="00F04CE0" w:rsidRPr="00F05324" w:rsidRDefault="00F04CE0" w:rsidP="00646FBE">
            <w:pPr>
              <w:pStyle w:val="Tabletext"/>
              <w:jc w:val="center"/>
              <w:rPr>
                <w:rFonts w:ascii="宋体" w:hAnsi="宋体"/>
                <w:sz w:val="18"/>
                <w:szCs w:val="18"/>
                <w:lang w:val="en-US"/>
              </w:rPr>
            </w:pPr>
            <w:r w:rsidRPr="00F05324">
              <w:rPr>
                <w:sz w:val="18"/>
                <w:szCs w:val="18"/>
                <w:lang w:val="en-US"/>
              </w:rPr>
              <w:t>LOS: CDL/TDL-iv</w:t>
            </w:r>
          </w:p>
        </w:tc>
        <w:tc>
          <w:tcPr>
            <w:tcW w:w="2323"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NLOS: CDL/TDL-iii</w:t>
            </w:r>
          </w:p>
          <w:p w:rsidR="00F04CE0" w:rsidRPr="00F05324" w:rsidRDefault="00F04CE0" w:rsidP="00646FBE">
            <w:pPr>
              <w:pStyle w:val="Tabletext"/>
              <w:jc w:val="center"/>
              <w:rPr>
                <w:rFonts w:ascii="宋体" w:hAnsi="宋体"/>
                <w:sz w:val="18"/>
                <w:szCs w:val="18"/>
                <w:lang w:val="en-US"/>
              </w:rPr>
            </w:pPr>
            <w:r w:rsidRPr="00F05324">
              <w:rPr>
                <w:sz w:val="18"/>
                <w:szCs w:val="18"/>
                <w:lang w:val="en-US"/>
              </w:rPr>
              <w:t>LOS: CDL/TDL-v</w:t>
            </w:r>
          </w:p>
        </w:tc>
        <w:tc>
          <w:tcPr>
            <w:tcW w:w="2238"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NLOS: CDL/TDL-iii</w:t>
            </w:r>
          </w:p>
          <w:p w:rsidR="00F04CE0" w:rsidRPr="00F05324" w:rsidRDefault="00F04CE0" w:rsidP="00646FBE">
            <w:pPr>
              <w:pStyle w:val="Tabletext"/>
              <w:jc w:val="center"/>
              <w:rPr>
                <w:rFonts w:ascii="宋体" w:hAnsi="宋体"/>
                <w:sz w:val="18"/>
                <w:szCs w:val="18"/>
                <w:lang w:val="en-US"/>
              </w:rPr>
            </w:pPr>
            <w:r w:rsidRPr="00F05324">
              <w:rPr>
                <w:sz w:val="18"/>
                <w:szCs w:val="18"/>
                <w:lang w:val="en-US"/>
              </w:rPr>
              <w:t>LOS: CDL/TDL-v</w:t>
            </w:r>
          </w:p>
        </w:tc>
      </w:tr>
      <w:tr w:rsidR="00F04CE0" w:rsidRPr="00F05324" w:rsidTr="00646FBE">
        <w:trPr>
          <w:cantSplit/>
          <w:jc w:val="center"/>
        </w:trPr>
        <w:tc>
          <w:tcPr>
            <w:tcW w:w="2334" w:type="dxa"/>
            <w:tcMar>
              <w:top w:w="0" w:type="dxa"/>
              <w:left w:w="108" w:type="dxa"/>
              <w:bottom w:w="0" w:type="dxa"/>
              <w:right w:w="108" w:type="dxa"/>
            </w:tcMar>
            <w:hideMark/>
          </w:tcPr>
          <w:p w:rsidR="00F04CE0" w:rsidRPr="00F05324" w:rsidRDefault="00F04CE0" w:rsidP="00646FBE">
            <w:pPr>
              <w:pStyle w:val="Tabletext"/>
              <w:rPr>
                <w:sz w:val="18"/>
                <w:szCs w:val="18"/>
                <w:lang w:val="en-US"/>
              </w:rPr>
            </w:pPr>
            <w:r w:rsidRPr="00F05324">
              <w:rPr>
                <w:sz w:val="18"/>
                <w:szCs w:val="18"/>
                <w:lang w:val="en-US"/>
              </w:rPr>
              <w:t>Delay spread scaling parameter</w:t>
            </w:r>
            <w:r w:rsidRPr="00F05324">
              <w:rPr>
                <w:noProof/>
                <w:sz w:val="18"/>
                <w:szCs w:val="18"/>
                <w:lang w:val="en-US" w:eastAsia="zh-CN"/>
              </w:rPr>
              <w:drawing>
                <wp:inline distT="0" distB="0" distL="0" distR="0">
                  <wp:extent cx="304800" cy="152400"/>
                  <wp:effectExtent l="0" t="0" r="0"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F05324">
              <w:rPr>
                <w:sz w:val="18"/>
                <w:szCs w:val="18"/>
                <w:lang w:val="en-US"/>
              </w:rPr>
              <w:t xml:space="preserve"> (s)</w:t>
            </w:r>
          </w:p>
        </w:tc>
        <w:tc>
          <w:tcPr>
            <w:tcW w:w="2377"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04800" cy="152400"/>
                  <wp:effectExtent l="0" t="0" r="0" b="0"/>
                  <wp:docPr id="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lgDS</w:t>
            </w:r>
            <w:r w:rsidRPr="00F05324">
              <w:rPr>
                <w:sz w:val="18"/>
                <w:szCs w:val="18"/>
                <w:lang w:val="en-US"/>
              </w:rPr>
              <w:t xml:space="preserve"> in </w:t>
            </w:r>
            <w:r w:rsidRPr="00F05324">
              <w:rPr>
                <w:sz w:val="18"/>
                <w:szCs w:val="18"/>
                <w:lang w:val="en-US"/>
              </w:rPr>
              <w:br/>
              <w:t>Table A4-7 (InH) in Annex 1</w:t>
            </w:r>
          </w:p>
        </w:tc>
        <w:tc>
          <w:tcPr>
            <w:tcW w:w="2323"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04800" cy="152400"/>
                  <wp:effectExtent l="0" t="0" r="0" b="0"/>
                  <wp:docPr id="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lgDS</w:t>
            </w:r>
            <w:r w:rsidRPr="00F05324">
              <w:rPr>
                <w:sz w:val="18"/>
                <w:szCs w:val="18"/>
                <w:lang w:val="en-US"/>
              </w:rPr>
              <w:t xml:space="preserve"> in </w:t>
            </w:r>
            <w:r w:rsidRPr="00F05324">
              <w:rPr>
                <w:sz w:val="18"/>
                <w:szCs w:val="18"/>
                <w:lang w:val="en-US"/>
              </w:rPr>
              <w:br/>
              <w:t>Table A4-9 (UMa) in Annex 1</w:t>
            </w:r>
          </w:p>
        </w:tc>
        <w:tc>
          <w:tcPr>
            <w:tcW w:w="2238"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04800" cy="152400"/>
                  <wp:effectExtent l="0" t="0" r="0" b="0"/>
                  <wp:docPr id="1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lgDS</w:t>
            </w:r>
            <w:r w:rsidRPr="00F05324">
              <w:rPr>
                <w:sz w:val="18"/>
                <w:szCs w:val="18"/>
                <w:lang w:val="en-US"/>
              </w:rPr>
              <w:t xml:space="preserve"> in </w:t>
            </w:r>
            <w:r w:rsidRPr="00F05324">
              <w:rPr>
                <w:sz w:val="18"/>
                <w:szCs w:val="18"/>
                <w:lang w:val="en-US"/>
              </w:rPr>
              <w:br/>
              <w:t>Table A4-13 (RMa) in Annex 1</w:t>
            </w:r>
          </w:p>
        </w:tc>
      </w:tr>
      <w:tr w:rsidR="00F04CE0" w:rsidRPr="00F05324" w:rsidTr="00646FBE">
        <w:trPr>
          <w:cantSplit/>
          <w:jc w:val="center"/>
        </w:trPr>
        <w:tc>
          <w:tcPr>
            <w:tcW w:w="2334" w:type="dxa"/>
            <w:tcMar>
              <w:top w:w="0" w:type="dxa"/>
              <w:left w:w="108" w:type="dxa"/>
              <w:bottom w:w="0" w:type="dxa"/>
              <w:right w:w="108" w:type="dxa"/>
            </w:tcMar>
            <w:hideMark/>
          </w:tcPr>
          <w:p w:rsidR="00F04CE0" w:rsidRPr="00F05324" w:rsidRDefault="00F04CE0" w:rsidP="00646FBE">
            <w:pPr>
              <w:pStyle w:val="Tabletext"/>
              <w:rPr>
                <w:sz w:val="18"/>
                <w:szCs w:val="18"/>
                <w:lang w:val="en-US"/>
              </w:rPr>
            </w:pPr>
            <w:r w:rsidRPr="00F05324">
              <w:rPr>
                <w:sz w:val="18"/>
                <w:szCs w:val="18"/>
                <w:lang w:val="en-US"/>
              </w:rPr>
              <w:lastRenderedPageBreak/>
              <w:t xml:space="preserve">AoA, AoD, ZoA angular spreads scaling parameter </w:t>
            </w:r>
            <w:r w:rsidRPr="00F05324">
              <w:rPr>
                <w:noProof/>
                <w:sz w:val="18"/>
                <w:szCs w:val="18"/>
                <w:lang w:val="en-US" w:eastAsia="zh-CN"/>
              </w:rPr>
              <w:drawing>
                <wp:inline distT="0" distB="0" distL="0" distR="0">
                  <wp:extent cx="333375" cy="171450"/>
                  <wp:effectExtent l="0" t="0" r="9525" b="0"/>
                  <wp:docPr id="1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sz w:val="18"/>
                <w:szCs w:val="18"/>
                <w:lang w:val="en-US"/>
              </w:rPr>
              <w:br/>
              <w:t>(degree)</w:t>
            </w:r>
          </w:p>
        </w:tc>
        <w:tc>
          <w:tcPr>
            <w:tcW w:w="2377"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33375" cy="171450"/>
                  <wp:effectExtent l="0" t="0" r="9525" b="0"/>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lgASA</w:t>
            </w:r>
            <w:r w:rsidRPr="00F05324">
              <w:rPr>
                <w:sz w:val="18"/>
                <w:szCs w:val="18"/>
                <w:lang w:val="en-US"/>
              </w:rPr>
              <w:t xml:space="preserve">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lgASD</w:t>
            </w:r>
            <w:r w:rsidRPr="00F05324">
              <w:rPr>
                <w:sz w:val="18"/>
                <w:szCs w:val="18"/>
                <w:lang w:val="en-US"/>
              </w:rPr>
              <w:t xml:space="preserve">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lgZSA</w:t>
            </w:r>
            <w:r w:rsidRPr="00F05324">
              <w:rPr>
                <w:sz w:val="18"/>
                <w:szCs w:val="18"/>
                <w:lang w:val="en-US"/>
              </w:rPr>
              <w:t xml:space="preserve"> in Table A4-7 (InH) in Annex 1</w:t>
            </w:r>
          </w:p>
        </w:tc>
        <w:tc>
          <w:tcPr>
            <w:tcW w:w="2323"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33375" cy="171450"/>
                  <wp:effectExtent l="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lgASA</w:t>
            </w:r>
            <w:r w:rsidRPr="00F05324">
              <w:rPr>
                <w:sz w:val="18"/>
                <w:szCs w:val="18"/>
                <w:lang w:val="en-US"/>
              </w:rPr>
              <w:t xml:space="preserve">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lgASD</w:t>
            </w:r>
            <w:r w:rsidRPr="00F05324">
              <w:rPr>
                <w:sz w:val="18"/>
                <w:szCs w:val="18"/>
                <w:lang w:val="en-US"/>
              </w:rPr>
              <w:t xml:space="preserve">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lgZSA</w:t>
            </w:r>
            <w:r w:rsidRPr="00F05324">
              <w:rPr>
                <w:sz w:val="18"/>
                <w:szCs w:val="18"/>
                <w:lang w:val="en-US"/>
              </w:rPr>
              <w:t xml:space="preserve"> in Table A4-9 (UMa) in Annex 1</w:t>
            </w:r>
          </w:p>
        </w:tc>
        <w:tc>
          <w:tcPr>
            <w:tcW w:w="2238"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33375" cy="171450"/>
                  <wp:effectExtent l="0" t="0" r="9525" b="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lgASA</w:t>
            </w:r>
            <w:r w:rsidRPr="00F05324">
              <w:rPr>
                <w:sz w:val="18"/>
                <w:szCs w:val="18"/>
                <w:lang w:val="en-US"/>
              </w:rPr>
              <w:t xml:space="preserve">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lgASD</w:t>
            </w:r>
            <w:r w:rsidRPr="00F05324">
              <w:rPr>
                <w:sz w:val="18"/>
                <w:szCs w:val="18"/>
                <w:lang w:val="en-US"/>
              </w:rPr>
              <w:t xml:space="preserve">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lgZSA</w:t>
            </w:r>
            <w:r w:rsidRPr="00F05324">
              <w:rPr>
                <w:sz w:val="18"/>
                <w:szCs w:val="18"/>
                <w:lang w:val="en-US"/>
              </w:rPr>
              <w:t xml:space="preserve"> in Table A4</w:t>
            </w:r>
            <w:r w:rsidRPr="00F05324">
              <w:rPr>
                <w:sz w:val="18"/>
                <w:szCs w:val="18"/>
                <w:lang w:val="en-US"/>
              </w:rPr>
              <w:noBreakHyphen/>
              <w:t>13 (RMa) in Annex 1</w:t>
            </w:r>
          </w:p>
        </w:tc>
      </w:tr>
      <w:tr w:rsidR="00F04CE0" w:rsidRPr="00F05324" w:rsidTr="00646FBE">
        <w:trPr>
          <w:cantSplit/>
          <w:jc w:val="center"/>
        </w:trPr>
        <w:tc>
          <w:tcPr>
            <w:tcW w:w="2334" w:type="dxa"/>
            <w:tcMar>
              <w:top w:w="0" w:type="dxa"/>
              <w:left w:w="108" w:type="dxa"/>
              <w:bottom w:w="0" w:type="dxa"/>
              <w:right w:w="108" w:type="dxa"/>
            </w:tcMar>
            <w:hideMark/>
          </w:tcPr>
          <w:p w:rsidR="00F04CE0" w:rsidRPr="00F05324" w:rsidRDefault="00F04CE0" w:rsidP="00646FBE">
            <w:pPr>
              <w:pStyle w:val="Tabletext"/>
              <w:rPr>
                <w:sz w:val="18"/>
                <w:szCs w:val="18"/>
                <w:lang w:val="en-US"/>
              </w:rPr>
            </w:pPr>
            <w:r w:rsidRPr="00F05324">
              <w:rPr>
                <w:sz w:val="18"/>
                <w:szCs w:val="18"/>
                <w:lang w:val="en-US"/>
              </w:rPr>
              <w:t xml:space="preserve">ZoD angular spreads scaling parameter </w:t>
            </w:r>
            <w:r w:rsidRPr="00F05324">
              <w:rPr>
                <w:noProof/>
                <w:sz w:val="18"/>
                <w:szCs w:val="18"/>
                <w:lang w:val="en-US" w:eastAsia="zh-CN"/>
              </w:rPr>
              <w:drawing>
                <wp:inline distT="0" distB="0" distL="0" distR="0">
                  <wp:extent cx="333375" cy="171450"/>
                  <wp:effectExtent l="0" t="0" r="9525"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sz w:val="18"/>
                <w:szCs w:val="18"/>
                <w:lang w:val="en-US"/>
              </w:rPr>
              <w:br/>
              <w:t>(degree)</w:t>
            </w:r>
          </w:p>
        </w:tc>
        <w:tc>
          <w:tcPr>
            <w:tcW w:w="2377"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33375" cy="171450"/>
                  <wp:effectExtent l="0" t="0" r="9525" b="0"/>
                  <wp:docPr id="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lgZSD</w:t>
            </w:r>
            <w:r w:rsidRPr="00F05324">
              <w:rPr>
                <w:sz w:val="18"/>
                <w:szCs w:val="18"/>
                <w:lang w:val="en-US"/>
              </w:rPr>
              <w:t xml:space="preserve"> in Table A4</w:t>
            </w:r>
            <w:r w:rsidRPr="00F05324">
              <w:rPr>
                <w:sz w:val="18"/>
                <w:szCs w:val="18"/>
                <w:lang w:val="en-US"/>
              </w:rPr>
              <w:noBreakHyphen/>
              <w:t>8 (InH) in Annex 1</w:t>
            </w:r>
          </w:p>
        </w:tc>
        <w:tc>
          <w:tcPr>
            <w:tcW w:w="2323"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33375" cy="171450"/>
                  <wp:effectExtent l="0" t="0" r="9525" b="0"/>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lgZSD</w:t>
            </w:r>
            <w:r w:rsidRPr="00F05324">
              <w:rPr>
                <w:sz w:val="18"/>
                <w:szCs w:val="18"/>
                <w:lang w:val="en-US"/>
              </w:rPr>
              <w:t xml:space="preserve"> in Table A4</w:t>
            </w:r>
            <w:r w:rsidRPr="00F05324">
              <w:rPr>
                <w:sz w:val="18"/>
                <w:szCs w:val="18"/>
                <w:lang w:val="en-US"/>
              </w:rPr>
              <w:noBreakHyphen/>
              <w:t>10 (UMa) in Annex 1</w:t>
            </w:r>
          </w:p>
        </w:tc>
        <w:tc>
          <w:tcPr>
            <w:tcW w:w="2238" w:type="dxa"/>
            <w:tcMar>
              <w:top w:w="0" w:type="dxa"/>
              <w:left w:w="108" w:type="dxa"/>
              <w:bottom w:w="0" w:type="dxa"/>
              <w:right w:w="108" w:type="dxa"/>
            </w:tcMar>
            <w:vAlign w:val="center"/>
            <w:hideMark/>
          </w:tcPr>
          <w:p w:rsidR="00F04CE0" w:rsidRPr="00F05324" w:rsidRDefault="00F04CE0" w:rsidP="00646FBE">
            <w:pPr>
              <w:pStyle w:val="Tabletext"/>
              <w:jc w:val="center"/>
              <w:rPr>
                <w:sz w:val="18"/>
                <w:szCs w:val="18"/>
                <w:lang w:val="en-US"/>
              </w:rPr>
            </w:pPr>
            <w:r w:rsidRPr="00F05324">
              <w:rPr>
                <w:sz w:val="18"/>
                <w:szCs w:val="18"/>
                <w:lang w:val="en-US"/>
              </w:rPr>
              <w:t>Log10(</w:t>
            </w:r>
            <w:r w:rsidRPr="00F05324">
              <w:rPr>
                <w:noProof/>
                <w:sz w:val="18"/>
                <w:szCs w:val="18"/>
                <w:lang w:val="en-US" w:eastAsia="zh-CN"/>
              </w:rPr>
              <w:drawing>
                <wp:inline distT="0" distB="0" distL="0" distR="0">
                  <wp:extent cx="333375" cy="171450"/>
                  <wp:effectExtent l="0" t="0" r="9525" b="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F05324">
              <w:rPr>
                <w:sz w:val="18"/>
                <w:szCs w:val="18"/>
                <w:lang w:val="en-US"/>
              </w:rPr>
              <w:t>) =</w:t>
            </w:r>
            <w:r w:rsidRPr="00F05324">
              <w:rPr>
                <w:rFonts w:ascii="Symbol" w:eastAsia="宋体" w:hAnsi="Symbol" w:cstheme="majorBidi"/>
                <w:i/>
                <w:sz w:val="18"/>
                <w:szCs w:val="18"/>
                <w:lang w:val="en-US"/>
              </w:rPr>
              <w:t></w:t>
            </w:r>
            <w:r w:rsidRPr="00F05324">
              <w:rPr>
                <w:rFonts w:asciiTheme="majorBidi" w:eastAsia="宋体" w:hAnsiTheme="majorBidi" w:cstheme="majorBidi"/>
                <w:sz w:val="18"/>
                <w:szCs w:val="18"/>
                <w:vertAlign w:val="subscript"/>
                <w:lang w:val="en-US"/>
              </w:rPr>
              <w:t>lgZSD</w:t>
            </w:r>
            <w:r w:rsidRPr="00F05324">
              <w:rPr>
                <w:sz w:val="18"/>
                <w:szCs w:val="18"/>
                <w:lang w:val="en-US"/>
              </w:rPr>
              <w:t xml:space="preserve"> in Table A4</w:t>
            </w:r>
            <w:r w:rsidRPr="00F05324">
              <w:rPr>
                <w:sz w:val="18"/>
                <w:szCs w:val="18"/>
                <w:lang w:val="en-US"/>
              </w:rPr>
              <w:noBreakHyphen/>
              <w:t>14 (RMa) in Annex 1</w:t>
            </w:r>
          </w:p>
        </w:tc>
      </w:tr>
    </w:tbl>
    <w:p w:rsidR="00F04CE0" w:rsidRPr="00D33CAA" w:rsidRDefault="00F04CE0" w:rsidP="00F04CE0">
      <w:pPr>
        <w:pStyle w:val="Note"/>
        <w:rPr>
          <w:sz w:val="18"/>
          <w:lang w:val="en-US"/>
        </w:rPr>
      </w:pPr>
      <w:r w:rsidRPr="00D33CAA">
        <w:rPr>
          <w:sz w:val="18"/>
          <w:lang w:val="en-US"/>
        </w:rPr>
        <w:t xml:space="preserve">NOTE 1: The use of TDL or CDL is up to the proponent/evaluator. </w:t>
      </w:r>
    </w:p>
    <w:p w:rsidR="00F04CE0" w:rsidRPr="00D33CAA" w:rsidRDefault="00F04CE0" w:rsidP="00F04CE0">
      <w:pPr>
        <w:pStyle w:val="Note"/>
        <w:rPr>
          <w:sz w:val="18"/>
          <w:lang w:val="en-US" w:eastAsia="zh-CN"/>
        </w:rPr>
      </w:pPr>
      <w:r w:rsidRPr="00D33CAA">
        <w:rPr>
          <w:sz w:val="18"/>
          <w:lang w:val="en-US"/>
        </w:rPr>
        <w:t>NOTE 2: Delay spreads and angular spreads (for AoA, AoD, ZoA, and ZoD) in link</w:t>
      </w:r>
      <w:r w:rsidRPr="00D33CAA">
        <w:rPr>
          <w:rFonts w:eastAsia="MS Mincho"/>
          <w:sz w:val="18"/>
          <w:lang w:val="en-US"/>
        </w:rPr>
        <w:t>-</w:t>
      </w:r>
      <w:r w:rsidRPr="00D33CAA">
        <w:rPr>
          <w:sz w:val="18"/>
          <w:lang w:val="en-US"/>
        </w:rPr>
        <w:t>level channel model are scaled to the median values for the environment and channel type (LOS/NLOS) evaluated, and system</w:t>
      </w:r>
      <w:r w:rsidRPr="00D33CAA">
        <w:rPr>
          <w:rFonts w:eastAsia="MS Mincho"/>
          <w:sz w:val="18"/>
          <w:lang w:val="en-US"/>
        </w:rPr>
        <w:t>-</w:t>
      </w:r>
      <w:r w:rsidRPr="00D33CAA">
        <w:rPr>
          <w:sz w:val="18"/>
          <w:lang w:val="en-US"/>
        </w:rPr>
        <w:t xml:space="preserve">level channel model </w:t>
      </w:r>
      <w:r w:rsidRPr="00D33CAA">
        <w:rPr>
          <w:rFonts w:eastAsia="MS Mincho"/>
          <w:sz w:val="18"/>
          <w:lang w:val="en-US"/>
        </w:rPr>
        <w:t xml:space="preserve">variant </w:t>
      </w:r>
      <w:r w:rsidRPr="00D33CAA">
        <w:rPr>
          <w:sz w:val="18"/>
          <w:lang w:val="en-US"/>
        </w:rPr>
        <w:t xml:space="preserve">(model A or model B) selected. </w:t>
      </w:r>
    </w:p>
    <w:p w:rsidR="00F04CE0" w:rsidRPr="00FB20AE" w:rsidRDefault="00FB20AE" w:rsidP="00FB20AE">
      <w:pPr>
        <w:pStyle w:val="1"/>
        <w:numPr>
          <w:ilvl w:val="0"/>
          <w:numId w:val="0"/>
        </w:numPr>
        <w:tabs>
          <w:tab w:val="left" w:pos="1418"/>
        </w:tabs>
        <w:ind w:left="1418" w:hanging="1418"/>
      </w:pPr>
      <w:r w:rsidRPr="00FB20AE">
        <w:rPr>
          <w:rFonts w:hint="eastAsia"/>
        </w:rPr>
        <w:t>Annex 3</w:t>
      </w:r>
      <w:r w:rsidR="00121742">
        <w:rPr>
          <w:rFonts w:hint="eastAsia"/>
        </w:rPr>
        <w:t xml:space="preserve"> </w:t>
      </w:r>
      <w:r w:rsidR="00121742">
        <w:rPr>
          <w:rFonts w:hint="eastAsia"/>
          <w:lang w:eastAsia="zh-CN"/>
        </w:rPr>
        <w:tab/>
      </w:r>
      <w:r w:rsidR="00121742">
        <w:rPr>
          <w:rFonts w:hint="eastAsia"/>
        </w:rPr>
        <w:t>Simulation assumption for mobility</w:t>
      </w:r>
    </w:p>
    <w:p w:rsidR="00ED26A4" w:rsidRPr="00C8424B" w:rsidRDefault="00ED26A4" w:rsidP="00ED26A4">
      <w:pPr>
        <w:jc w:val="center"/>
        <w:rPr>
          <w:lang w:eastAsia="zh-CN"/>
        </w:rPr>
      </w:pPr>
      <w:r>
        <w:rPr>
          <w:lang w:val="en-GB" w:eastAsia="zh-CN"/>
        </w:rPr>
        <w:t>Table A1. Simulation assumption</w:t>
      </w:r>
      <w:r>
        <w:rPr>
          <w:rFonts w:hint="eastAsia"/>
          <w:lang w:val="en-GB" w:eastAsia="zh-CN"/>
        </w:rPr>
        <w:t>s</w:t>
      </w:r>
    </w:p>
    <w:tbl>
      <w:tblPr>
        <w:tblStyle w:val="ab"/>
        <w:tblW w:w="0" w:type="auto"/>
        <w:tblLook w:val="04A0" w:firstRow="1" w:lastRow="0" w:firstColumn="1" w:lastColumn="0" w:noHBand="0" w:noVBand="1"/>
      </w:tblPr>
      <w:tblGrid>
        <w:gridCol w:w="3035"/>
        <w:gridCol w:w="6272"/>
      </w:tblGrid>
      <w:tr w:rsidR="00ED26A4" w:rsidRPr="00ED26A4" w:rsidTr="002A4485">
        <w:tc>
          <w:tcPr>
            <w:tcW w:w="0" w:type="auto"/>
            <w:shd w:val="clear" w:color="auto" w:fill="A6A6A6" w:themeFill="background1" w:themeFillShade="A6"/>
            <w:vAlign w:val="center"/>
          </w:tcPr>
          <w:p w:rsidR="00ED26A4" w:rsidRPr="003D6736" w:rsidRDefault="00ED26A4" w:rsidP="002A4485">
            <w:pPr>
              <w:spacing w:after="0"/>
              <w:jc w:val="center"/>
              <w:rPr>
                <w:color w:val="000000" w:themeColor="text1"/>
                <w:kern w:val="2"/>
                <w:sz w:val="16"/>
                <w:lang w:eastAsia="zh-CN"/>
              </w:rPr>
            </w:pPr>
            <w:r w:rsidRPr="003D6736">
              <w:rPr>
                <w:rFonts w:ascii="Arial" w:hAnsi="Arial" w:cs="Arial"/>
                <w:bCs/>
                <w:color w:val="000000" w:themeColor="text1"/>
                <w:sz w:val="16"/>
                <w:szCs w:val="18"/>
                <w:lang w:eastAsia="zh-CN"/>
              </w:rPr>
              <w:t>Rural - eMBB</w:t>
            </w:r>
          </w:p>
        </w:tc>
        <w:tc>
          <w:tcPr>
            <w:tcW w:w="0" w:type="auto"/>
            <w:shd w:val="clear" w:color="auto" w:fill="A6A6A6" w:themeFill="background1" w:themeFillShade="A6"/>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Config. A</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Carrier frequency for evaluation</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700 MHz</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BS antenna height</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35 m</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Total transmit power per TRxP</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46 dBm for 10 MHz bandwidth</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power class</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23 dBm</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Percentage of high loss and low loss building type</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100% low loss (applies to Channel model B)</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Inter-site distance</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1732 m</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Number of antenna elements per TRxP</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64 Tx/Rx, (M,N,P,Mg,Ng) = (8,4,2,1,1), (dH,dV) = (0.5, 0.8)λ</w:t>
            </w:r>
          </w:p>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+45°, -45° polarization</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Number of TXRU per TRxP</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8TXRU, (Mp,Np,P,Mg,Ng) = (1,4,2,1,1)</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Number of UE antenna elements</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2Tx/Rx, (M,N,P,Mg,Ng) = (1,1,2,1,1)</w:t>
            </w:r>
          </w:p>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0°,90° polarization</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Number of TXRU per UE</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2TXRU (1-to-1 mapping)</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Device deployment</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50% indoor, 50% outdoor (in car)</w:t>
            </w:r>
          </w:p>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Randomly and uniformly distributed over the area</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mobility model</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Fixed and identical speed |v| of all UEs of the same mobility class, randomly and uniformly distributed direction</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speeds of interest</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Indoor users: 3 km/h;</w:t>
            </w:r>
          </w:p>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Outdoor users (in-car): 120 km/h;</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Inter-site interference modeling</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Explicitly modelled</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BS noise figure</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5 dB</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noise figure</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7 dB</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BS antenna element gain</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8 dBi</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BS antenna element pattern</w:t>
            </w:r>
          </w:p>
        </w:tc>
        <w:tc>
          <w:tcPr>
            <w:tcW w:w="0" w:type="auto"/>
            <w:vAlign w:val="center"/>
          </w:tcPr>
          <w:p w:rsidR="00ED26A4" w:rsidRPr="00ED26A4" w:rsidRDefault="00F7024F" w:rsidP="002A4485">
            <w:pPr>
              <w:spacing w:after="0"/>
              <w:jc w:val="center"/>
              <w:rPr>
                <w:kern w:val="2"/>
                <w:sz w:val="16"/>
                <w:lang w:eastAsia="zh-CN"/>
              </w:rPr>
            </w:pPr>
            <w:r>
              <w:rPr>
                <w:rFonts w:ascii="Arial" w:hAnsi="Arial" w:cs="Arial" w:hint="eastAsia"/>
                <w:sz w:val="16"/>
                <w:szCs w:val="18"/>
                <w:lang w:eastAsia="zh-CN"/>
              </w:rPr>
              <w:t>Follow Report ITU-R M.2412</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antenna element gain</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0 dBi</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antenna element pattern</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Omni-directional</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Thermal noise level</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-174 dBm/Hz</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Traffic model</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Full buffer</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Simulation bandwidth</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10 MHz</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density</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10 UEs per TRxP</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UE antenna height</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1.5 m</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Channel model variant</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Alt. 1: Channel model A</w:t>
            </w:r>
          </w:p>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Alt. 2: Channel model B</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TRxP number per site</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3</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Mechanic tilt</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90° in GCS (pointing to horizontal direction)</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Electronic tilt</w:t>
            </w:r>
          </w:p>
        </w:tc>
        <w:tc>
          <w:tcPr>
            <w:tcW w:w="0" w:type="auto"/>
            <w:vAlign w:val="center"/>
          </w:tcPr>
          <w:p w:rsidR="00ED26A4" w:rsidRPr="00ED26A4" w:rsidRDefault="00ED26A4" w:rsidP="00DA39AF">
            <w:pPr>
              <w:spacing w:after="0"/>
              <w:jc w:val="center"/>
              <w:rPr>
                <w:kern w:val="2"/>
                <w:sz w:val="16"/>
                <w:lang w:eastAsia="zh-CN"/>
              </w:rPr>
            </w:pPr>
            <w:r w:rsidRPr="00ED26A4">
              <w:rPr>
                <w:rFonts w:ascii="Arial" w:hAnsi="Arial" w:cs="Arial"/>
                <w:sz w:val="16"/>
                <w:szCs w:val="18"/>
                <w:lang w:eastAsia="zh-CN"/>
              </w:rPr>
              <w:t>100° in LCS</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Handover margin (dB)</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0 (i.e., the strongest cell is selected)</w:t>
            </w:r>
          </w:p>
        </w:tc>
      </w:tr>
      <w:tr w:rsidR="00ED26A4" w:rsidRPr="00ED26A4" w:rsidTr="002A4485">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TRxP boresight</w:t>
            </w:r>
          </w:p>
        </w:tc>
        <w:tc>
          <w:tcPr>
            <w:tcW w:w="0" w:type="auto"/>
            <w:vAlign w:val="center"/>
          </w:tcPr>
          <w:p w:rsidR="00ED26A4" w:rsidRPr="00ED26A4" w:rsidRDefault="00ED26A4" w:rsidP="002A4485">
            <w:pPr>
              <w:spacing w:after="0"/>
              <w:jc w:val="center"/>
              <w:rPr>
                <w:kern w:val="2"/>
                <w:sz w:val="16"/>
                <w:lang w:eastAsia="zh-CN"/>
              </w:rPr>
            </w:pPr>
            <w:r w:rsidRPr="00ED26A4">
              <w:rPr>
                <w:rFonts w:ascii="Arial" w:hAnsi="Arial" w:cs="Arial"/>
                <w:sz w:val="16"/>
                <w:szCs w:val="18"/>
                <w:lang w:eastAsia="zh-CN"/>
              </w:rPr>
              <w:t>30 / 150 / 270 degrees</w:t>
            </w:r>
          </w:p>
        </w:tc>
      </w:tr>
      <w:tr w:rsidR="00ED26A4" w:rsidRPr="00ED26A4" w:rsidTr="002A4485">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UT attachment</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Based on RSRP (formula (8.1-1) in TR36.873) from port 0</w:t>
            </w:r>
          </w:p>
        </w:tc>
      </w:tr>
      <w:tr w:rsidR="00ED26A4" w:rsidRPr="00ED26A4" w:rsidTr="002A4485">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Wrapping around method</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Geographical distance based wrapping</w:t>
            </w:r>
          </w:p>
        </w:tc>
      </w:tr>
      <w:tr w:rsidR="00ED26A4" w:rsidRPr="00ED26A4" w:rsidTr="002A4485">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Minimum distance of TRxP and UE</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d</w:t>
            </w:r>
            <w:r w:rsidRPr="00ED26A4">
              <w:rPr>
                <w:rFonts w:ascii="Arial" w:hAnsi="Arial" w:cs="Arial"/>
                <w:sz w:val="16"/>
                <w:szCs w:val="18"/>
                <w:vertAlign w:val="subscript"/>
                <w:lang w:eastAsia="zh-CN"/>
              </w:rPr>
              <w:t>2D_min</w:t>
            </w:r>
            <w:r w:rsidRPr="00ED26A4">
              <w:rPr>
                <w:rFonts w:ascii="Arial" w:hAnsi="Arial" w:cs="Arial"/>
                <w:sz w:val="16"/>
                <w:szCs w:val="18"/>
                <w:lang w:eastAsia="zh-CN"/>
              </w:rPr>
              <w:t>=10m</w:t>
            </w:r>
          </w:p>
        </w:tc>
      </w:tr>
      <w:tr w:rsidR="00ED26A4" w:rsidRPr="00ED26A4" w:rsidTr="002A4485">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Polarized antenna model</w:t>
            </w:r>
          </w:p>
        </w:tc>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Model-2 in TR36.873</w:t>
            </w:r>
          </w:p>
        </w:tc>
      </w:tr>
      <w:tr w:rsidR="00ED26A4" w:rsidRPr="00ED26A4" w:rsidTr="002A4485">
        <w:tc>
          <w:tcPr>
            <w:tcW w:w="0" w:type="auto"/>
            <w:vAlign w:val="center"/>
          </w:tcPr>
          <w:p w:rsidR="00ED26A4" w:rsidRPr="00ED26A4" w:rsidRDefault="00ED26A4" w:rsidP="002A4485">
            <w:pPr>
              <w:spacing w:after="0"/>
              <w:jc w:val="center"/>
              <w:rPr>
                <w:rFonts w:ascii="Arial" w:hAnsi="Arial" w:cs="Arial"/>
                <w:sz w:val="16"/>
                <w:szCs w:val="18"/>
                <w:lang w:eastAsia="zh-CN"/>
              </w:rPr>
            </w:pPr>
            <w:r w:rsidRPr="00ED26A4">
              <w:rPr>
                <w:rFonts w:ascii="Arial" w:hAnsi="Arial" w:cs="Arial"/>
                <w:sz w:val="16"/>
                <w:szCs w:val="18"/>
                <w:lang w:eastAsia="zh-CN"/>
              </w:rPr>
              <w:t>Power control parameters</w:t>
            </w:r>
          </w:p>
        </w:tc>
        <w:tc>
          <w:tcPr>
            <w:tcW w:w="0" w:type="auto"/>
            <w:vAlign w:val="center"/>
          </w:tcPr>
          <w:p w:rsidR="00ED26A4" w:rsidRPr="00ED26A4" w:rsidRDefault="00E50E87" w:rsidP="00F439BC">
            <w:pPr>
              <w:spacing w:after="0"/>
              <w:jc w:val="center"/>
              <w:rPr>
                <w:rFonts w:ascii="Arial" w:hAnsi="Arial" w:cs="Arial"/>
                <w:sz w:val="16"/>
                <w:szCs w:val="18"/>
                <w:lang w:eastAsia="zh-CN"/>
              </w:rPr>
            </w:pPr>
            <w:r w:rsidRPr="00E50E87">
              <w:rPr>
                <w:rFonts w:ascii="Symbol" w:hAnsi="Symbol" w:cs="Arial"/>
                <w:i/>
                <w:sz w:val="16"/>
                <w:szCs w:val="18"/>
                <w:lang w:eastAsia="zh-CN"/>
              </w:rPr>
              <w:t></w:t>
            </w:r>
            <w:r w:rsidR="00867496">
              <w:rPr>
                <w:rFonts w:ascii="Symbol" w:hAnsi="Symbol" w:cs="Arial"/>
                <w:i/>
                <w:sz w:val="16"/>
                <w:szCs w:val="18"/>
                <w:lang w:eastAsia="zh-CN"/>
              </w:rPr>
              <w:t></w:t>
            </w:r>
            <w:r w:rsidR="00F439BC">
              <w:rPr>
                <w:rFonts w:ascii="Arial" w:hAnsi="Arial" w:cs="Arial" w:hint="eastAsia"/>
                <w:sz w:val="16"/>
                <w:szCs w:val="18"/>
                <w:lang w:eastAsia="zh-CN"/>
              </w:rPr>
              <w:t>=</w:t>
            </w:r>
            <w:r w:rsidR="00867496">
              <w:rPr>
                <w:rFonts w:ascii="Arial" w:hAnsi="Arial" w:cs="Arial" w:hint="eastAsia"/>
                <w:sz w:val="16"/>
                <w:szCs w:val="18"/>
                <w:lang w:eastAsia="zh-CN"/>
              </w:rPr>
              <w:t xml:space="preserve"> </w:t>
            </w:r>
            <w:r w:rsidR="00ED26A4" w:rsidRPr="00ED26A4">
              <w:rPr>
                <w:rFonts w:ascii="Arial" w:hAnsi="Arial" w:cs="Arial" w:hint="eastAsia"/>
                <w:sz w:val="16"/>
                <w:szCs w:val="18"/>
                <w:lang w:eastAsia="zh-CN"/>
              </w:rPr>
              <w:t>1.0,</w:t>
            </w:r>
            <w:r w:rsidR="00F439BC" w:rsidRPr="00ED26A4">
              <w:rPr>
                <w:rFonts w:ascii="Arial" w:hAnsi="Arial" w:cs="Arial" w:hint="eastAsia"/>
                <w:sz w:val="16"/>
                <w:szCs w:val="18"/>
                <w:lang w:eastAsia="zh-CN"/>
              </w:rPr>
              <w:t xml:space="preserve"> </w:t>
            </w:r>
            <w:r w:rsidR="00F439BC">
              <w:rPr>
                <w:rFonts w:ascii="Arial" w:hAnsi="Arial" w:cs="Arial" w:hint="eastAsia"/>
                <w:sz w:val="16"/>
                <w:szCs w:val="18"/>
                <w:lang w:eastAsia="zh-CN"/>
              </w:rPr>
              <w:t xml:space="preserve"> P</w:t>
            </w:r>
            <w:r w:rsidR="00F439BC" w:rsidRPr="00E50E87">
              <w:rPr>
                <w:rFonts w:ascii="Arial" w:hAnsi="Arial" w:cs="Arial" w:hint="eastAsia"/>
                <w:sz w:val="16"/>
                <w:szCs w:val="18"/>
                <w:vertAlign w:val="subscript"/>
                <w:lang w:eastAsia="zh-CN"/>
              </w:rPr>
              <w:t>0</w:t>
            </w:r>
            <w:r w:rsidR="00F439BC">
              <w:rPr>
                <w:rFonts w:ascii="Arial" w:hAnsi="Arial" w:cs="Arial" w:hint="eastAsia"/>
                <w:sz w:val="16"/>
                <w:szCs w:val="18"/>
                <w:lang w:eastAsia="zh-CN"/>
              </w:rPr>
              <w:t xml:space="preserve"> = </w:t>
            </w:r>
            <w:r w:rsidR="00ED26A4" w:rsidRPr="00ED26A4">
              <w:rPr>
                <w:rFonts w:ascii="Arial" w:hAnsi="Arial" w:cs="Arial" w:hint="eastAsia"/>
                <w:sz w:val="16"/>
                <w:szCs w:val="18"/>
                <w:lang w:eastAsia="zh-CN"/>
              </w:rPr>
              <w:t>-86 dBm</w:t>
            </w:r>
          </w:p>
        </w:tc>
      </w:tr>
    </w:tbl>
    <w:p w:rsidR="00FB20AE" w:rsidRPr="00FB20AE" w:rsidRDefault="00FB20AE" w:rsidP="00F04CE0">
      <w:pPr>
        <w:ind w:left="1442" w:hangingChars="515" w:hanging="1442"/>
        <w:rPr>
          <w:kern w:val="2"/>
          <w:sz w:val="28"/>
          <w:lang w:eastAsia="zh-CN"/>
        </w:rPr>
      </w:pPr>
    </w:p>
    <w:sectPr w:rsidR="00FB20AE" w:rsidRPr="00FB20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566" w:rsidRDefault="00590566">
      <w:r>
        <w:separator/>
      </w:r>
    </w:p>
  </w:endnote>
  <w:endnote w:type="continuationSeparator" w:id="0">
    <w:p w:rsidR="00590566" w:rsidRDefault="0059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566" w:rsidRDefault="00590566">
      <w:r>
        <w:separator/>
      </w:r>
    </w:p>
  </w:footnote>
  <w:footnote w:type="continuationSeparator" w:id="0">
    <w:p w:rsidR="00590566" w:rsidRDefault="00590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0"/>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305"/>
    <w:rsid w:val="00024F72"/>
    <w:rsid w:val="00026D4B"/>
    <w:rsid w:val="000275C6"/>
    <w:rsid w:val="00027AD6"/>
    <w:rsid w:val="0003024C"/>
    <w:rsid w:val="00031ADB"/>
    <w:rsid w:val="00031C9D"/>
    <w:rsid w:val="00032056"/>
    <w:rsid w:val="000328CA"/>
    <w:rsid w:val="00032E40"/>
    <w:rsid w:val="000331E6"/>
    <w:rsid w:val="0003376B"/>
    <w:rsid w:val="00034676"/>
    <w:rsid w:val="000346E6"/>
    <w:rsid w:val="000352B3"/>
    <w:rsid w:val="0004023E"/>
    <w:rsid w:val="0004024B"/>
    <w:rsid w:val="00041C57"/>
    <w:rsid w:val="000434B7"/>
    <w:rsid w:val="000435E4"/>
    <w:rsid w:val="000442EB"/>
    <w:rsid w:val="00046796"/>
    <w:rsid w:val="000467FD"/>
    <w:rsid w:val="00046AAF"/>
    <w:rsid w:val="00047225"/>
    <w:rsid w:val="00047E60"/>
    <w:rsid w:val="00052AD2"/>
    <w:rsid w:val="000530DF"/>
    <w:rsid w:val="00054E0C"/>
    <w:rsid w:val="0005541D"/>
    <w:rsid w:val="000565C8"/>
    <w:rsid w:val="00057DC8"/>
    <w:rsid w:val="00060C4E"/>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79F"/>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23"/>
    <w:rsid w:val="000A4A19"/>
    <w:rsid w:val="000A6351"/>
    <w:rsid w:val="000A63D6"/>
    <w:rsid w:val="000A7B38"/>
    <w:rsid w:val="000B0343"/>
    <w:rsid w:val="000B1B13"/>
    <w:rsid w:val="000B2985"/>
    <w:rsid w:val="000B2C88"/>
    <w:rsid w:val="000B3342"/>
    <w:rsid w:val="000B51FA"/>
    <w:rsid w:val="000B5905"/>
    <w:rsid w:val="000B5975"/>
    <w:rsid w:val="000B6E2C"/>
    <w:rsid w:val="000B76C5"/>
    <w:rsid w:val="000B7A10"/>
    <w:rsid w:val="000C115D"/>
    <w:rsid w:val="000C1535"/>
    <w:rsid w:val="000C252B"/>
    <w:rsid w:val="000C28F2"/>
    <w:rsid w:val="000C2FBD"/>
    <w:rsid w:val="000C3B0C"/>
    <w:rsid w:val="000C422D"/>
    <w:rsid w:val="000C5F91"/>
    <w:rsid w:val="000C6025"/>
    <w:rsid w:val="000D0565"/>
    <w:rsid w:val="000D0B35"/>
    <w:rsid w:val="000D0E4E"/>
    <w:rsid w:val="000D113C"/>
    <w:rsid w:val="000D12D1"/>
    <w:rsid w:val="000D159A"/>
    <w:rsid w:val="000D1796"/>
    <w:rsid w:val="000D17CC"/>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517F"/>
    <w:rsid w:val="000F7F58"/>
    <w:rsid w:val="00100128"/>
    <w:rsid w:val="00100FF3"/>
    <w:rsid w:val="001026CA"/>
    <w:rsid w:val="00102E8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742"/>
    <w:rsid w:val="001226F9"/>
    <w:rsid w:val="00124D84"/>
    <w:rsid w:val="001250DD"/>
    <w:rsid w:val="00125733"/>
    <w:rsid w:val="001263AA"/>
    <w:rsid w:val="00130779"/>
    <w:rsid w:val="001307A1"/>
    <w:rsid w:val="001321D3"/>
    <w:rsid w:val="00133599"/>
    <w:rsid w:val="00133BF7"/>
    <w:rsid w:val="0013490E"/>
    <w:rsid w:val="00134B88"/>
    <w:rsid w:val="00135EC4"/>
    <w:rsid w:val="00136A23"/>
    <w:rsid w:val="00136B99"/>
    <w:rsid w:val="0014063E"/>
    <w:rsid w:val="0014087D"/>
    <w:rsid w:val="00140F74"/>
    <w:rsid w:val="00141191"/>
    <w:rsid w:val="0014159C"/>
    <w:rsid w:val="00141AD4"/>
    <w:rsid w:val="00142665"/>
    <w:rsid w:val="0014384A"/>
    <w:rsid w:val="0014450F"/>
    <w:rsid w:val="00144D8F"/>
    <w:rsid w:val="001450D9"/>
    <w:rsid w:val="00145C74"/>
    <w:rsid w:val="001462E9"/>
    <w:rsid w:val="00146E32"/>
    <w:rsid w:val="00151619"/>
    <w:rsid w:val="00152835"/>
    <w:rsid w:val="00154B79"/>
    <w:rsid w:val="001559FA"/>
    <w:rsid w:val="00156374"/>
    <w:rsid w:val="001577D8"/>
    <w:rsid w:val="00157FC3"/>
    <w:rsid w:val="00160739"/>
    <w:rsid w:val="0016271E"/>
    <w:rsid w:val="00162D7A"/>
    <w:rsid w:val="00163D3C"/>
    <w:rsid w:val="00164DAB"/>
    <w:rsid w:val="00165BBB"/>
    <w:rsid w:val="0016613F"/>
    <w:rsid w:val="00166215"/>
    <w:rsid w:val="00166591"/>
    <w:rsid w:val="00171143"/>
    <w:rsid w:val="00171AD6"/>
    <w:rsid w:val="00172864"/>
    <w:rsid w:val="00172B82"/>
    <w:rsid w:val="00172EFA"/>
    <w:rsid w:val="00173608"/>
    <w:rsid w:val="001745EC"/>
    <w:rsid w:val="001747B7"/>
    <w:rsid w:val="00175008"/>
    <w:rsid w:val="00175C30"/>
    <w:rsid w:val="00177069"/>
    <w:rsid w:val="001779F6"/>
    <w:rsid w:val="00177FC1"/>
    <w:rsid w:val="0018112B"/>
    <w:rsid w:val="001815A2"/>
    <w:rsid w:val="00181FC1"/>
    <w:rsid w:val="00183034"/>
    <w:rsid w:val="001830F7"/>
    <w:rsid w:val="00183EE6"/>
    <w:rsid w:val="0018588A"/>
    <w:rsid w:val="00187252"/>
    <w:rsid w:val="00187F25"/>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B738B"/>
    <w:rsid w:val="001C02D8"/>
    <w:rsid w:val="001C04E3"/>
    <w:rsid w:val="001C2378"/>
    <w:rsid w:val="001C3EE9"/>
    <w:rsid w:val="001C3FA4"/>
    <w:rsid w:val="001C40F9"/>
    <w:rsid w:val="001C458B"/>
    <w:rsid w:val="001C5D4F"/>
    <w:rsid w:val="001C64C0"/>
    <w:rsid w:val="001C69DA"/>
    <w:rsid w:val="001C6F06"/>
    <w:rsid w:val="001D2360"/>
    <w:rsid w:val="001D2754"/>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017"/>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3F73"/>
    <w:rsid w:val="002140FF"/>
    <w:rsid w:val="00220894"/>
    <w:rsid w:val="00224518"/>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3AD"/>
    <w:rsid w:val="0024663B"/>
    <w:rsid w:val="00247103"/>
    <w:rsid w:val="00250067"/>
    <w:rsid w:val="00250328"/>
    <w:rsid w:val="002516DE"/>
    <w:rsid w:val="00251F81"/>
    <w:rsid w:val="00252BE0"/>
    <w:rsid w:val="00253588"/>
    <w:rsid w:val="002546F4"/>
    <w:rsid w:val="002551D0"/>
    <w:rsid w:val="00255374"/>
    <w:rsid w:val="00257404"/>
    <w:rsid w:val="00257BF4"/>
    <w:rsid w:val="00260003"/>
    <w:rsid w:val="0026035D"/>
    <w:rsid w:val="002606D6"/>
    <w:rsid w:val="00261C98"/>
    <w:rsid w:val="0026248E"/>
    <w:rsid w:val="00262914"/>
    <w:rsid w:val="00263EE6"/>
    <w:rsid w:val="002647BF"/>
    <w:rsid w:val="002647D5"/>
    <w:rsid w:val="00265032"/>
    <w:rsid w:val="002651FB"/>
    <w:rsid w:val="0026538C"/>
    <w:rsid w:val="00265781"/>
    <w:rsid w:val="00266B13"/>
    <w:rsid w:val="00270728"/>
    <w:rsid w:val="00270D42"/>
    <w:rsid w:val="0027195D"/>
    <w:rsid w:val="00272B03"/>
    <w:rsid w:val="002733E2"/>
    <w:rsid w:val="00274D24"/>
    <w:rsid w:val="002750B1"/>
    <w:rsid w:val="00276A35"/>
    <w:rsid w:val="00277835"/>
    <w:rsid w:val="00280AB1"/>
    <w:rsid w:val="00283DFD"/>
    <w:rsid w:val="0028470B"/>
    <w:rsid w:val="00284BAE"/>
    <w:rsid w:val="002859AF"/>
    <w:rsid w:val="00286AE7"/>
    <w:rsid w:val="00287243"/>
    <w:rsid w:val="00290647"/>
    <w:rsid w:val="00291385"/>
    <w:rsid w:val="00291422"/>
    <w:rsid w:val="0029237F"/>
    <w:rsid w:val="00292715"/>
    <w:rsid w:val="00293BAF"/>
    <w:rsid w:val="00293E57"/>
    <w:rsid w:val="002947D1"/>
    <w:rsid w:val="002948DF"/>
    <w:rsid w:val="00294D90"/>
    <w:rsid w:val="002A1E92"/>
    <w:rsid w:val="002A204D"/>
    <w:rsid w:val="002A2616"/>
    <w:rsid w:val="002A26E1"/>
    <w:rsid w:val="002A368A"/>
    <w:rsid w:val="002A4065"/>
    <w:rsid w:val="002A4297"/>
    <w:rsid w:val="002A448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FD5"/>
    <w:rsid w:val="002D0439"/>
    <w:rsid w:val="002D11B7"/>
    <w:rsid w:val="002D1A78"/>
    <w:rsid w:val="002D39B6"/>
    <w:rsid w:val="002D3BBC"/>
    <w:rsid w:val="002D438A"/>
    <w:rsid w:val="002D5738"/>
    <w:rsid w:val="002D5E53"/>
    <w:rsid w:val="002E0319"/>
    <w:rsid w:val="002E179B"/>
    <w:rsid w:val="002E1C9E"/>
    <w:rsid w:val="002E257B"/>
    <w:rsid w:val="002E2F23"/>
    <w:rsid w:val="002E3C65"/>
    <w:rsid w:val="002E3F5B"/>
    <w:rsid w:val="002E4362"/>
    <w:rsid w:val="002E63D9"/>
    <w:rsid w:val="002E640E"/>
    <w:rsid w:val="002E6AA2"/>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2F9C"/>
    <w:rsid w:val="003178DA"/>
    <w:rsid w:val="00317DB8"/>
    <w:rsid w:val="00320618"/>
    <w:rsid w:val="0032100B"/>
    <w:rsid w:val="00321BD7"/>
    <w:rsid w:val="0032260F"/>
    <w:rsid w:val="003228DA"/>
    <w:rsid w:val="00323D6B"/>
    <w:rsid w:val="00326957"/>
    <w:rsid w:val="00326AE2"/>
    <w:rsid w:val="003276D6"/>
    <w:rsid w:val="00327877"/>
    <w:rsid w:val="00331426"/>
    <w:rsid w:val="0033171D"/>
    <w:rsid w:val="00331FC3"/>
    <w:rsid w:val="003336B3"/>
    <w:rsid w:val="00335B75"/>
    <w:rsid w:val="00335D8C"/>
    <w:rsid w:val="00336072"/>
    <w:rsid w:val="003363A1"/>
    <w:rsid w:val="00337219"/>
    <w:rsid w:val="00341868"/>
    <w:rsid w:val="0034226D"/>
    <w:rsid w:val="00342972"/>
    <w:rsid w:val="00342FDD"/>
    <w:rsid w:val="0034429B"/>
    <w:rsid w:val="00344866"/>
    <w:rsid w:val="0034638C"/>
    <w:rsid w:val="00346CCB"/>
    <w:rsid w:val="00346F7F"/>
    <w:rsid w:val="00350108"/>
    <w:rsid w:val="00350762"/>
    <w:rsid w:val="003507C4"/>
    <w:rsid w:val="003519A1"/>
    <w:rsid w:val="00352480"/>
    <w:rsid w:val="003530D2"/>
    <w:rsid w:val="0035331A"/>
    <w:rsid w:val="003534E1"/>
    <w:rsid w:val="003548D8"/>
    <w:rsid w:val="003554CA"/>
    <w:rsid w:val="00357FE8"/>
    <w:rsid w:val="00360232"/>
    <w:rsid w:val="003602E0"/>
    <w:rsid w:val="00360D01"/>
    <w:rsid w:val="00362569"/>
    <w:rsid w:val="00363499"/>
    <w:rsid w:val="003636CD"/>
    <w:rsid w:val="0036487C"/>
    <w:rsid w:val="00365411"/>
    <w:rsid w:val="00365FA2"/>
    <w:rsid w:val="00366C69"/>
    <w:rsid w:val="00367441"/>
    <w:rsid w:val="00367B1D"/>
    <w:rsid w:val="00370E4F"/>
    <w:rsid w:val="00371215"/>
    <w:rsid w:val="00372B77"/>
    <w:rsid w:val="00372F0D"/>
    <w:rsid w:val="00374059"/>
    <w:rsid w:val="0037445F"/>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57E"/>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736"/>
    <w:rsid w:val="003E07AE"/>
    <w:rsid w:val="003E14FC"/>
    <w:rsid w:val="003E2976"/>
    <w:rsid w:val="003E389E"/>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413"/>
    <w:rsid w:val="00416665"/>
    <w:rsid w:val="00416A67"/>
    <w:rsid w:val="00416ACB"/>
    <w:rsid w:val="00420C4D"/>
    <w:rsid w:val="0042133B"/>
    <w:rsid w:val="00421761"/>
    <w:rsid w:val="00421DCF"/>
    <w:rsid w:val="00422341"/>
    <w:rsid w:val="00423641"/>
    <w:rsid w:val="00425E9E"/>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444"/>
    <w:rsid w:val="0044194B"/>
    <w:rsid w:val="00445166"/>
    <w:rsid w:val="004454F6"/>
    <w:rsid w:val="00445F87"/>
    <w:rsid w:val="004461D9"/>
    <w:rsid w:val="00446AC6"/>
    <w:rsid w:val="0044759B"/>
    <w:rsid w:val="00447F54"/>
    <w:rsid w:val="00450B28"/>
    <w:rsid w:val="00450B7E"/>
    <w:rsid w:val="0045136B"/>
    <w:rsid w:val="00451997"/>
    <w:rsid w:val="00451C7E"/>
    <w:rsid w:val="00453BB6"/>
    <w:rsid w:val="00453CAA"/>
    <w:rsid w:val="00455113"/>
    <w:rsid w:val="00456421"/>
    <w:rsid w:val="00456A18"/>
    <w:rsid w:val="00456DAB"/>
    <w:rsid w:val="00460CC3"/>
    <w:rsid w:val="00460E86"/>
    <w:rsid w:val="004646B4"/>
    <w:rsid w:val="00464A88"/>
    <w:rsid w:val="004651A0"/>
    <w:rsid w:val="00466532"/>
    <w:rsid w:val="00467488"/>
    <w:rsid w:val="0047083E"/>
    <w:rsid w:val="00470EB5"/>
    <w:rsid w:val="004726A2"/>
    <w:rsid w:val="0047286B"/>
    <w:rsid w:val="00472E27"/>
    <w:rsid w:val="00473D55"/>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375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AEF"/>
    <w:rsid w:val="004B49E6"/>
    <w:rsid w:val="004B4D69"/>
    <w:rsid w:val="004C01A8"/>
    <w:rsid w:val="004C1840"/>
    <w:rsid w:val="004C24C9"/>
    <w:rsid w:val="004C31B6"/>
    <w:rsid w:val="004C5319"/>
    <w:rsid w:val="004C621F"/>
    <w:rsid w:val="004C6FF3"/>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616B"/>
    <w:rsid w:val="004F0FB9"/>
    <w:rsid w:val="004F1363"/>
    <w:rsid w:val="004F2F7E"/>
    <w:rsid w:val="004F32B5"/>
    <w:rsid w:val="004F407E"/>
    <w:rsid w:val="004F5479"/>
    <w:rsid w:val="004F7528"/>
    <w:rsid w:val="004F7BCA"/>
    <w:rsid w:val="004F7D89"/>
    <w:rsid w:val="00501981"/>
    <w:rsid w:val="00501A85"/>
    <w:rsid w:val="00501AA7"/>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0AD"/>
    <w:rsid w:val="00527200"/>
    <w:rsid w:val="00530157"/>
    <w:rsid w:val="00531EBE"/>
    <w:rsid w:val="00532F8B"/>
    <w:rsid w:val="00533737"/>
    <w:rsid w:val="005337D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20C"/>
    <w:rsid w:val="005615D8"/>
    <w:rsid w:val="0056178F"/>
    <w:rsid w:val="005622BA"/>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77A80"/>
    <w:rsid w:val="00580E48"/>
    <w:rsid w:val="00580F0A"/>
    <w:rsid w:val="00581246"/>
    <w:rsid w:val="00582C3A"/>
    <w:rsid w:val="00582E1A"/>
    <w:rsid w:val="00583147"/>
    <w:rsid w:val="00584416"/>
    <w:rsid w:val="00584B39"/>
    <w:rsid w:val="00585028"/>
    <w:rsid w:val="005854D1"/>
    <w:rsid w:val="00585F5B"/>
    <w:rsid w:val="0058620A"/>
    <w:rsid w:val="00586C19"/>
    <w:rsid w:val="00587FC0"/>
    <w:rsid w:val="00590566"/>
    <w:rsid w:val="005906AD"/>
    <w:rsid w:val="00590DA6"/>
    <w:rsid w:val="00591724"/>
    <w:rsid w:val="00591C7D"/>
    <w:rsid w:val="00592B03"/>
    <w:rsid w:val="00593AB9"/>
    <w:rsid w:val="00594480"/>
    <w:rsid w:val="00594ABB"/>
    <w:rsid w:val="00594D1C"/>
    <w:rsid w:val="00594E36"/>
    <w:rsid w:val="00594F0A"/>
    <w:rsid w:val="0059525E"/>
    <w:rsid w:val="00595887"/>
    <w:rsid w:val="005961F7"/>
    <w:rsid w:val="00596B9C"/>
    <w:rsid w:val="00597CC4"/>
    <w:rsid w:val="005A054D"/>
    <w:rsid w:val="005A0A46"/>
    <w:rsid w:val="005A10B9"/>
    <w:rsid w:val="005A11EA"/>
    <w:rsid w:val="005A12E0"/>
    <w:rsid w:val="005A1BC6"/>
    <w:rsid w:val="005A269F"/>
    <w:rsid w:val="005A305E"/>
    <w:rsid w:val="005A30BB"/>
    <w:rsid w:val="005A3887"/>
    <w:rsid w:val="005B0542"/>
    <w:rsid w:val="005B07D4"/>
    <w:rsid w:val="005B2225"/>
    <w:rsid w:val="005B2799"/>
    <w:rsid w:val="005B2B77"/>
    <w:rsid w:val="005B3670"/>
    <w:rsid w:val="005B3D4A"/>
    <w:rsid w:val="005B4D87"/>
    <w:rsid w:val="005B7DD1"/>
    <w:rsid w:val="005C00A0"/>
    <w:rsid w:val="005C28FA"/>
    <w:rsid w:val="005C33F7"/>
    <w:rsid w:val="005C40F4"/>
    <w:rsid w:val="005C43BE"/>
    <w:rsid w:val="005C44F3"/>
    <w:rsid w:val="005C712D"/>
    <w:rsid w:val="005C7C75"/>
    <w:rsid w:val="005D0E4F"/>
    <w:rsid w:val="005D1E32"/>
    <w:rsid w:val="005D206B"/>
    <w:rsid w:val="005D22B7"/>
    <w:rsid w:val="005D2BDE"/>
    <w:rsid w:val="005D3297"/>
    <w:rsid w:val="005D3D76"/>
    <w:rsid w:val="005D4578"/>
    <w:rsid w:val="005D4EFA"/>
    <w:rsid w:val="005D55BA"/>
    <w:rsid w:val="005D5ADB"/>
    <w:rsid w:val="005D648A"/>
    <w:rsid w:val="005D65C1"/>
    <w:rsid w:val="005D705F"/>
    <w:rsid w:val="005D7E0D"/>
    <w:rsid w:val="005E234A"/>
    <w:rsid w:val="005E35CC"/>
    <w:rsid w:val="005E371E"/>
    <w:rsid w:val="005E53F9"/>
    <w:rsid w:val="005E775D"/>
    <w:rsid w:val="005F0A43"/>
    <w:rsid w:val="005F1D8B"/>
    <w:rsid w:val="005F27BF"/>
    <w:rsid w:val="005F4171"/>
    <w:rsid w:val="005F46D6"/>
    <w:rsid w:val="005F4DD6"/>
    <w:rsid w:val="005F50D8"/>
    <w:rsid w:val="005F53A1"/>
    <w:rsid w:val="005F66A6"/>
    <w:rsid w:val="005F6B77"/>
    <w:rsid w:val="005F7487"/>
    <w:rsid w:val="005F7501"/>
    <w:rsid w:val="006002C7"/>
    <w:rsid w:val="00600F95"/>
    <w:rsid w:val="00601839"/>
    <w:rsid w:val="00601871"/>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915"/>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6C4"/>
    <w:rsid w:val="00630C5C"/>
    <w:rsid w:val="00630DCE"/>
    <w:rsid w:val="0063120A"/>
    <w:rsid w:val="0063150B"/>
    <w:rsid w:val="00631585"/>
    <w:rsid w:val="00634ACF"/>
    <w:rsid w:val="00635035"/>
    <w:rsid w:val="0063580D"/>
    <w:rsid w:val="00635CAE"/>
    <w:rsid w:val="00635D57"/>
    <w:rsid w:val="00637240"/>
    <w:rsid w:val="00637D6D"/>
    <w:rsid w:val="00642299"/>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CCE"/>
    <w:rsid w:val="006728ED"/>
    <w:rsid w:val="006732B1"/>
    <w:rsid w:val="0067446F"/>
    <w:rsid w:val="006746A4"/>
    <w:rsid w:val="00675558"/>
    <w:rsid w:val="00675611"/>
    <w:rsid w:val="00675A60"/>
    <w:rsid w:val="0067697E"/>
    <w:rsid w:val="00677443"/>
    <w:rsid w:val="0067769A"/>
    <w:rsid w:val="006806A3"/>
    <w:rsid w:val="006806A6"/>
    <w:rsid w:val="00680C4F"/>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0EC3"/>
    <w:rsid w:val="006A254E"/>
    <w:rsid w:val="006A2C30"/>
    <w:rsid w:val="006A301C"/>
    <w:rsid w:val="006A3E2B"/>
    <w:rsid w:val="006A4C65"/>
    <w:rsid w:val="006A6E17"/>
    <w:rsid w:val="006A7A55"/>
    <w:rsid w:val="006B120D"/>
    <w:rsid w:val="006B13FB"/>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058"/>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090D"/>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0FB8"/>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5F0A"/>
    <w:rsid w:val="007A79A2"/>
    <w:rsid w:val="007A7A96"/>
    <w:rsid w:val="007B03AF"/>
    <w:rsid w:val="007B1543"/>
    <w:rsid w:val="007B1AC0"/>
    <w:rsid w:val="007B270A"/>
    <w:rsid w:val="007B2777"/>
    <w:rsid w:val="007B29A9"/>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D7D60"/>
    <w:rsid w:val="007E1369"/>
    <w:rsid w:val="007E1A1B"/>
    <w:rsid w:val="007E1A88"/>
    <w:rsid w:val="007E29B1"/>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8AE"/>
    <w:rsid w:val="00810D8D"/>
    <w:rsid w:val="00811835"/>
    <w:rsid w:val="0081581D"/>
    <w:rsid w:val="008172BE"/>
    <w:rsid w:val="00817B71"/>
    <w:rsid w:val="00820244"/>
    <w:rsid w:val="008221B3"/>
    <w:rsid w:val="0082248E"/>
    <w:rsid w:val="00824FDF"/>
    <w:rsid w:val="00825125"/>
    <w:rsid w:val="008257CC"/>
    <w:rsid w:val="008274BF"/>
    <w:rsid w:val="00830844"/>
    <w:rsid w:val="00830DC3"/>
    <w:rsid w:val="00831555"/>
    <w:rsid w:val="00831EEA"/>
    <w:rsid w:val="00831F52"/>
    <w:rsid w:val="00832154"/>
    <w:rsid w:val="00832F5C"/>
    <w:rsid w:val="008359E0"/>
    <w:rsid w:val="008376F6"/>
    <w:rsid w:val="00837D5B"/>
    <w:rsid w:val="00840607"/>
    <w:rsid w:val="00841C89"/>
    <w:rsid w:val="00841CD2"/>
    <w:rsid w:val="00842B77"/>
    <w:rsid w:val="0084309F"/>
    <w:rsid w:val="008448E1"/>
    <w:rsid w:val="00845C12"/>
    <w:rsid w:val="0084654B"/>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496"/>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3EE"/>
    <w:rsid w:val="008B7B08"/>
    <w:rsid w:val="008C13F0"/>
    <w:rsid w:val="008C1F26"/>
    <w:rsid w:val="008C2A3A"/>
    <w:rsid w:val="008C4C7E"/>
    <w:rsid w:val="008C5C46"/>
    <w:rsid w:val="008C6184"/>
    <w:rsid w:val="008C74E9"/>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6EB7"/>
    <w:rsid w:val="008F72CC"/>
    <w:rsid w:val="008F72CD"/>
    <w:rsid w:val="00903802"/>
    <w:rsid w:val="00904710"/>
    <w:rsid w:val="0090696D"/>
    <w:rsid w:val="00906CD6"/>
    <w:rsid w:val="00906E4D"/>
    <w:rsid w:val="00906F31"/>
    <w:rsid w:val="009078B3"/>
    <w:rsid w:val="00907A77"/>
    <w:rsid w:val="00907E00"/>
    <w:rsid w:val="0091088D"/>
    <w:rsid w:val="00910FC9"/>
    <w:rsid w:val="0091176B"/>
    <w:rsid w:val="009127FF"/>
    <w:rsid w:val="0091291A"/>
    <w:rsid w:val="0091316D"/>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498"/>
    <w:rsid w:val="00942C80"/>
    <w:rsid w:val="00943197"/>
    <w:rsid w:val="009435F2"/>
    <w:rsid w:val="00945180"/>
    <w:rsid w:val="0094590C"/>
    <w:rsid w:val="00946355"/>
    <w:rsid w:val="009468B7"/>
    <w:rsid w:val="0094724E"/>
    <w:rsid w:val="00947973"/>
    <w:rsid w:val="00947BE6"/>
    <w:rsid w:val="0095048D"/>
    <w:rsid w:val="00950EB9"/>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38D"/>
    <w:rsid w:val="009836E4"/>
    <w:rsid w:val="0098412F"/>
    <w:rsid w:val="0098495C"/>
    <w:rsid w:val="00985F28"/>
    <w:rsid w:val="00986149"/>
    <w:rsid w:val="00986176"/>
    <w:rsid w:val="00986E7F"/>
    <w:rsid w:val="00987536"/>
    <w:rsid w:val="009908B1"/>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A0E"/>
    <w:rsid w:val="00997D20"/>
    <w:rsid w:val="009A010D"/>
    <w:rsid w:val="009A0C6F"/>
    <w:rsid w:val="009A14EF"/>
    <w:rsid w:val="009A2DF9"/>
    <w:rsid w:val="009A3A86"/>
    <w:rsid w:val="009A456C"/>
    <w:rsid w:val="009A4869"/>
    <w:rsid w:val="009A6A6B"/>
    <w:rsid w:val="009B1EF9"/>
    <w:rsid w:val="009B26AC"/>
    <w:rsid w:val="009B37E2"/>
    <w:rsid w:val="009B4519"/>
    <w:rsid w:val="009B506B"/>
    <w:rsid w:val="009B57C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62B"/>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5A46"/>
    <w:rsid w:val="00A06119"/>
    <w:rsid w:val="00A07A48"/>
    <w:rsid w:val="00A108EE"/>
    <w:rsid w:val="00A10BB8"/>
    <w:rsid w:val="00A1200D"/>
    <w:rsid w:val="00A137E4"/>
    <w:rsid w:val="00A13A9D"/>
    <w:rsid w:val="00A14813"/>
    <w:rsid w:val="00A1566A"/>
    <w:rsid w:val="00A165BF"/>
    <w:rsid w:val="00A168AD"/>
    <w:rsid w:val="00A172E8"/>
    <w:rsid w:val="00A179FF"/>
    <w:rsid w:val="00A21A36"/>
    <w:rsid w:val="00A24BBB"/>
    <w:rsid w:val="00A25294"/>
    <w:rsid w:val="00A254EE"/>
    <w:rsid w:val="00A25BE7"/>
    <w:rsid w:val="00A27008"/>
    <w:rsid w:val="00A27CDF"/>
    <w:rsid w:val="00A309C6"/>
    <w:rsid w:val="00A30D13"/>
    <w:rsid w:val="00A314F9"/>
    <w:rsid w:val="00A319D0"/>
    <w:rsid w:val="00A32316"/>
    <w:rsid w:val="00A32DA5"/>
    <w:rsid w:val="00A33172"/>
    <w:rsid w:val="00A337D3"/>
    <w:rsid w:val="00A3432B"/>
    <w:rsid w:val="00A346BA"/>
    <w:rsid w:val="00A34C67"/>
    <w:rsid w:val="00A34D62"/>
    <w:rsid w:val="00A3611D"/>
    <w:rsid w:val="00A36339"/>
    <w:rsid w:val="00A366E4"/>
    <w:rsid w:val="00A401CB"/>
    <w:rsid w:val="00A4376F"/>
    <w:rsid w:val="00A4549F"/>
    <w:rsid w:val="00A45B9B"/>
    <w:rsid w:val="00A462FE"/>
    <w:rsid w:val="00A46605"/>
    <w:rsid w:val="00A501C9"/>
    <w:rsid w:val="00A50506"/>
    <w:rsid w:val="00A53F55"/>
    <w:rsid w:val="00A5417B"/>
    <w:rsid w:val="00A54599"/>
    <w:rsid w:val="00A54B82"/>
    <w:rsid w:val="00A567D1"/>
    <w:rsid w:val="00A569D4"/>
    <w:rsid w:val="00A57F1A"/>
    <w:rsid w:val="00A60163"/>
    <w:rsid w:val="00A6038D"/>
    <w:rsid w:val="00A60CF0"/>
    <w:rsid w:val="00A61429"/>
    <w:rsid w:val="00A61514"/>
    <w:rsid w:val="00A61645"/>
    <w:rsid w:val="00A62080"/>
    <w:rsid w:val="00A630A2"/>
    <w:rsid w:val="00A6311C"/>
    <w:rsid w:val="00A632B8"/>
    <w:rsid w:val="00A63BF3"/>
    <w:rsid w:val="00A64942"/>
    <w:rsid w:val="00A65911"/>
    <w:rsid w:val="00A65A93"/>
    <w:rsid w:val="00A6643C"/>
    <w:rsid w:val="00A67544"/>
    <w:rsid w:val="00A7075B"/>
    <w:rsid w:val="00A71CE6"/>
    <w:rsid w:val="00A71D23"/>
    <w:rsid w:val="00A727A0"/>
    <w:rsid w:val="00A73310"/>
    <w:rsid w:val="00A7333A"/>
    <w:rsid w:val="00A73D0D"/>
    <w:rsid w:val="00A741DE"/>
    <w:rsid w:val="00A74A92"/>
    <w:rsid w:val="00A75CC1"/>
    <w:rsid w:val="00A75E88"/>
    <w:rsid w:val="00A8056E"/>
    <w:rsid w:val="00A82D58"/>
    <w:rsid w:val="00A8399D"/>
    <w:rsid w:val="00A83E3D"/>
    <w:rsid w:val="00A8443A"/>
    <w:rsid w:val="00A8479C"/>
    <w:rsid w:val="00A8530E"/>
    <w:rsid w:val="00A8557B"/>
    <w:rsid w:val="00A85A05"/>
    <w:rsid w:val="00A86D63"/>
    <w:rsid w:val="00A87797"/>
    <w:rsid w:val="00A90E72"/>
    <w:rsid w:val="00A91E1C"/>
    <w:rsid w:val="00A922A2"/>
    <w:rsid w:val="00A9327B"/>
    <w:rsid w:val="00A93B69"/>
    <w:rsid w:val="00A955E8"/>
    <w:rsid w:val="00A963C7"/>
    <w:rsid w:val="00AA0CAA"/>
    <w:rsid w:val="00AA1626"/>
    <w:rsid w:val="00AA1C25"/>
    <w:rsid w:val="00AA3DB7"/>
    <w:rsid w:val="00AA51F5"/>
    <w:rsid w:val="00AA5E3B"/>
    <w:rsid w:val="00AA68B4"/>
    <w:rsid w:val="00AA7B40"/>
    <w:rsid w:val="00AB0543"/>
    <w:rsid w:val="00AB0AC9"/>
    <w:rsid w:val="00AB1834"/>
    <w:rsid w:val="00AB185A"/>
    <w:rsid w:val="00AB1BA7"/>
    <w:rsid w:val="00AB1E04"/>
    <w:rsid w:val="00AB29CF"/>
    <w:rsid w:val="00AB3113"/>
    <w:rsid w:val="00AB348A"/>
    <w:rsid w:val="00AB3F38"/>
    <w:rsid w:val="00AB43EC"/>
    <w:rsid w:val="00AB4BF4"/>
    <w:rsid w:val="00AB5ADF"/>
    <w:rsid w:val="00AB5E57"/>
    <w:rsid w:val="00AB725F"/>
    <w:rsid w:val="00AC01D7"/>
    <w:rsid w:val="00AC0705"/>
    <w:rsid w:val="00AC109B"/>
    <w:rsid w:val="00AC74DA"/>
    <w:rsid w:val="00AC7A2B"/>
    <w:rsid w:val="00AC7C25"/>
    <w:rsid w:val="00AD0A51"/>
    <w:rsid w:val="00AD0B37"/>
    <w:rsid w:val="00AD11F7"/>
    <w:rsid w:val="00AD1DB7"/>
    <w:rsid w:val="00AD2852"/>
    <w:rsid w:val="00AD3976"/>
    <w:rsid w:val="00AD3A0A"/>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254"/>
    <w:rsid w:val="00AF25D5"/>
    <w:rsid w:val="00AF3DBB"/>
    <w:rsid w:val="00AF5194"/>
    <w:rsid w:val="00AF53EF"/>
    <w:rsid w:val="00AF73C3"/>
    <w:rsid w:val="00AF795C"/>
    <w:rsid w:val="00B00752"/>
    <w:rsid w:val="00B00DB6"/>
    <w:rsid w:val="00B026C1"/>
    <w:rsid w:val="00B02B9C"/>
    <w:rsid w:val="00B0353B"/>
    <w:rsid w:val="00B040B2"/>
    <w:rsid w:val="00B10558"/>
    <w:rsid w:val="00B13FB4"/>
    <w:rsid w:val="00B156A9"/>
    <w:rsid w:val="00B15F83"/>
    <w:rsid w:val="00B160FF"/>
    <w:rsid w:val="00B16322"/>
    <w:rsid w:val="00B1662E"/>
    <w:rsid w:val="00B16A6F"/>
    <w:rsid w:val="00B20033"/>
    <w:rsid w:val="00B22C0D"/>
    <w:rsid w:val="00B23AF4"/>
    <w:rsid w:val="00B23C15"/>
    <w:rsid w:val="00B25762"/>
    <w:rsid w:val="00B25B40"/>
    <w:rsid w:val="00B25FDE"/>
    <w:rsid w:val="00B26AB0"/>
    <w:rsid w:val="00B26AD2"/>
    <w:rsid w:val="00B26CA2"/>
    <w:rsid w:val="00B30B4E"/>
    <w:rsid w:val="00B31246"/>
    <w:rsid w:val="00B31D05"/>
    <w:rsid w:val="00B326FF"/>
    <w:rsid w:val="00B340AA"/>
    <w:rsid w:val="00B34A9F"/>
    <w:rsid w:val="00B34B80"/>
    <w:rsid w:val="00B35CDA"/>
    <w:rsid w:val="00B371AA"/>
    <w:rsid w:val="00B37D97"/>
    <w:rsid w:val="00B400C7"/>
    <w:rsid w:val="00B40EB9"/>
    <w:rsid w:val="00B411BD"/>
    <w:rsid w:val="00B41559"/>
    <w:rsid w:val="00B418E8"/>
    <w:rsid w:val="00B42285"/>
    <w:rsid w:val="00B4274B"/>
    <w:rsid w:val="00B435B1"/>
    <w:rsid w:val="00B4367F"/>
    <w:rsid w:val="00B438BA"/>
    <w:rsid w:val="00B44410"/>
    <w:rsid w:val="00B44F99"/>
    <w:rsid w:val="00B45876"/>
    <w:rsid w:val="00B46A0D"/>
    <w:rsid w:val="00B51542"/>
    <w:rsid w:val="00B51D1D"/>
    <w:rsid w:val="00B5310E"/>
    <w:rsid w:val="00B53E1F"/>
    <w:rsid w:val="00B54ACC"/>
    <w:rsid w:val="00B54DCB"/>
    <w:rsid w:val="00B55AC2"/>
    <w:rsid w:val="00B560C9"/>
    <w:rsid w:val="00B56533"/>
    <w:rsid w:val="00B56CFC"/>
    <w:rsid w:val="00B57777"/>
    <w:rsid w:val="00B57A17"/>
    <w:rsid w:val="00B60807"/>
    <w:rsid w:val="00B61BE2"/>
    <w:rsid w:val="00B6266F"/>
    <w:rsid w:val="00B62E0B"/>
    <w:rsid w:val="00B63960"/>
    <w:rsid w:val="00B63C32"/>
    <w:rsid w:val="00B64434"/>
    <w:rsid w:val="00B70087"/>
    <w:rsid w:val="00B711CE"/>
    <w:rsid w:val="00B71DC8"/>
    <w:rsid w:val="00B746C6"/>
    <w:rsid w:val="00B7604C"/>
    <w:rsid w:val="00B7652C"/>
    <w:rsid w:val="00B766BF"/>
    <w:rsid w:val="00B76FA6"/>
    <w:rsid w:val="00B80910"/>
    <w:rsid w:val="00B818F4"/>
    <w:rsid w:val="00B81BC9"/>
    <w:rsid w:val="00B8222F"/>
    <w:rsid w:val="00B82615"/>
    <w:rsid w:val="00B82CB7"/>
    <w:rsid w:val="00B83444"/>
    <w:rsid w:val="00B836ED"/>
    <w:rsid w:val="00B853BE"/>
    <w:rsid w:val="00B86476"/>
    <w:rsid w:val="00B86A3D"/>
    <w:rsid w:val="00B875C7"/>
    <w:rsid w:val="00B90151"/>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0B7F"/>
    <w:rsid w:val="00BC12FB"/>
    <w:rsid w:val="00BC1C3C"/>
    <w:rsid w:val="00BC307F"/>
    <w:rsid w:val="00BC3159"/>
    <w:rsid w:val="00BC3257"/>
    <w:rsid w:val="00BC39DB"/>
    <w:rsid w:val="00BC3A32"/>
    <w:rsid w:val="00BC3B07"/>
    <w:rsid w:val="00BC4655"/>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ADE"/>
    <w:rsid w:val="00BF73F2"/>
    <w:rsid w:val="00C01671"/>
    <w:rsid w:val="00C02419"/>
    <w:rsid w:val="00C02766"/>
    <w:rsid w:val="00C03EE8"/>
    <w:rsid w:val="00C05BEC"/>
    <w:rsid w:val="00C06E7D"/>
    <w:rsid w:val="00C07EBC"/>
    <w:rsid w:val="00C1112B"/>
    <w:rsid w:val="00C11A88"/>
    <w:rsid w:val="00C12012"/>
    <w:rsid w:val="00C12874"/>
    <w:rsid w:val="00C12BC1"/>
    <w:rsid w:val="00C13BDA"/>
    <w:rsid w:val="00C13FFD"/>
    <w:rsid w:val="00C14632"/>
    <w:rsid w:val="00C14CC7"/>
    <w:rsid w:val="00C16C30"/>
    <w:rsid w:val="00C20A00"/>
    <w:rsid w:val="00C21673"/>
    <w:rsid w:val="00C21C7A"/>
    <w:rsid w:val="00C23130"/>
    <w:rsid w:val="00C255A5"/>
    <w:rsid w:val="00C2584B"/>
    <w:rsid w:val="00C25942"/>
    <w:rsid w:val="00C25DD9"/>
    <w:rsid w:val="00C2663F"/>
    <w:rsid w:val="00C26DB8"/>
    <w:rsid w:val="00C31888"/>
    <w:rsid w:val="00C3400F"/>
    <w:rsid w:val="00C34B64"/>
    <w:rsid w:val="00C34C36"/>
    <w:rsid w:val="00C352B3"/>
    <w:rsid w:val="00C3654C"/>
    <w:rsid w:val="00C36BF5"/>
    <w:rsid w:val="00C36DBC"/>
    <w:rsid w:val="00C376BA"/>
    <w:rsid w:val="00C40373"/>
    <w:rsid w:val="00C4076D"/>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9A9"/>
    <w:rsid w:val="00C54D71"/>
    <w:rsid w:val="00C563F5"/>
    <w:rsid w:val="00C570F7"/>
    <w:rsid w:val="00C62CD5"/>
    <w:rsid w:val="00C636E6"/>
    <w:rsid w:val="00C639D6"/>
    <w:rsid w:val="00C63F8E"/>
    <w:rsid w:val="00C647FB"/>
    <w:rsid w:val="00C654E0"/>
    <w:rsid w:val="00C67EAB"/>
    <w:rsid w:val="00C70DFF"/>
    <w:rsid w:val="00C74AD6"/>
    <w:rsid w:val="00C75A6B"/>
    <w:rsid w:val="00C763B6"/>
    <w:rsid w:val="00C7644F"/>
    <w:rsid w:val="00C768F6"/>
    <w:rsid w:val="00C80073"/>
    <w:rsid w:val="00C80C5E"/>
    <w:rsid w:val="00C80DEA"/>
    <w:rsid w:val="00C810CE"/>
    <w:rsid w:val="00C832DC"/>
    <w:rsid w:val="00C8377F"/>
    <w:rsid w:val="00C8646D"/>
    <w:rsid w:val="00C91DE3"/>
    <w:rsid w:val="00C92C7F"/>
    <w:rsid w:val="00C9369D"/>
    <w:rsid w:val="00C944FA"/>
    <w:rsid w:val="00C95854"/>
    <w:rsid w:val="00C95EFF"/>
    <w:rsid w:val="00C96E6F"/>
    <w:rsid w:val="00C97872"/>
    <w:rsid w:val="00CA0532"/>
    <w:rsid w:val="00CA2116"/>
    <w:rsid w:val="00CA2241"/>
    <w:rsid w:val="00CA3CDD"/>
    <w:rsid w:val="00CA403B"/>
    <w:rsid w:val="00CA505A"/>
    <w:rsid w:val="00CA59DD"/>
    <w:rsid w:val="00CA7136"/>
    <w:rsid w:val="00CB008E"/>
    <w:rsid w:val="00CB01FA"/>
    <w:rsid w:val="00CB0737"/>
    <w:rsid w:val="00CB097A"/>
    <w:rsid w:val="00CB26EC"/>
    <w:rsid w:val="00CB2D2A"/>
    <w:rsid w:val="00CB5B1E"/>
    <w:rsid w:val="00CB787A"/>
    <w:rsid w:val="00CC0C4A"/>
    <w:rsid w:val="00CC17F0"/>
    <w:rsid w:val="00CC1853"/>
    <w:rsid w:val="00CC1FAE"/>
    <w:rsid w:val="00CC3A23"/>
    <w:rsid w:val="00CC6F91"/>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CB"/>
    <w:rsid w:val="00CF19DA"/>
    <w:rsid w:val="00CF1C7F"/>
    <w:rsid w:val="00CF1CC0"/>
    <w:rsid w:val="00CF24F8"/>
    <w:rsid w:val="00CF2653"/>
    <w:rsid w:val="00CF39A9"/>
    <w:rsid w:val="00CF4247"/>
    <w:rsid w:val="00CF5263"/>
    <w:rsid w:val="00CF60B5"/>
    <w:rsid w:val="00CF716C"/>
    <w:rsid w:val="00D004FA"/>
    <w:rsid w:val="00D01B21"/>
    <w:rsid w:val="00D01E2F"/>
    <w:rsid w:val="00D03102"/>
    <w:rsid w:val="00D03727"/>
    <w:rsid w:val="00D0378A"/>
    <w:rsid w:val="00D05132"/>
    <w:rsid w:val="00D05EA9"/>
    <w:rsid w:val="00D06937"/>
    <w:rsid w:val="00D071F8"/>
    <w:rsid w:val="00D07252"/>
    <w:rsid w:val="00D074F4"/>
    <w:rsid w:val="00D07CE1"/>
    <w:rsid w:val="00D1026A"/>
    <w:rsid w:val="00D107CF"/>
    <w:rsid w:val="00D11B0B"/>
    <w:rsid w:val="00D12293"/>
    <w:rsid w:val="00D136CA"/>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CAA"/>
    <w:rsid w:val="00D33D4D"/>
    <w:rsid w:val="00D34A0B"/>
    <w:rsid w:val="00D36234"/>
    <w:rsid w:val="00D36371"/>
    <w:rsid w:val="00D42EF0"/>
    <w:rsid w:val="00D437D8"/>
    <w:rsid w:val="00D44994"/>
    <w:rsid w:val="00D44D6A"/>
    <w:rsid w:val="00D45DF3"/>
    <w:rsid w:val="00D46174"/>
    <w:rsid w:val="00D47DD0"/>
    <w:rsid w:val="00D50183"/>
    <w:rsid w:val="00D51D12"/>
    <w:rsid w:val="00D52AE4"/>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233"/>
    <w:rsid w:val="00D857B8"/>
    <w:rsid w:val="00D87175"/>
    <w:rsid w:val="00D87ABF"/>
    <w:rsid w:val="00D90CD3"/>
    <w:rsid w:val="00D90F1F"/>
    <w:rsid w:val="00D919E6"/>
    <w:rsid w:val="00D91BE1"/>
    <w:rsid w:val="00D92C29"/>
    <w:rsid w:val="00D936E2"/>
    <w:rsid w:val="00D95104"/>
    <w:rsid w:val="00D95600"/>
    <w:rsid w:val="00D9683C"/>
    <w:rsid w:val="00D97884"/>
    <w:rsid w:val="00DA0A7F"/>
    <w:rsid w:val="00DA1C31"/>
    <w:rsid w:val="00DA20BC"/>
    <w:rsid w:val="00DA2ED7"/>
    <w:rsid w:val="00DA39AF"/>
    <w:rsid w:val="00DA3E7A"/>
    <w:rsid w:val="00DA430C"/>
    <w:rsid w:val="00DA615D"/>
    <w:rsid w:val="00DA6598"/>
    <w:rsid w:val="00DA6C0F"/>
    <w:rsid w:val="00DA702F"/>
    <w:rsid w:val="00DA7F8A"/>
    <w:rsid w:val="00DB0176"/>
    <w:rsid w:val="00DB0404"/>
    <w:rsid w:val="00DB11F8"/>
    <w:rsid w:val="00DB188D"/>
    <w:rsid w:val="00DB18F8"/>
    <w:rsid w:val="00DB1F2A"/>
    <w:rsid w:val="00DB297F"/>
    <w:rsid w:val="00DB3153"/>
    <w:rsid w:val="00DB317A"/>
    <w:rsid w:val="00DB3B82"/>
    <w:rsid w:val="00DB485D"/>
    <w:rsid w:val="00DC12C9"/>
    <w:rsid w:val="00DC1327"/>
    <w:rsid w:val="00DC1350"/>
    <w:rsid w:val="00DC3237"/>
    <w:rsid w:val="00DC41A4"/>
    <w:rsid w:val="00DC42F0"/>
    <w:rsid w:val="00DC5672"/>
    <w:rsid w:val="00DC60A2"/>
    <w:rsid w:val="00DC6600"/>
    <w:rsid w:val="00DC67BD"/>
    <w:rsid w:val="00DC6924"/>
    <w:rsid w:val="00DC71F2"/>
    <w:rsid w:val="00DC78E1"/>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880"/>
    <w:rsid w:val="00DF1E9C"/>
    <w:rsid w:val="00DF4572"/>
    <w:rsid w:val="00DF4658"/>
    <w:rsid w:val="00DF6C8B"/>
    <w:rsid w:val="00DF6CAB"/>
    <w:rsid w:val="00DF6F17"/>
    <w:rsid w:val="00DF78FA"/>
    <w:rsid w:val="00E002F1"/>
    <w:rsid w:val="00E0082C"/>
    <w:rsid w:val="00E01DAA"/>
    <w:rsid w:val="00E023E5"/>
    <w:rsid w:val="00E02432"/>
    <w:rsid w:val="00E04022"/>
    <w:rsid w:val="00E0728F"/>
    <w:rsid w:val="00E0755C"/>
    <w:rsid w:val="00E14A7E"/>
    <w:rsid w:val="00E151E1"/>
    <w:rsid w:val="00E15B15"/>
    <w:rsid w:val="00E16045"/>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0E87"/>
    <w:rsid w:val="00E51DDD"/>
    <w:rsid w:val="00E51FDD"/>
    <w:rsid w:val="00E52435"/>
    <w:rsid w:val="00E52FCD"/>
    <w:rsid w:val="00E53122"/>
    <w:rsid w:val="00E5351B"/>
    <w:rsid w:val="00E53FA9"/>
    <w:rsid w:val="00E5414C"/>
    <w:rsid w:val="00E547B3"/>
    <w:rsid w:val="00E5673F"/>
    <w:rsid w:val="00E5733D"/>
    <w:rsid w:val="00E6052E"/>
    <w:rsid w:val="00E61CC0"/>
    <w:rsid w:val="00E61F01"/>
    <w:rsid w:val="00E6277B"/>
    <w:rsid w:val="00E64424"/>
    <w:rsid w:val="00E64C99"/>
    <w:rsid w:val="00E64CD3"/>
    <w:rsid w:val="00E65C95"/>
    <w:rsid w:val="00E671C9"/>
    <w:rsid w:val="00E6743F"/>
    <w:rsid w:val="00E6758E"/>
    <w:rsid w:val="00E67E23"/>
    <w:rsid w:val="00E70016"/>
    <w:rsid w:val="00E70BC7"/>
    <w:rsid w:val="00E70FBC"/>
    <w:rsid w:val="00E718B4"/>
    <w:rsid w:val="00E72C01"/>
    <w:rsid w:val="00E7387B"/>
    <w:rsid w:val="00E739F8"/>
    <w:rsid w:val="00E741AC"/>
    <w:rsid w:val="00E75174"/>
    <w:rsid w:val="00E754D2"/>
    <w:rsid w:val="00E75EBA"/>
    <w:rsid w:val="00E763B4"/>
    <w:rsid w:val="00E77848"/>
    <w:rsid w:val="00E80514"/>
    <w:rsid w:val="00E80E5B"/>
    <w:rsid w:val="00E816C5"/>
    <w:rsid w:val="00E81CE0"/>
    <w:rsid w:val="00E81E7C"/>
    <w:rsid w:val="00E8224D"/>
    <w:rsid w:val="00E8519F"/>
    <w:rsid w:val="00E85CC3"/>
    <w:rsid w:val="00E86048"/>
    <w:rsid w:val="00E8644A"/>
    <w:rsid w:val="00E86488"/>
    <w:rsid w:val="00E8701F"/>
    <w:rsid w:val="00E90279"/>
    <w:rsid w:val="00E90635"/>
    <w:rsid w:val="00E909A1"/>
    <w:rsid w:val="00E90BFF"/>
    <w:rsid w:val="00E91F04"/>
    <w:rsid w:val="00E91F35"/>
    <w:rsid w:val="00E95BA6"/>
    <w:rsid w:val="00E97648"/>
    <w:rsid w:val="00E97B42"/>
    <w:rsid w:val="00EA0E4A"/>
    <w:rsid w:val="00EA0F00"/>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6A4"/>
    <w:rsid w:val="00ED2E52"/>
    <w:rsid w:val="00ED3024"/>
    <w:rsid w:val="00ED5FE4"/>
    <w:rsid w:val="00ED6299"/>
    <w:rsid w:val="00ED71C5"/>
    <w:rsid w:val="00EE16FA"/>
    <w:rsid w:val="00EE3C42"/>
    <w:rsid w:val="00EE3D4F"/>
    <w:rsid w:val="00EE534D"/>
    <w:rsid w:val="00EE5560"/>
    <w:rsid w:val="00EE6F1E"/>
    <w:rsid w:val="00EE795F"/>
    <w:rsid w:val="00EF0348"/>
    <w:rsid w:val="00EF1F9C"/>
    <w:rsid w:val="00EF4366"/>
    <w:rsid w:val="00EF4CD6"/>
    <w:rsid w:val="00EF55A0"/>
    <w:rsid w:val="00EF63D1"/>
    <w:rsid w:val="00EF6513"/>
    <w:rsid w:val="00EF6683"/>
    <w:rsid w:val="00EF7002"/>
    <w:rsid w:val="00EF769B"/>
    <w:rsid w:val="00F027BA"/>
    <w:rsid w:val="00F03E79"/>
    <w:rsid w:val="00F04CE0"/>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115"/>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363C"/>
    <w:rsid w:val="00F439BC"/>
    <w:rsid w:val="00F44EC5"/>
    <w:rsid w:val="00F472DF"/>
    <w:rsid w:val="00F47498"/>
    <w:rsid w:val="00F512B2"/>
    <w:rsid w:val="00F516EE"/>
    <w:rsid w:val="00F5283D"/>
    <w:rsid w:val="00F52ABA"/>
    <w:rsid w:val="00F52BC7"/>
    <w:rsid w:val="00F53BF4"/>
    <w:rsid w:val="00F54266"/>
    <w:rsid w:val="00F55043"/>
    <w:rsid w:val="00F56DCF"/>
    <w:rsid w:val="00F57034"/>
    <w:rsid w:val="00F60BE9"/>
    <w:rsid w:val="00F61FD8"/>
    <w:rsid w:val="00F62DBF"/>
    <w:rsid w:val="00F6361D"/>
    <w:rsid w:val="00F641FC"/>
    <w:rsid w:val="00F647F7"/>
    <w:rsid w:val="00F6583C"/>
    <w:rsid w:val="00F6589A"/>
    <w:rsid w:val="00F6783E"/>
    <w:rsid w:val="00F7024F"/>
    <w:rsid w:val="00F70DBE"/>
    <w:rsid w:val="00F71124"/>
    <w:rsid w:val="00F71888"/>
    <w:rsid w:val="00F719CD"/>
    <w:rsid w:val="00F71BB8"/>
    <w:rsid w:val="00F72584"/>
    <w:rsid w:val="00F7290D"/>
    <w:rsid w:val="00F7302F"/>
    <w:rsid w:val="00F732EC"/>
    <w:rsid w:val="00F73D08"/>
    <w:rsid w:val="00F74B94"/>
    <w:rsid w:val="00F7586B"/>
    <w:rsid w:val="00F75F2F"/>
    <w:rsid w:val="00F76445"/>
    <w:rsid w:val="00F769D3"/>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0AE"/>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70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769450-5075-4B17-A484-8AEAC8870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35EC4"/>
    <w:pPr>
      <w:keepNext/>
      <w:numPr>
        <w:numId w:val="2"/>
      </w:numPr>
      <w:spacing w:before="120"/>
      <w:outlineLvl w:val="0"/>
    </w:pPr>
    <w:rPr>
      <w:b/>
      <w:bCs/>
      <w:sz w:val="28"/>
      <w:szCs w:val="28"/>
    </w:rPr>
  </w:style>
  <w:style w:type="paragraph" w:styleId="2">
    <w:name w:val="heading 2"/>
    <w:basedOn w:val="a"/>
    <w:next w:val="a"/>
    <w:qFormat/>
    <w:rsid w:val="00135EC4"/>
    <w:pPr>
      <w:keepNext/>
      <w:numPr>
        <w:ilvl w:val="1"/>
        <w:numId w:val="2"/>
      </w:numPr>
      <w:spacing w:before="120"/>
      <w:outlineLvl w:val="1"/>
    </w:pPr>
    <w:rPr>
      <w:b/>
      <w:bCs/>
      <w:sz w:val="24"/>
    </w:rPr>
  </w:style>
  <w:style w:type="paragraph" w:styleId="3">
    <w:name w:val="heading 3"/>
    <w:basedOn w:val="a"/>
    <w:next w:val="a"/>
    <w:qFormat/>
    <w:rsid w:val="00135EC4"/>
    <w:pPr>
      <w:keepNext/>
      <w:numPr>
        <w:ilvl w:val="2"/>
        <w:numId w:val="2"/>
      </w:numPr>
      <w:tabs>
        <w:tab w:val="clear" w:pos="720"/>
      </w:tabs>
      <w:spacing w:before="120"/>
      <w:outlineLvl w:val="2"/>
    </w:pPr>
    <w:rPr>
      <w:b/>
    </w:rPr>
  </w:style>
  <w:style w:type="paragraph" w:styleId="4">
    <w:name w:val="heading 4"/>
    <w:basedOn w:val="a"/>
    <w:next w:val="a"/>
    <w:qFormat/>
    <w:rsid w:val="00135EC4"/>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35EC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35EC4"/>
    <w:pPr>
      <w:numPr>
        <w:ilvl w:val="5"/>
        <w:numId w:val="2"/>
      </w:numPr>
      <w:spacing w:before="240" w:after="60"/>
      <w:outlineLvl w:val="5"/>
    </w:pPr>
    <w:rPr>
      <w:b/>
      <w:bCs/>
    </w:rPr>
  </w:style>
  <w:style w:type="paragraph" w:styleId="7">
    <w:name w:val="heading 7"/>
    <w:basedOn w:val="a"/>
    <w:next w:val="a"/>
    <w:qFormat/>
    <w:rsid w:val="00135EC4"/>
    <w:pPr>
      <w:numPr>
        <w:ilvl w:val="6"/>
        <w:numId w:val="2"/>
      </w:numPr>
      <w:spacing w:before="240" w:after="60"/>
      <w:outlineLvl w:val="6"/>
    </w:pPr>
    <w:rPr>
      <w:sz w:val="24"/>
      <w:szCs w:val="24"/>
    </w:rPr>
  </w:style>
  <w:style w:type="paragraph" w:styleId="8">
    <w:name w:val="heading 8"/>
    <w:basedOn w:val="a"/>
    <w:next w:val="a"/>
    <w:qFormat/>
    <w:rsid w:val="00135EC4"/>
    <w:pPr>
      <w:numPr>
        <w:ilvl w:val="7"/>
        <w:numId w:val="2"/>
      </w:numPr>
      <w:spacing w:before="240" w:after="60"/>
      <w:outlineLvl w:val="7"/>
    </w:pPr>
    <w:rPr>
      <w:i/>
      <w:iCs/>
      <w:sz w:val="24"/>
      <w:szCs w:val="24"/>
    </w:rPr>
  </w:style>
  <w:style w:type="paragraph" w:styleId="9">
    <w:name w:val="heading 9"/>
    <w:basedOn w:val="a"/>
    <w:next w:val="a"/>
    <w:qFormat/>
    <w:rsid w:val="00135EC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35EC4"/>
    <w:rPr>
      <w:sz w:val="20"/>
      <w:szCs w:val="20"/>
    </w:rPr>
  </w:style>
  <w:style w:type="character" w:customStyle="1" w:styleId="Char">
    <w:name w:val="正文文本 Char"/>
    <w:basedOn w:val="a0"/>
    <w:link w:val="a3"/>
    <w:rsid w:val="00CF195E"/>
  </w:style>
  <w:style w:type="character" w:styleId="a4">
    <w:name w:val="Hyperlink"/>
    <w:rsid w:val="00135EC4"/>
    <w:rPr>
      <w:color w:val="0000FF"/>
      <w:kern w:val="2"/>
      <w:u w:val="single"/>
      <w:lang w:val="en-GB" w:eastAsia="zh-CN" w:bidi="ar-SA"/>
    </w:rPr>
  </w:style>
  <w:style w:type="paragraph" w:styleId="a5">
    <w:name w:val="caption"/>
    <w:aliases w:val="cap"/>
    <w:basedOn w:val="a"/>
    <w:next w:val="a"/>
    <w:link w:val="Char0"/>
    <w:qFormat/>
    <w:rsid w:val="00135EC4"/>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135EC4"/>
    <w:pPr>
      <w:autoSpaceDE/>
      <w:autoSpaceDN/>
      <w:adjustRightInd/>
      <w:spacing w:after="180"/>
      <w:ind w:left="568" w:hanging="284"/>
      <w:jc w:val="left"/>
    </w:pPr>
    <w:rPr>
      <w:sz w:val="20"/>
      <w:szCs w:val="20"/>
      <w:lang w:val="en-GB"/>
    </w:rPr>
  </w:style>
  <w:style w:type="paragraph" w:styleId="a7">
    <w:name w:val="List"/>
    <w:basedOn w:val="a"/>
    <w:rsid w:val="00135EC4"/>
    <w:pPr>
      <w:ind w:left="360" w:hanging="360"/>
    </w:pPr>
  </w:style>
  <w:style w:type="paragraph" w:styleId="20">
    <w:name w:val="Body Text 2"/>
    <w:basedOn w:val="a"/>
    <w:rsid w:val="00135EC4"/>
    <w:pPr>
      <w:spacing w:after="0"/>
      <w:jc w:val="left"/>
    </w:pPr>
    <w:rPr>
      <w:szCs w:val="20"/>
    </w:rPr>
  </w:style>
  <w:style w:type="paragraph" w:styleId="a8">
    <w:name w:val="Balloon Text"/>
    <w:basedOn w:val="a"/>
    <w:semiHidden/>
    <w:rsid w:val="00135EC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135EC4"/>
    <w:rPr>
      <w:color w:val="800080"/>
      <w:kern w:val="2"/>
      <w:u w:val="single"/>
      <w:lang w:val="en-GB" w:eastAsia="zh-CN" w:bidi="ar-SA"/>
    </w:rPr>
  </w:style>
  <w:style w:type="paragraph" w:styleId="a9">
    <w:name w:val="footnote text"/>
    <w:basedOn w:val="a"/>
    <w:semiHidden/>
    <w:rsid w:val="00135EC4"/>
    <w:rPr>
      <w:sz w:val="20"/>
      <w:szCs w:val="20"/>
    </w:rPr>
  </w:style>
  <w:style w:type="character" w:styleId="aa">
    <w:name w:val="footnote reference"/>
    <w:semiHidden/>
    <w:rsid w:val="00135EC4"/>
    <w:rPr>
      <w:kern w:val="2"/>
      <w:vertAlign w:val="superscript"/>
      <w:lang w:val="en-GB" w:eastAsia="zh-CN" w:bidi="ar-SA"/>
    </w:rPr>
  </w:style>
  <w:style w:type="table" w:styleId="ab">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TDisplayEquation">
    <w:name w:val="MTDisplayEquation"/>
    <w:basedOn w:val="a"/>
    <w:next w:val="a"/>
    <w:link w:val="MTDisplayEquationChar"/>
    <w:rsid w:val="00341868"/>
    <w:pPr>
      <w:tabs>
        <w:tab w:val="center" w:pos="4660"/>
        <w:tab w:val="right" w:pos="9320"/>
      </w:tabs>
    </w:pPr>
    <w:rPr>
      <w:kern w:val="2"/>
      <w:sz w:val="24"/>
      <w:szCs w:val="20"/>
      <w:lang w:val="en-GB"/>
    </w:rPr>
  </w:style>
  <w:style w:type="character" w:customStyle="1" w:styleId="MTDisplayEquationChar">
    <w:name w:val="MTDisplayEquation Char"/>
    <w:link w:val="MTDisplayEquation"/>
    <w:rsid w:val="00341868"/>
    <w:rPr>
      <w:kern w:val="2"/>
      <w:sz w:val="24"/>
      <w:lang w:val="en-GB" w:eastAsia="en-US"/>
    </w:rPr>
  </w:style>
  <w:style w:type="paragraph" w:styleId="af">
    <w:name w:val="List Paragraph"/>
    <w:aliases w:val="- Bullets,목록 단락,リスト段落"/>
    <w:basedOn w:val="a"/>
    <w:link w:val="Char3"/>
    <w:uiPriority w:val="34"/>
    <w:qFormat/>
    <w:rsid w:val="005F1D8B"/>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3">
    <w:name w:val="列出段落 Char"/>
    <w:aliases w:val="- Bullets Char,목록 단락 Char,リスト段落 Char"/>
    <w:link w:val="af"/>
    <w:uiPriority w:val="34"/>
    <w:qFormat/>
    <w:rsid w:val="005F1D8B"/>
    <w:rPr>
      <w:rFonts w:ascii="Times" w:eastAsia="Batang" w:hAnsi="Times"/>
      <w:szCs w:val="24"/>
      <w:lang w:val="en-GB"/>
    </w:rPr>
  </w:style>
  <w:style w:type="paragraph" w:styleId="af0">
    <w:name w:val="Document Map"/>
    <w:basedOn w:val="a"/>
    <w:link w:val="Char4"/>
    <w:rsid w:val="00B70087"/>
    <w:rPr>
      <w:rFonts w:ascii="宋体"/>
      <w:sz w:val="18"/>
      <w:szCs w:val="18"/>
    </w:rPr>
  </w:style>
  <w:style w:type="character" w:customStyle="1" w:styleId="Char4">
    <w:name w:val="文档结构图 Char"/>
    <w:basedOn w:val="a0"/>
    <w:link w:val="af0"/>
    <w:rsid w:val="00B70087"/>
    <w:rPr>
      <w:rFonts w:ascii="宋体"/>
      <w:sz w:val="18"/>
      <w:szCs w:val="18"/>
      <w:lang w:eastAsia="en-US"/>
    </w:rPr>
  </w:style>
  <w:style w:type="paragraph" w:customStyle="1" w:styleId="enumlev1">
    <w:name w:val="enumlev1"/>
    <w:basedOn w:val="a"/>
    <w:link w:val="enumlev1Char"/>
    <w:qFormat/>
    <w:rsid w:val="00630C5C"/>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paragraph" w:customStyle="1" w:styleId="Equation">
    <w:name w:val="Equation"/>
    <w:aliases w:val="eq"/>
    <w:basedOn w:val="a"/>
    <w:link w:val="EquationeqChar"/>
    <w:rsid w:val="00630C5C"/>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enumlev1Char">
    <w:name w:val="enumlev1 Char"/>
    <w:link w:val="enumlev1"/>
    <w:qFormat/>
    <w:locked/>
    <w:rsid w:val="00630C5C"/>
    <w:rPr>
      <w:rFonts w:eastAsiaTheme="minorEastAsia"/>
      <w:sz w:val="24"/>
      <w:lang w:val="en-GB" w:eastAsia="en-US"/>
    </w:rPr>
  </w:style>
  <w:style w:type="character" w:customStyle="1" w:styleId="EquationeqChar">
    <w:name w:val="Equation.eq Char"/>
    <w:basedOn w:val="a0"/>
    <w:link w:val="Equation"/>
    <w:qFormat/>
    <w:locked/>
    <w:rsid w:val="00630C5C"/>
    <w:rPr>
      <w:rFonts w:eastAsiaTheme="minorEastAsia"/>
      <w:sz w:val="24"/>
      <w:lang w:eastAsia="en-US"/>
    </w:rPr>
  </w:style>
  <w:style w:type="paragraph" w:customStyle="1" w:styleId="TAC">
    <w:name w:val="TAC"/>
    <w:basedOn w:val="a"/>
    <w:rsid w:val="0084654B"/>
    <w:pPr>
      <w:keepNext/>
      <w:keepLines/>
      <w:overflowPunct w:val="0"/>
      <w:snapToGrid/>
      <w:spacing w:after="0"/>
      <w:jc w:val="center"/>
      <w:textAlignment w:val="baseline"/>
    </w:pPr>
    <w:rPr>
      <w:rFonts w:ascii="Arial" w:eastAsiaTheme="minorEastAsia" w:hAnsi="Arial"/>
      <w:sz w:val="18"/>
      <w:szCs w:val="20"/>
      <w:lang w:val="en-GB" w:eastAsia="en-JM"/>
    </w:rPr>
  </w:style>
  <w:style w:type="paragraph" w:customStyle="1" w:styleId="Tabletext">
    <w:name w:val="Table_text"/>
    <w:basedOn w:val="a"/>
    <w:link w:val="TabletextChar"/>
    <w:qFormat/>
    <w:rsid w:val="00293B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 w:val="20"/>
      <w:szCs w:val="20"/>
      <w:lang w:val="en-GB"/>
    </w:rPr>
  </w:style>
  <w:style w:type="paragraph" w:customStyle="1" w:styleId="Tablehead">
    <w:name w:val="Table_head"/>
    <w:basedOn w:val="a"/>
    <w:link w:val="TableheadChar"/>
    <w:qFormat/>
    <w:rsid w:val="00293BAF"/>
    <w:pPr>
      <w:keepNext/>
      <w:tabs>
        <w:tab w:val="left" w:pos="1134"/>
        <w:tab w:val="left" w:pos="1871"/>
        <w:tab w:val="left" w:pos="2268"/>
      </w:tabs>
      <w:overflowPunct w:val="0"/>
      <w:snapToGrid/>
      <w:spacing w:before="80" w:after="80"/>
      <w:jc w:val="center"/>
      <w:textAlignment w:val="baseline"/>
    </w:pPr>
    <w:rPr>
      <w:rFonts w:ascii="Times New Roman Bold" w:eastAsiaTheme="minorEastAsia" w:hAnsi="Times New Roman Bold" w:cs="Times New Roman Bold"/>
      <w:b/>
      <w:sz w:val="20"/>
      <w:szCs w:val="20"/>
      <w:lang w:val="en-GB"/>
    </w:rPr>
  </w:style>
  <w:style w:type="paragraph" w:customStyle="1" w:styleId="TableNo">
    <w:name w:val="Table_No"/>
    <w:basedOn w:val="a"/>
    <w:next w:val="a"/>
    <w:link w:val="TableNoChar"/>
    <w:qFormat/>
    <w:rsid w:val="00293BAF"/>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
    <w:next w:val="Tabletext"/>
    <w:link w:val="TabletitleChar"/>
    <w:qFormat/>
    <w:rsid w:val="00293BAF"/>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0"/>
    <w:link w:val="TableNo"/>
    <w:locked/>
    <w:rsid w:val="00293BAF"/>
    <w:rPr>
      <w:rFonts w:eastAsiaTheme="minorEastAsia"/>
      <w:caps/>
      <w:lang w:val="en-GB" w:eastAsia="en-US"/>
    </w:rPr>
  </w:style>
  <w:style w:type="character" w:customStyle="1" w:styleId="TabletitleChar">
    <w:name w:val="Table_title Char"/>
    <w:basedOn w:val="a0"/>
    <w:link w:val="Tabletitle"/>
    <w:locked/>
    <w:rsid w:val="00293BAF"/>
    <w:rPr>
      <w:rFonts w:ascii="Times New Roman Bold" w:eastAsiaTheme="minorEastAsia" w:hAnsi="Times New Roman Bold"/>
      <w:b/>
      <w:lang w:val="en-GB" w:eastAsia="en-US"/>
    </w:rPr>
  </w:style>
  <w:style w:type="character" w:customStyle="1" w:styleId="TableheadChar">
    <w:name w:val="Table_head Char"/>
    <w:basedOn w:val="a0"/>
    <w:link w:val="Tablehead"/>
    <w:locked/>
    <w:rsid w:val="00293BAF"/>
    <w:rPr>
      <w:rFonts w:ascii="Times New Roman Bold" w:eastAsiaTheme="minorEastAsia" w:hAnsi="Times New Roman Bold" w:cs="Times New Roman Bold"/>
      <w:b/>
      <w:lang w:val="en-GB" w:eastAsia="en-US"/>
    </w:rPr>
  </w:style>
  <w:style w:type="character" w:customStyle="1" w:styleId="TabletextChar">
    <w:name w:val="Table_text Char"/>
    <w:basedOn w:val="a0"/>
    <w:link w:val="Tabletext"/>
    <w:locked/>
    <w:rsid w:val="00293BAF"/>
    <w:rPr>
      <w:rFonts w:eastAsiaTheme="minorEastAsia"/>
      <w:lang w:val="en-GB" w:eastAsia="en-US"/>
    </w:rPr>
  </w:style>
  <w:style w:type="paragraph" w:customStyle="1" w:styleId="Tablefin">
    <w:name w:val="Table_fin"/>
    <w:basedOn w:val="a"/>
    <w:rsid w:val="00293BAF"/>
    <w:pPr>
      <w:tabs>
        <w:tab w:val="left" w:pos="1134"/>
        <w:tab w:val="left" w:pos="1871"/>
        <w:tab w:val="left" w:pos="2268"/>
      </w:tabs>
      <w:overflowPunct w:val="0"/>
      <w:snapToGrid/>
      <w:spacing w:after="0"/>
      <w:jc w:val="left"/>
      <w:textAlignment w:val="baseline"/>
    </w:pPr>
    <w:rPr>
      <w:rFonts w:eastAsiaTheme="minorEastAsia"/>
      <w:sz w:val="20"/>
      <w:szCs w:val="20"/>
      <w:lang w:eastAsia="ja-JP"/>
    </w:rPr>
  </w:style>
  <w:style w:type="paragraph" w:customStyle="1" w:styleId="Note">
    <w:name w:val="Note"/>
    <w:basedOn w:val="a"/>
    <w:next w:val="a"/>
    <w:link w:val="NoteChar"/>
    <w:qFormat/>
    <w:rsid w:val="00293BAF"/>
    <w:pPr>
      <w:tabs>
        <w:tab w:val="left" w:pos="284"/>
        <w:tab w:val="left" w:pos="1134"/>
        <w:tab w:val="left" w:pos="1871"/>
        <w:tab w:val="left" w:pos="2268"/>
      </w:tabs>
      <w:overflowPunct w:val="0"/>
      <w:snapToGrid/>
      <w:spacing w:before="80" w:after="0"/>
      <w:jc w:val="left"/>
      <w:textAlignment w:val="baseline"/>
    </w:pPr>
    <w:rPr>
      <w:rFonts w:eastAsiaTheme="minorEastAsia"/>
      <w:szCs w:val="20"/>
      <w:lang w:val="en-GB"/>
    </w:rPr>
  </w:style>
  <w:style w:type="character" w:customStyle="1" w:styleId="NoteChar">
    <w:name w:val="Note Char"/>
    <w:basedOn w:val="a0"/>
    <w:link w:val="Note"/>
    <w:locked/>
    <w:rsid w:val="00293BAF"/>
    <w:rPr>
      <w:rFonts w:eastAsiaTheme="minorEastAsia"/>
      <w:sz w:val="22"/>
      <w:lang w:val="en-GB" w:eastAsia="en-US"/>
    </w:rPr>
  </w:style>
  <w:style w:type="paragraph" w:customStyle="1" w:styleId="EQ">
    <w:name w:val="EQ"/>
    <w:basedOn w:val="a"/>
    <w:next w:val="a"/>
    <w:qFormat/>
    <w:rsid w:val="00EA0F00"/>
    <w:pPr>
      <w:keepLines/>
      <w:tabs>
        <w:tab w:val="center" w:pos="4536"/>
        <w:tab w:val="right" w:pos="9072"/>
      </w:tabs>
      <w:overflowPunct w:val="0"/>
      <w:snapToGrid/>
      <w:spacing w:after="180"/>
      <w:jc w:val="left"/>
      <w:textAlignment w:val="baseline"/>
    </w:pPr>
    <w:rPr>
      <w:rFonts w:eastAsiaTheme="minorEastAsia"/>
      <w:noProof/>
      <w:sz w:val="20"/>
      <w:szCs w:val="20"/>
      <w:lang w:val="en-GB" w:eastAsia="en-JM"/>
    </w:rPr>
  </w:style>
  <w:style w:type="character" w:styleId="af1">
    <w:name w:val="Placeholder Text"/>
    <w:basedOn w:val="a0"/>
    <w:uiPriority w:val="99"/>
    <w:semiHidden/>
    <w:rsid w:val="00CF19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1.w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png"/><Relationship Id="rId20" Type="http://schemas.openxmlformats.org/officeDocument/2006/relationships/image" Target="media/image7.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60DDC-B345-45A2-8F62-DF4A52699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2092</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2007-06-18T09:08:00Z</cp:lastPrinted>
  <dcterms:created xsi:type="dcterms:W3CDTF">2018-02-14T09:46:00Z</dcterms:created>
  <dcterms:modified xsi:type="dcterms:W3CDTF">2018-02-17T03:29:00Z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(3)QHx+lBrobpw+y1DE3E7l0hfWYCJlhNXdmPsJa634tKwG6e3zvH7zAXhe+MWLY9yftQh5+pTi
NO/WNMbA7zGTTgQKucxwfqQ40yECFgjQAZrLVl47owOZuBOBNHyuFPhnax/yp34fDCp/vtXy
aT3hQRoezGuHFxrWFrOe+VTRHn2WsWDjVd+QuDpiMx+tgtCQoTGkgI2lPTAgs7GZ4PGnBmPD
ZR5e53iTlRiD2LSOkx</vt:lpwstr>
  </property>
  <property fmtid="{D5CDD505-2E9C-101B-9397-08002B2CF9AE}" pid="13" name="_2015_ms_pID_725343_00">
    <vt:lpwstr>_2015_ms_pID_725343</vt:lpwstr>
  </property>
  <property fmtid="{D5CDD505-2E9C-101B-9397-08002B2CF9AE}" pid="14" name="_2015_ms_pID_7253431">
    <vt:lpwstr>YlgV7nbd3HCrIQJ4MiIH+CfsS2t05cQlGPyG262zoccgdtX7LY6QKp
3R9/QD4x9Ch+iMBM7eMANFFDBVHJQYXC0wW4PrgTVM3+kNdDqFNYXYRgKLM2Xrbguo5xX+uS
EWgitPdAWwLcTL3dH6CJwdMi0iZLRzlJT55NidG9kJwphM/17o3JL9och6lOX+INA6i2on56
dj6PDEKfrEmZO+7BdE2zX6BopurksdXnSrf/</vt:lpwstr>
  </property>
  <property fmtid="{D5CDD505-2E9C-101B-9397-08002B2CF9AE}" pid="15" name="_2015_ms_pID_7253431_00">
    <vt:lpwstr>_2015_ms_pID_7253431</vt:lpwstr>
  </property>
  <property fmtid="{D5CDD505-2E9C-101B-9397-08002B2CF9AE}" pid="16" name="_2015_ms_pID_7253432">
    <vt:lpwstr>jUNjvjNvwb4bMYUd7DlhF9TBb0EaSKMInXzh
J55Ur3GmVB1/SFezu+bJdAe72iTCmw==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1518803700</vt:lpwstr>
  </property>
</Properties>
</file>