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1A0B1E">
        <w:rPr>
          <w:rFonts w:ascii="Arial" w:hAnsi="Arial" w:cs="Arial"/>
          <w:b/>
          <w:bCs/>
          <w:sz w:val="22"/>
        </w:rPr>
        <w:t>#92</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100ACC" w:rsidRPr="00100ACC">
        <w:rPr>
          <w:rFonts w:ascii="Arial" w:hAnsi="Arial" w:cs="Arial"/>
          <w:b/>
          <w:bCs/>
          <w:sz w:val="22"/>
        </w:rPr>
        <w:t>R1-1</w:t>
      </w:r>
      <w:r w:rsidR="004D2EC3">
        <w:rPr>
          <w:rFonts w:ascii="Arial" w:hAnsi="Arial" w:cs="Arial"/>
          <w:b/>
          <w:bCs/>
          <w:sz w:val="22"/>
        </w:rPr>
        <w:t>8</w:t>
      </w:r>
      <w:r w:rsidR="00001239">
        <w:rPr>
          <w:rFonts w:ascii="Arial" w:hAnsi="Arial" w:cs="Arial"/>
          <w:b/>
          <w:bCs/>
          <w:sz w:val="22"/>
        </w:rPr>
        <w:t>01656</w:t>
      </w:r>
    </w:p>
    <w:p w:rsidR="004607C3" w:rsidRDefault="001A0B1E">
      <w:pPr>
        <w:pStyle w:val="Header"/>
        <w:tabs>
          <w:tab w:val="clear" w:pos="8306"/>
          <w:tab w:val="right" w:pos="9639"/>
        </w:tabs>
        <w:rPr>
          <w:rFonts w:ascii="Arial" w:hAnsi="Arial" w:cs="Arial"/>
          <w:b/>
          <w:bCs/>
          <w:sz w:val="22"/>
        </w:rPr>
      </w:pPr>
      <w:r>
        <w:rPr>
          <w:rFonts w:ascii="Arial" w:hAnsi="Arial" w:cs="Arial"/>
          <w:b/>
          <w:bCs/>
          <w:sz w:val="22"/>
        </w:rPr>
        <w:t>Athens</w:t>
      </w:r>
      <w:r w:rsidR="004D2EC3" w:rsidRPr="004D2EC3">
        <w:rPr>
          <w:rFonts w:ascii="Arial" w:hAnsi="Arial" w:cs="Arial"/>
          <w:b/>
          <w:bCs/>
          <w:sz w:val="22"/>
        </w:rPr>
        <w:t xml:space="preserve">, </w:t>
      </w:r>
      <w:r>
        <w:rPr>
          <w:rFonts w:ascii="Arial" w:hAnsi="Arial" w:cs="Arial"/>
          <w:b/>
          <w:bCs/>
          <w:sz w:val="22"/>
          <w:lang w:val="en-GB"/>
        </w:rPr>
        <w:t>Greece</w:t>
      </w:r>
      <w:r w:rsidR="004D2EC3" w:rsidRPr="004D2EC3">
        <w:rPr>
          <w:rFonts w:ascii="Arial" w:hAnsi="Arial" w:cs="Arial"/>
          <w:b/>
          <w:bCs/>
          <w:sz w:val="22"/>
        </w:rPr>
        <w:t xml:space="preserve">, </w:t>
      </w:r>
      <w:r>
        <w:rPr>
          <w:rFonts w:ascii="Arial" w:hAnsi="Arial" w:cs="Arial"/>
          <w:b/>
          <w:bCs/>
          <w:sz w:val="22"/>
        </w:rPr>
        <w:t>February</w:t>
      </w:r>
      <w:r w:rsidR="004D2EC3" w:rsidRPr="004D2EC3">
        <w:rPr>
          <w:rFonts w:ascii="Arial" w:hAnsi="Arial" w:cs="Arial"/>
          <w:b/>
          <w:bCs/>
          <w:sz w:val="22"/>
        </w:rPr>
        <w:t xml:space="preserve"> 2</w:t>
      </w:r>
      <w:r>
        <w:rPr>
          <w:rFonts w:ascii="Arial" w:hAnsi="Arial" w:cs="Arial"/>
          <w:b/>
          <w:bCs/>
          <w:sz w:val="22"/>
        </w:rPr>
        <w:t>6th</w:t>
      </w:r>
      <w:r w:rsidR="004D2EC3" w:rsidRPr="004D2EC3">
        <w:rPr>
          <w:rFonts w:ascii="Arial" w:hAnsi="Arial" w:cs="Arial"/>
          <w:b/>
          <w:bCs/>
          <w:sz w:val="22"/>
        </w:rPr>
        <w:t xml:space="preserve"> – </w:t>
      </w:r>
      <w:r>
        <w:rPr>
          <w:rFonts w:ascii="Arial" w:hAnsi="Arial" w:cs="Arial"/>
          <w:b/>
          <w:bCs/>
          <w:sz w:val="22"/>
        </w:rPr>
        <w:t>March 2nd</w:t>
      </w:r>
      <w:r w:rsidR="004D2EC3" w:rsidRPr="004D2EC3">
        <w:rPr>
          <w:rFonts w:ascii="Arial" w:hAnsi="Arial" w:cs="Arial"/>
          <w:b/>
          <w:bCs/>
          <w:sz w:val="22"/>
        </w:rPr>
        <w:t>, 2018</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1A0B1E">
        <w:rPr>
          <w:rFonts w:ascii="Arial" w:hAnsi="Arial" w:cs="Arial"/>
        </w:rPr>
        <w:t>7.6</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C2677C">
        <w:rPr>
          <w:rFonts w:ascii="Arial" w:hAnsi="Arial" w:cs="Arial"/>
          <w:b/>
        </w:rPr>
        <w:t>Considerations on NR Unlicensed Channel A</w:t>
      </w:r>
      <w:r w:rsidR="00C2677C" w:rsidRPr="00C2677C">
        <w:rPr>
          <w:rFonts w:ascii="Arial" w:hAnsi="Arial" w:cs="Arial"/>
          <w:b/>
        </w:rPr>
        <w:t>ccess</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823FE1">
      <w:pPr>
        <w:pStyle w:val="Heading1"/>
        <w:numPr>
          <w:ilvl w:val="0"/>
          <w:numId w:val="5"/>
        </w:numPr>
        <w:spacing w:after="120"/>
        <w:ind w:right="288"/>
      </w:pPr>
      <w:r>
        <w:t>Introduction</w:t>
      </w:r>
    </w:p>
    <w:p w:rsidR="00DE2A83" w:rsidRDefault="00DE2A83" w:rsidP="00F853B3">
      <w:r>
        <w:t xml:space="preserve">This contribution is a </w:t>
      </w:r>
      <w:r w:rsidR="0045256C">
        <w:t>revision</w:t>
      </w:r>
      <w:r>
        <w:t xml:space="preserve"> of R1-1</w:t>
      </w:r>
      <w:r w:rsidR="0045256C">
        <w:t>800154</w:t>
      </w:r>
      <w:r>
        <w:t xml:space="preserve">. </w:t>
      </w:r>
    </w:p>
    <w:p w:rsidR="00F853B3" w:rsidRDefault="005C4F36" w:rsidP="00F853B3">
      <w:r>
        <w:t xml:space="preserve">A study item proposal on </w:t>
      </w:r>
      <w:r w:rsidRPr="005C4F36">
        <w:t>NR-based Access to Unlicensed Spectrum</w:t>
      </w:r>
      <w:r w:rsidR="004B1775">
        <w:t xml:space="preserve"> </w:t>
      </w:r>
      <w:r w:rsidR="004B1775">
        <w:fldChar w:fldCharType="begin"/>
      </w:r>
      <w:r w:rsidR="004B1775">
        <w:instrText xml:space="preserve"> REF _Ref498453616 \w \h </w:instrText>
      </w:r>
      <w:r w:rsidR="004B1775">
        <w:fldChar w:fldCharType="separate"/>
      </w:r>
      <w:r w:rsidR="0048132D">
        <w:t>[1]</w:t>
      </w:r>
      <w:r w:rsidR="004B1775">
        <w:fldChar w:fldCharType="end"/>
      </w:r>
      <w:r w:rsidRPr="005C4F36">
        <w:t xml:space="preserve"> </w:t>
      </w:r>
      <w:r>
        <w:t>was approved in RAN-75 in March, 2017. In the meantime, works on NR licensed access and further enhancement</w:t>
      </w:r>
      <w:r w:rsidR="004B1775">
        <w:t>s</w:t>
      </w:r>
      <w:r>
        <w:t xml:space="preserve"> </w:t>
      </w:r>
      <w:r w:rsidR="004B1775" w:rsidRPr="004B1775">
        <w:t>to LTE operation in unlicensed spectrum</w:t>
      </w:r>
      <w:r>
        <w:t xml:space="preserve"> </w:t>
      </w:r>
      <w:r w:rsidR="004B1775">
        <w:fldChar w:fldCharType="begin"/>
      </w:r>
      <w:r w:rsidR="004B1775">
        <w:instrText xml:space="preserve"> REF _Ref498453631 \w \h </w:instrText>
      </w:r>
      <w:r w:rsidR="004B1775">
        <w:fldChar w:fldCharType="separate"/>
      </w:r>
      <w:r w:rsidR="0048132D">
        <w:t>[2]</w:t>
      </w:r>
      <w:r w:rsidR="004B1775">
        <w:fldChar w:fldCharType="end"/>
      </w:r>
      <w:r w:rsidR="004B1775">
        <w:t xml:space="preserve"> have started. The study on </w:t>
      </w:r>
      <w:r w:rsidR="004B1775" w:rsidRPr="004B1775">
        <w:t>NR-based Access to Unlicensed Spectrum</w:t>
      </w:r>
      <w:r w:rsidR="004B1775">
        <w:t xml:space="preserve"> is expected to start in early 2018, by which time the first phase of NR licensed work will be nearing its end. It is natural to </w:t>
      </w:r>
      <w:r w:rsidR="00F853B3">
        <w:t>exploit the new features introduced in NR and leverage LAA/eLAA and their continuing enhancement when designing NR unlicensed access.</w:t>
      </w:r>
    </w:p>
    <w:p w:rsidR="004E01EA" w:rsidRPr="00F853B3" w:rsidRDefault="00F853B3" w:rsidP="00584C38">
      <w:r>
        <w:t xml:space="preserve">In this contribution, we </w:t>
      </w:r>
      <w:r w:rsidR="004B1775">
        <w:t xml:space="preserve">take </w:t>
      </w:r>
      <w:r>
        <w:t xml:space="preserve">a high level survey of current NR features in licensed spectrum that may have impact on unlicensed operation, </w:t>
      </w:r>
      <w:r>
        <w:rPr>
          <w:rFonts w:eastAsia="SimSun"/>
          <w:lang w:eastAsia="zh-CN"/>
        </w:rPr>
        <w:t>w</w:t>
      </w:r>
      <w:r w:rsidR="004B1775">
        <w:rPr>
          <w:rFonts w:eastAsia="SimSun"/>
          <w:lang w:eastAsia="zh-CN"/>
        </w:rPr>
        <w:t>ith a focus on c</w:t>
      </w:r>
      <w:r w:rsidR="005C4F36">
        <w:rPr>
          <w:rFonts w:eastAsia="SimSun"/>
          <w:lang w:eastAsia="zh-CN"/>
        </w:rPr>
        <w:t>hannel access mechanism</w:t>
      </w:r>
      <w:r w:rsidR="00564E38">
        <w:rPr>
          <w:rFonts w:eastAsia="SimSun"/>
          <w:lang w:eastAsia="zh-CN"/>
        </w:rPr>
        <w:t xml:space="preserve"> since it </w:t>
      </w:r>
      <w:r w:rsidR="004B1775">
        <w:rPr>
          <w:rFonts w:eastAsia="SimSun"/>
          <w:lang w:eastAsia="zh-CN"/>
        </w:rPr>
        <w:t xml:space="preserve">is crucial to the efficient </w:t>
      </w:r>
      <w:r w:rsidR="005C4F36">
        <w:rPr>
          <w:rFonts w:eastAsia="SimSun"/>
          <w:lang w:eastAsia="zh-CN"/>
        </w:rPr>
        <w:t xml:space="preserve">utilization </w:t>
      </w:r>
      <w:r w:rsidR="004B1775">
        <w:rPr>
          <w:rFonts w:eastAsia="SimSun"/>
          <w:lang w:eastAsia="zh-CN"/>
        </w:rPr>
        <w:t>of the unlicensed spectrum.</w:t>
      </w:r>
      <w:r>
        <w:rPr>
          <w:rFonts w:eastAsia="SimSun"/>
          <w:lang w:eastAsia="zh-CN"/>
        </w:rPr>
        <w:t xml:space="preserve"> In addition, we also identify a few </w:t>
      </w:r>
      <w:r w:rsidR="00FE273A">
        <w:rPr>
          <w:rFonts w:eastAsia="SimSun"/>
          <w:lang w:eastAsia="zh-CN"/>
        </w:rPr>
        <w:t>areas</w:t>
      </w:r>
      <w:r w:rsidR="00322050">
        <w:rPr>
          <w:rFonts w:eastAsia="SimSun"/>
          <w:lang w:eastAsia="zh-CN"/>
        </w:rPr>
        <w:t xml:space="preserve"> in LAA/eLAA </w:t>
      </w:r>
      <w:r>
        <w:rPr>
          <w:rFonts w:eastAsia="SimSun"/>
          <w:lang w:eastAsia="zh-CN"/>
        </w:rPr>
        <w:t xml:space="preserve">that </w:t>
      </w:r>
      <w:r w:rsidR="00592106">
        <w:rPr>
          <w:rFonts w:eastAsia="SimSun"/>
          <w:lang w:eastAsia="zh-CN"/>
        </w:rPr>
        <w:t xml:space="preserve">have room for </w:t>
      </w:r>
      <w:r w:rsidR="00FE273A">
        <w:rPr>
          <w:rFonts w:eastAsia="SimSun"/>
          <w:lang w:eastAsia="zh-CN"/>
        </w:rPr>
        <w:t xml:space="preserve">further </w:t>
      </w:r>
      <w:r w:rsidR="00322050">
        <w:rPr>
          <w:rFonts w:eastAsia="SimSun"/>
          <w:lang w:eastAsia="zh-CN"/>
        </w:rPr>
        <w:t>enhancement</w:t>
      </w:r>
      <w:r w:rsidR="00592106">
        <w:rPr>
          <w:rFonts w:eastAsia="SimSun"/>
          <w:lang w:eastAsia="zh-CN"/>
        </w:rPr>
        <w:t>.</w:t>
      </w:r>
    </w:p>
    <w:p w:rsidR="00385B7E" w:rsidRDefault="004B1775" w:rsidP="00C91077">
      <w:pPr>
        <w:pStyle w:val="Heading1"/>
        <w:numPr>
          <w:ilvl w:val="0"/>
          <w:numId w:val="5"/>
        </w:numPr>
        <w:spacing w:after="120"/>
        <w:ind w:right="288"/>
      </w:pPr>
      <w:r>
        <w:t>New Features in NR</w:t>
      </w:r>
      <w:r w:rsidR="0062587D">
        <w:t xml:space="preserve"> with Impact o</w:t>
      </w:r>
      <w:r w:rsidR="0050174D">
        <w:t>n Access to Unlicensed Spectrum</w:t>
      </w:r>
    </w:p>
    <w:p w:rsidR="00592106" w:rsidRDefault="00592106" w:rsidP="00592106">
      <w:pPr>
        <w:pStyle w:val="Heading2"/>
        <w:numPr>
          <w:ilvl w:val="1"/>
          <w:numId w:val="5"/>
        </w:numPr>
        <w:ind w:right="864"/>
      </w:pPr>
      <w:r>
        <w:t>Flexible Frame Structure</w:t>
      </w:r>
      <w:r w:rsidR="00322050">
        <w:t xml:space="preserve"> and Feedback Timing</w:t>
      </w:r>
    </w:p>
    <w:p w:rsidR="00592106" w:rsidRDefault="00322050" w:rsidP="00592106">
      <w:r>
        <w:t xml:space="preserve">NR introduces very flexible frame structure with </w:t>
      </w:r>
      <w:r w:rsidR="00592106">
        <w:t>DL only, UL only and bi-directional slot format</w:t>
      </w:r>
      <w:r>
        <w:t>s</w:t>
      </w:r>
      <w:r w:rsidR="00592106">
        <w:t xml:space="preserve">. </w:t>
      </w:r>
      <w:r w:rsidR="00B17F9C">
        <w:t>The PDSCH resource allocation is also very flexible and can start in almost every symbol in a slot. Multi</w:t>
      </w:r>
      <w:r w:rsidR="00592106">
        <w:t>-slot scheduling</w:t>
      </w:r>
      <w:r w:rsidR="004D56D8">
        <w:t xml:space="preserve"> is also possible</w:t>
      </w:r>
      <w:r w:rsidR="00592106">
        <w:t>,</w:t>
      </w:r>
      <w:r w:rsidR="00B17F9C">
        <w:t xml:space="preserve"> </w:t>
      </w:r>
      <w:r w:rsidR="004D56D8">
        <w:t xml:space="preserve">as in LAA/eLAA. The HARQ feedback timing can be dynamically indicated. </w:t>
      </w:r>
      <w:r w:rsidR="00B17F9C">
        <w:t>These new changes all pave the way for NR to be adapted to operate in unlicensed spectrum.</w:t>
      </w:r>
      <w:r w:rsidR="00592106">
        <w:t xml:space="preserve">  </w:t>
      </w:r>
    </w:p>
    <w:p w:rsidR="00681EA2" w:rsidRDefault="0031308F" w:rsidP="00681EA2">
      <w:pPr>
        <w:pStyle w:val="Heading2"/>
        <w:numPr>
          <w:ilvl w:val="1"/>
          <w:numId w:val="5"/>
        </w:numPr>
        <w:ind w:right="864"/>
      </w:pPr>
      <w:r>
        <w:t>Flexible</w:t>
      </w:r>
      <w:r w:rsidR="00B6298D">
        <w:t xml:space="preserve"> </w:t>
      </w:r>
      <w:r w:rsidR="00681EA2">
        <w:t>Subcarrier Spacing and Bandwidth Part</w:t>
      </w:r>
    </w:p>
    <w:p w:rsidR="000773DA" w:rsidRDefault="00513927" w:rsidP="00681EA2">
      <w:r>
        <w:t>As compared to LTE, NR supports larger subcarrier spacing</w:t>
      </w:r>
      <w:r w:rsidR="001601AD">
        <w:t xml:space="preserve"> (up to 240 KHz)</w:t>
      </w:r>
      <w:r>
        <w:t xml:space="preserve">, depending on the operation bands. </w:t>
      </w:r>
      <w:r w:rsidR="000773DA">
        <w:t>When configured with larger subcarrier spacing (e.g., 60</w:t>
      </w:r>
      <w:r w:rsidR="004C00AD">
        <w:t xml:space="preserve"> </w:t>
      </w:r>
      <w:r w:rsidR="000773DA">
        <w:t xml:space="preserve">KHz), the corresponding OFDM symbol has a shorter symbol duration, and its CP </w:t>
      </w:r>
      <w:r w:rsidR="00A145AC">
        <w:t>length</w:t>
      </w:r>
      <w:r w:rsidR="000773DA">
        <w:t xml:space="preserve"> is also reduced.</w:t>
      </w:r>
      <w:r w:rsidR="008D61F1">
        <w:t xml:space="preserve"> Due to relatively small cell radius, </w:t>
      </w:r>
      <w:r w:rsidR="004C00AD">
        <w:t>legacy LTE CP length (4.7 us, corresponding to 15 KHz subcarrier spacing) is excessively long</w:t>
      </w:r>
      <w:r w:rsidR="004D44EA">
        <w:t xml:space="preserve"> for NR unlicensed deployment. With a larger subcarrier spacing (and hence, shorter CP </w:t>
      </w:r>
      <w:r w:rsidR="00A145AC">
        <w:t>length</w:t>
      </w:r>
      <w:r w:rsidR="004D44EA">
        <w:t xml:space="preserve">), we could achieve significant overhead reduction without performance compromises. </w:t>
      </w:r>
      <w:r w:rsidR="007177D7">
        <w:t>In general,</w:t>
      </w:r>
      <w:r w:rsidR="00A145AC">
        <w:t xml:space="preserve"> </w:t>
      </w:r>
      <w:r w:rsidR="007177D7">
        <w:t>s</w:t>
      </w:r>
      <w:r w:rsidR="004D44EA">
        <w:t xml:space="preserve">horter OFDM symbol </w:t>
      </w:r>
      <w:r w:rsidR="007177D7">
        <w:t>would</w:t>
      </w:r>
      <w:r w:rsidR="004D44EA">
        <w:t xml:space="preserve"> </w:t>
      </w:r>
      <w:r w:rsidR="007177D7">
        <w:t xml:space="preserve">also </w:t>
      </w:r>
      <w:r w:rsidR="004D44EA">
        <w:t>allow more efficient resource utilization</w:t>
      </w:r>
      <w:r w:rsidR="007177D7">
        <w:t xml:space="preserve"> for NR unlicensed system.</w:t>
      </w:r>
    </w:p>
    <w:p w:rsidR="0031308F" w:rsidRPr="00592106" w:rsidRDefault="0031308F" w:rsidP="00681EA2">
      <w:r>
        <w:t xml:space="preserve">Bandwidth Part (BWP) is another new NR feature that could see extensive usage in NR unlicensed system. </w:t>
      </w:r>
      <w:r w:rsidR="004A5716">
        <w:t xml:space="preserve">Specifically, since the availability of </w:t>
      </w:r>
      <w:r w:rsidR="001D2C74">
        <w:t xml:space="preserve">each </w:t>
      </w:r>
      <w:r w:rsidR="004A5716">
        <w:t>channel (at a given time instance) in the unlicensed band is highly dynamic, allowing UEs to dynamically switch between channels for both DL reception and UL transmission could potentially increase the overall efficiency.</w:t>
      </w:r>
    </w:p>
    <w:p w:rsidR="00592106" w:rsidRDefault="0050174D" w:rsidP="00592106">
      <w:pPr>
        <w:pStyle w:val="Heading2"/>
        <w:numPr>
          <w:ilvl w:val="1"/>
          <w:numId w:val="5"/>
        </w:numPr>
        <w:ind w:right="864"/>
      </w:pPr>
      <w:r>
        <w:t xml:space="preserve">Beam Management for </w:t>
      </w:r>
      <w:r w:rsidR="00592106">
        <w:t>Highly Directional Beams</w:t>
      </w:r>
    </w:p>
    <w:p w:rsidR="00592106" w:rsidRPr="00592106" w:rsidRDefault="0050174D" w:rsidP="00592106">
      <w:r>
        <w:t>For NR operating in the millimeter wave bands, highly directional transmit and receive beams are required to compensate for the large path loss. Beam management is therefore introduced to maintain the robustness of the directional links that are very sensitive to any deviation from the optimal direction</w:t>
      </w:r>
      <w:r w:rsidR="00592106">
        <w:t>.</w:t>
      </w:r>
      <w:r>
        <w:t xml:space="preserve"> For NR unlicensed access, particularly in the 60 GHz band, the applicability of the suite of the beam management procedures needs to be carefully examined. </w:t>
      </w:r>
      <w:r w:rsidR="00E50392">
        <w:t>In regions where regulation requires Listen Before Talk (LBT), the transmission of CSI-RS for beam management and the UE’s measurement report in response to the triggering of the report may not be as timely as in the case of licensed band. Any change to NR beam management required for it to work well in the unlicensed band should be studied.</w:t>
      </w:r>
    </w:p>
    <w:p w:rsidR="00592106" w:rsidRDefault="00194682" w:rsidP="00592106">
      <w:pPr>
        <w:pStyle w:val="Heading2"/>
        <w:numPr>
          <w:ilvl w:val="1"/>
          <w:numId w:val="5"/>
        </w:numPr>
        <w:ind w:right="864"/>
      </w:pPr>
      <w:r>
        <w:t>Absence</w:t>
      </w:r>
      <w:r w:rsidR="00592106">
        <w:t xml:space="preserve"> of CRS</w:t>
      </w:r>
    </w:p>
    <w:p w:rsidR="002309F0" w:rsidRDefault="00B52E20" w:rsidP="00592106">
      <w:r>
        <w:t xml:space="preserve">One of the key design principles for NR is the reduction in the transmission of always-on signals to lower interference and power consumption and ensure forward compatibility. </w:t>
      </w:r>
      <w:r w:rsidR="00194682">
        <w:t xml:space="preserve">Many of the functionalities originally provided by the Common Reference Signal (CRS) are now replaced by new dynamically configured reference signals. </w:t>
      </w:r>
      <w:r w:rsidR="00592106">
        <w:t>The</w:t>
      </w:r>
      <w:r w:rsidR="00194682">
        <w:t xml:space="preserve"> CRS in LAA/eLAA can </w:t>
      </w:r>
      <w:r w:rsidR="00194682">
        <w:lastRenderedPageBreak/>
        <w:t>potentially be used by the UE to detect the presence of</w:t>
      </w:r>
      <w:r w:rsidR="00592106">
        <w:t xml:space="preserve"> DL transmission </w:t>
      </w:r>
      <w:r w:rsidR="00194682">
        <w:t xml:space="preserve">and </w:t>
      </w:r>
      <w:r w:rsidR="002309F0">
        <w:t>thus avoid constant attempt</w:t>
      </w:r>
      <w:r w:rsidR="002E4747">
        <w:t>s</w:t>
      </w:r>
      <w:r w:rsidR="002309F0">
        <w:t xml:space="preserve"> to decode PDCCH. In the absence of CRS, a UE operating in NR unlicensed spectrum may not be able to find a replacement that provides similar detection accuracy as CRS.</w:t>
      </w:r>
    </w:p>
    <w:p w:rsidR="00592106" w:rsidRDefault="002309F0" w:rsidP="00C91077">
      <w:r>
        <w:t>Moreover, the time frequency synchronization of UE to the network may be degraded due to the removal of CRS. This is most severe to the frequency tracking in the reception of very short slots. The remedy in NR is the introduction of Tracking Reference Signal (TRS)</w:t>
      </w:r>
      <w:r w:rsidR="0062587D">
        <w:t xml:space="preserve">. </w:t>
      </w:r>
      <w:r>
        <w:t>If</w:t>
      </w:r>
      <w:r w:rsidR="0062587D">
        <w:t xml:space="preserve"> TRS</w:t>
      </w:r>
      <w:r>
        <w:t xml:space="preserve"> is also adopted in NR unlicensed spectrum, its transmission will also be subject to LBT and may therefore be sporadic and unreliable</w:t>
      </w:r>
      <w:r w:rsidR="0062587D">
        <w:t>.</w:t>
      </w:r>
    </w:p>
    <w:p w:rsidR="00D72ED8" w:rsidRDefault="0062587D" w:rsidP="00D72ED8">
      <w:pPr>
        <w:pStyle w:val="Heading1"/>
        <w:numPr>
          <w:ilvl w:val="0"/>
          <w:numId w:val="5"/>
        </w:numPr>
        <w:spacing w:after="120"/>
        <w:ind w:right="288"/>
      </w:pPr>
      <w:r>
        <w:t xml:space="preserve">Areas in </w:t>
      </w:r>
      <w:r w:rsidR="00592106">
        <w:t xml:space="preserve">LAA/eLAA </w:t>
      </w:r>
      <w:r>
        <w:t>to be Further Enhanced</w:t>
      </w:r>
    </w:p>
    <w:p w:rsidR="00592106" w:rsidRDefault="00592106" w:rsidP="00AE245E">
      <w:pPr>
        <w:pStyle w:val="Heading2"/>
        <w:numPr>
          <w:ilvl w:val="1"/>
          <w:numId w:val="5"/>
        </w:numPr>
        <w:ind w:right="864"/>
      </w:pPr>
      <w:bookmarkStart w:id="0" w:name="_Ref498691681"/>
      <w:bookmarkStart w:id="1" w:name="_Ref494794648"/>
      <w:r>
        <w:t>Intra-RAT Frequency Reuse</w:t>
      </w:r>
      <w:bookmarkEnd w:id="0"/>
    </w:p>
    <w:p w:rsidR="00592106" w:rsidRDefault="00592106" w:rsidP="00592106">
      <w:r>
        <w:t xml:space="preserve">Modern cellular network in licensed spectrum uses reuse-1 deployment and </w:t>
      </w:r>
      <w:r w:rsidR="0055114D">
        <w:t>adaptive</w:t>
      </w:r>
      <w:r>
        <w:t xml:space="preserve"> rate control to mitigate</w:t>
      </w:r>
      <w:r w:rsidR="00455435">
        <w:t xml:space="preserve"> co-channel </w:t>
      </w:r>
      <w:r>
        <w:t xml:space="preserve">inter-cell interference. Unlicensed access can adopt similar principle within the same </w:t>
      </w:r>
      <w:r w:rsidR="00455435">
        <w:t>Radio Access Technology (</w:t>
      </w:r>
      <w:r>
        <w:t>RAT</w:t>
      </w:r>
      <w:r w:rsidR="00455435">
        <w:t>)</w:t>
      </w:r>
      <w:r>
        <w:t xml:space="preserve">, or at least </w:t>
      </w:r>
      <w:r w:rsidR="00455435">
        <w:t xml:space="preserve">in </w:t>
      </w:r>
      <w:r>
        <w:t>the same RAT deployed by the same operator.</w:t>
      </w:r>
      <w:r w:rsidR="00455435" w:rsidRPr="00455435">
        <w:t xml:space="preserve"> </w:t>
      </w:r>
      <w:r w:rsidR="00455435">
        <w:t>Uncoordinated LBT operation among different nodes of the same RAT in the same network results in unnecessary blocking of one anothe</w:t>
      </w:r>
      <w:r w:rsidR="00B0107B">
        <w:t>r and thus lower efficiency.</w:t>
      </w:r>
      <w:r w:rsidR="00CB7E36">
        <w:t xml:space="preserve"> </w:t>
      </w:r>
      <w:r w:rsidR="000C5611">
        <w:t>In other words, c</w:t>
      </w:r>
      <w:r w:rsidR="00CB7E36">
        <w:t>oordination between bases stations (BS) of the same operator could potentially improves LBT efficiency.</w:t>
      </w:r>
      <w:r w:rsidR="00F20869">
        <w:t xml:space="preserve"> </w:t>
      </w:r>
      <w:r w:rsidR="00B2242E">
        <w:fldChar w:fldCharType="begin"/>
      </w:r>
      <w:r w:rsidR="00B2242E">
        <w:instrText xml:space="preserve"> REF _Ref506303544 \h </w:instrText>
      </w:r>
      <w:r w:rsidR="00B2242E">
        <w:fldChar w:fldCharType="separate"/>
      </w:r>
      <w:r w:rsidR="00B2242E">
        <w:t xml:space="preserve">Figure </w:t>
      </w:r>
      <w:r w:rsidR="00B2242E">
        <w:rPr>
          <w:noProof/>
        </w:rPr>
        <w:t>1</w:t>
      </w:r>
      <w:r w:rsidR="00B2242E">
        <w:fldChar w:fldCharType="end"/>
      </w:r>
      <w:r w:rsidR="00B2242E">
        <w:t xml:space="preserve"> shows the performance comparison </w:t>
      </w:r>
      <w:r w:rsidR="00CB7E36">
        <w:t>between systems with and without reuse-1 BS coordination under a downlink dominant scenario</w:t>
      </w:r>
      <w:r w:rsidR="00864E4A">
        <w:t xml:space="preserve"> (see Appendix for detailed evaluation assumptions)</w:t>
      </w:r>
      <w:r w:rsidR="00CB7E36">
        <w:t xml:space="preserve">. As can be seen from the figure, LBT with reuse-1 coordination between BS leads to noticeable UPT gain and lower latency. </w:t>
      </w:r>
    </w:p>
    <w:p w:rsidR="003F1D19" w:rsidRDefault="00B15770" w:rsidP="003F1D19">
      <w:pPr>
        <w:jc w:val="center"/>
      </w:pPr>
      <w:r>
        <w:rPr>
          <w:noProof/>
          <w:lang w:eastAsia="zh-TW"/>
        </w:rPr>
        <w:drawing>
          <wp:inline distT="0" distB="0" distL="0" distR="0" wp14:anchorId="3FEBCB8E">
            <wp:extent cx="6236208" cy="27706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36208" cy="2770632"/>
                    </a:xfrm>
                    <a:prstGeom prst="rect">
                      <a:avLst/>
                    </a:prstGeom>
                    <a:noFill/>
                  </pic:spPr>
                </pic:pic>
              </a:graphicData>
            </a:graphic>
          </wp:inline>
        </w:drawing>
      </w:r>
    </w:p>
    <w:p w:rsidR="003F1D19" w:rsidRDefault="003F1D19" w:rsidP="00B2242E">
      <w:pPr>
        <w:pStyle w:val="Caption"/>
        <w:jc w:val="center"/>
      </w:pPr>
      <w:bookmarkStart w:id="2" w:name="_Ref506303544"/>
      <w:r>
        <w:t xml:space="preserve">Figure </w:t>
      </w:r>
      <w:r w:rsidR="006B1C90">
        <w:fldChar w:fldCharType="begin"/>
      </w:r>
      <w:r w:rsidR="006B1C90">
        <w:instrText xml:space="preserve"> SEQ Figure \* ARABIC </w:instrText>
      </w:r>
      <w:r w:rsidR="006B1C90">
        <w:fldChar w:fldCharType="separate"/>
      </w:r>
      <w:r>
        <w:rPr>
          <w:noProof/>
        </w:rPr>
        <w:t>1</w:t>
      </w:r>
      <w:r w:rsidR="006B1C90">
        <w:rPr>
          <w:noProof/>
        </w:rPr>
        <w:fldChar w:fldCharType="end"/>
      </w:r>
      <w:bookmarkEnd w:id="2"/>
      <w:r w:rsidR="00B2242E">
        <w:t xml:space="preserve">: </w:t>
      </w:r>
      <w:r w:rsidR="00CB7E36">
        <w:t>Performance comparison between systems with and without reuse-1 BS coordination.</w:t>
      </w:r>
      <w:r w:rsidR="00B2242E">
        <w:t xml:space="preserve"> </w:t>
      </w:r>
    </w:p>
    <w:p w:rsidR="00564E38" w:rsidRPr="00592106" w:rsidRDefault="00B0107B" w:rsidP="00592106">
      <w:r>
        <w:t>F</w:t>
      </w:r>
      <w:r w:rsidR="00564E38">
        <w:t xml:space="preserve">acilitating </w:t>
      </w:r>
      <w:r w:rsidR="00463C56">
        <w:t>tighter</w:t>
      </w:r>
      <w:r w:rsidR="00564E38">
        <w:t xml:space="preserve"> frequency reuse in unlicensed spectrum is of particular interest to the deployment in the</w:t>
      </w:r>
      <w:r>
        <w:t xml:space="preserve"> 3.5 GHz</w:t>
      </w:r>
      <w:r w:rsidR="00564E38">
        <w:t xml:space="preserve"> Citizens Broadband Radio Service (CBRS) band, in which tiered access rights are granted to </w:t>
      </w:r>
      <w:r w:rsidR="00D74800">
        <w:t xml:space="preserve">the fee-paying </w:t>
      </w:r>
      <w:r>
        <w:t>Priority A</w:t>
      </w:r>
      <w:r w:rsidR="008132F0">
        <w:t xml:space="preserve">ccess </w:t>
      </w:r>
      <w:r>
        <w:t>L</w:t>
      </w:r>
      <w:r w:rsidR="00D74800">
        <w:t xml:space="preserve">icensees </w:t>
      </w:r>
      <w:r>
        <w:t xml:space="preserve">(PAL) </w:t>
      </w:r>
      <w:r w:rsidR="008132F0">
        <w:t>as well as</w:t>
      </w:r>
      <w:r>
        <w:t xml:space="preserve"> General A</w:t>
      </w:r>
      <w:r w:rsidR="00D74800">
        <w:t xml:space="preserve">uthorized </w:t>
      </w:r>
      <w:r>
        <w:t xml:space="preserve">Access (GAA) </w:t>
      </w:r>
      <w:r w:rsidR="00D74800">
        <w:t xml:space="preserve">users. The former </w:t>
      </w:r>
      <w:r w:rsidR="00DA41AA">
        <w:t xml:space="preserve">has higher priority over the latter and </w:t>
      </w:r>
      <w:r w:rsidR="008132F0">
        <w:t>may deploy a network with</w:t>
      </w:r>
      <w:r w:rsidR="00D74800">
        <w:t xml:space="preserve"> </w:t>
      </w:r>
      <w:r w:rsidR="00463C56">
        <w:t>tighter frequency</w:t>
      </w:r>
      <w:r w:rsidR="00D74800">
        <w:t xml:space="preserve"> </w:t>
      </w:r>
      <w:r w:rsidR="00463C56">
        <w:t>reuse</w:t>
      </w:r>
      <w:r w:rsidR="00DA41AA">
        <w:t>.</w:t>
      </w:r>
      <w:r w:rsidR="008132F0">
        <w:t xml:space="preserve"> </w:t>
      </w:r>
      <w:r>
        <w:t>In the absence of the PAL and other GAA user, a GAA user may</w:t>
      </w:r>
      <w:r w:rsidR="00DA41AA">
        <w:t xml:space="preserve"> opportunistical</w:t>
      </w:r>
      <w:r w:rsidR="00463C56">
        <w:t>ly operate its network with tight</w:t>
      </w:r>
      <w:r w:rsidR="00DA41AA">
        <w:t>er reuse.</w:t>
      </w:r>
      <w:r>
        <w:t xml:space="preserve"> </w:t>
      </w:r>
    </w:p>
    <w:bookmarkEnd w:id="1"/>
    <w:p w:rsidR="0062587D" w:rsidRDefault="00B05597" w:rsidP="00AE245E">
      <w:pPr>
        <w:pStyle w:val="Heading2"/>
        <w:numPr>
          <w:ilvl w:val="1"/>
          <w:numId w:val="5"/>
        </w:numPr>
        <w:ind w:right="864"/>
      </w:pPr>
      <w:r>
        <w:t>Omni-directional Carrier Sensing</w:t>
      </w:r>
    </w:p>
    <w:p w:rsidR="004D56D8" w:rsidRDefault="00B133B6" w:rsidP="0062587D">
      <w:r>
        <w:t xml:space="preserve">LBT is a spectrum sharing mechanism that works across different RATs. However, it suffers </w:t>
      </w:r>
      <w:r w:rsidR="00CB4FD5">
        <w:t xml:space="preserve">from </w:t>
      </w:r>
      <w:r>
        <w:t xml:space="preserve">the hidden node and exposed node problems. </w:t>
      </w:r>
      <w:r w:rsidR="00B05597">
        <w:t xml:space="preserve">The well-known issues are due to the </w:t>
      </w:r>
      <w:r>
        <w:t xml:space="preserve">fact that </w:t>
      </w:r>
      <w:r w:rsidR="00CB4FD5">
        <w:t>coverages</w:t>
      </w:r>
      <w:r w:rsidR="00110756">
        <w:t xml:space="preserve"> of the nodes in a network are different. The problem becomes more sever</w:t>
      </w:r>
      <w:r w:rsidR="00CB4FD5">
        <w:t>e and complicated when the coverage</w:t>
      </w:r>
      <w:r w:rsidR="00110756">
        <w:t xml:space="preserve"> o</w:t>
      </w:r>
      <w:r w:rsidR="00CB4FD5">
        <w:t>f sensing and the coverage</w:t>
      </w:r>
      <w:r w:rsidR="00110756">
        <w:t xml:space="preserve"> of transmitting are different. This </w:t>
      </w:r>
      <w:r w:rsidR="00CB4FD5">
        <w:t>may occur</w:t>
      </w:r>
      <w:r w:rsidR="00110756">
        <w:t xml:space="preserve"> when an o</w:t>
      </w:r>
      <w:r w:rsidR="0062587D" w:rsidRPr="0062587D">
        <w:t xml:space="preserve">mnidirectional </w:t>
      </w:r>
      <w:r w:rsidR="00110756">
        <w:t>antenna pattern is used for carrier sensin</w:t>
      </w:r>
      <w:r w:rsidR="00CB4FD5">
        <w:t xml:space="preserve">g </w:t>
      </w:r>
      <w:r w:rsidR="00110756">
        <w:t>while</w:t>
      </w:r>
      <w:r w:rsidR="00654E6E">
        <w:t xml:space="preserve"> a</w:t>
      </w:r>
      <w:r w:rsidR="00110756">
        <w:t xml:space="preserve"> directional antenna (or array) pattern is used for transmission</w:t>
      </w:r>
      <w:r w:rsidR="00CB4FD5">
        <w:t xml:space="preserve">, leading to higher chance of </w:t>
      </w:r>
      <w:r w:rsidR="003374E0">
        <w:t xml:space="preserve">the node’s </w:t>
      </w:r>
      <w:r w:rsidR="00CB4FD5">
        <w:t>being exposed</w:t>
      </w:r>
      <w:r w:rsidR="004D56D8">
        <w:t xml:space="preserve">. </w:t>
      </w:r>
      <w:r w:rsidR="004D56D8">
        <w:fldChar w:fldCharType="begin"/>
      </w:r>
      <w:r w:rsidR="004D56D8">
        <w:instrText xml:space="preserve"> REF _Ref498629767 \h </w:instrText>
      </w:r>
      <w:r w:rsidR="004D56D8">
        <w:fldChar w:fldCharType="separate"/>
      </w:r>
      <w:r w:rsidR="00B24DA7">
        <w:t xml:space="preserve">Figure </w:t>
      </w:r>
      <w:r w:rsidR="00B24DA7">
        <w:rPr>
          <w:noProof/>
        </w:rPr>
        <w:t>2</w:t>
      </w:r>
      <w:r w:rsidR="004D56D8">
        <w:fldChar w:fldCharType="end"/>
      </w:r>
      <w:r w:rsidR="004D56D8">
        <w:t xml:space="preserve">a shows that </w:t>
      </w:r>
      <w:r w:rsidR="003374E0">
        <w:t>a</w:t>
      </w:r>
      <w:r w:rsidR="004D56D8">
        <w:t xml:space="preserve"> device A senses the carrier using omnidirectional antenna pattern and overhears the transmission from device C to D. Device A subsequently refrains from transmitting to its targeted receiving device B, which is an unnecessary move since transmission from A to B using highly directional beams (</w:t>
      </w:r>
      <w:r w:rsidR="004D56D8">
        <w:fldChar w:fldCharType="begin"/>
      </w:r>
      <w:r w:rsidR="004D56D8">
        <w:instrText xml:space="preserve"> REF _Ref498629767 \h </w:instrText>
      </w:r>
      <w:r w:rsidR="004D56D8">
        <w:fldChar w:fldCharType="separate"/>
      </w:r>
      <w:r w:rsidR="00B24DA7">
        <w:t xml:space="preserve">Figure </w:t>
      </w:r>
      <w:r w:rsidR="00B24DA7">
        <w:rPr>
          <w:noProof/>
        </w:rPr>
        <w:t>2</w:t>
      </w:r>
      <w:r w:rsidR="004D56D8">
        <w:fldChar w:fldCharType="end"/>
      </w:r>
      <w:r w:rsidR="004D56D8">
        <w:t>b) does not interfere with the transmission from C to D.</w:t>
      </w:r>
    </w:p>
    <w:p w:rsidR="00B15770" w:rsidRDefault="00B15770" w:rsidP="0062587D">
      <w:r>
        <w:t xml:space="preserve">If the direction of the communication is known, directional carrier sensing may help in certain situations. However, this leads to a different kind of problem, as illustrated in </w:t>
      </w:r>
      <w:r>
        <w:fldChar w:fldCharType="begin"/>
      </w:r>
      <w:r>
        <w:instrText xml:space="preserve"> REF _Ref498621933 \w \h </w:instrText>
      </w:r>
      <w:r>
        <w:fldChar w:fldCharType="separate"/>
      </w:r>
      <w:r>
        <w:t>[3]</w:t>
      </w:r>
      <w:r>
        <w:fldChar w:fldCharType="end"/>
      </w:r>
      <w:r>
        <w:t xml:space="preserve"> (Figure 1). Effects of the directivity of carrier sensing and transmission should therefore be studied thoroughly and necessary measures be taken to maximize the system’s performance</w:t>
      </w:r>
      <w:r w:rsidRPr="0062587D">
        <w:t>.</w:t>
      </w:r>
    </w:p>
    <w:p w:rsidR="004D56D8" w:rsidRDefault="004D56D8" w:rsidP="00DE2A83">
      <w:pPr>
        <w:keepNext/>
        <w:jc w:val="center"/>
      </w:pPr>
      <w:r w:rsidRPr="004D56D8">
        <w:rPr>
          <w:noProof/>
          <w:lang w:eastAsia="zh-TW"/>
        </w:rPr>
        <w:lastRenderedPageBreak/>
        <w:drawing>
          <wp:inline distT="0" distB="0" distL="0" distR="0" wp14:anchorId="04790560" wp14:editId="31CFEFF8">
            <wp:extent cx="5608320" cy="21355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9902" cy="2139913"/>
                    </a:xfrm>
                    <a:prstGeom prst="rect">
                      <a:avLst/>
                    </a:prstGeom>
                    <a:noFill/>
                    <a:ln>
                      <a:noFill/>
                    </a:ln>
                  </pic:spPr>
                </pic:pic>
              </a:graphicData>
            </a:graphic>
          </wp:inline>
        </w:drawing>
      </w:r>
    </w:p>
    <w:p w:rsidR="0062587D" w:rsidRPr="0062587D" w:rsidRDefault="004D56D8" w:rsidP="00B15770">
      <w:pPr>
        <w:pStyle w:val="Caption"/>
        <w:jc w:val="center"/>
      </w:pPr>
      <w:bookmarkStart w:id="3" w:name="_Ref498629767"/>
      <w:r>
        <w:t xml:space="preserve">Figure </w:t>
      </w:r>
      <w:r w:rsidR="007A5EB6">
        <w:fldChar w:fldCharType="begin"/>
      </w:r>
      <w:r w:rsidR="007A5EB6">
        <w:instrText xml:space="preserve"> SEQ Figure \* ARABIC </w:instrText>
      </w:r>
      <w:r w:rsidR="007A5EB6">
        <w:fldChar w:fldCharType="separate"/>
      </w:r>
      <w:r w:rsidR="003F1D19">
        <w:rPr>
          <w:noProof/>
        </w:rPr>
        <w:t>2</w:t>
      </w:r>
      <w:r w:rsidR="007A5EB6">
        <w:rPr>
          <w:noProof/>
        </w:rPr>
        <w:fldChar w:fldCharType="end"/>
      </w:r>
      <w:bookmarkEnd w:id="3"/>
      <w:r>
        <w:t>: (a) Omnidirectional carrier sensing, (b) two concurrent directional communication links</w:t>
      </w:r>
    </w:p>
    <w:p w:rsidR="00AE245E" w:rsidRDefault="0062587D" w:rsidP="00AE245E">
      <w:pPr>
        <w:pStyle w:val="Heading2"/>
        <w:numPr>
          <w:ilvl w:val="1"/>
          <w:numId w:val="5"/>
        </w:numPr>
        <w:ind w:right="864"/>
      </w:pPr>
      <w:r>
        <w:t>Channel Access based on Message Exchange</w:t>
      </w:r>
    </w:p>
    <w:p w:rsidR="003A55B7" w:rsidRDefault="008C18F6" w:rsidP="00592106">
      <w:r>
        <w:t xml:space="preserve">If the nodes in the network </w:t>
      </w:r>
      <w:r w:rsidR="00FB1718">
        <w:t xml:space="preserve">are of the same RAT and </w:t>
      </w:r>
      <w:r>
        <w:t>can</w:t>
      </w:r>
      <w:r w:rsidR="00FB1718">
        <w:t xml:space="preserve"> therefore</w:t>
      </w:r>
      <w:r>
        <w:t xml:space="preserve"> exchange </w:t>
      </w:r>
      <w:r w:rsidR="00FB1718">
        <w:t xml:space="preserve">short control messages (which are themselves subject to LBT) before the long data transaction, the problems </w:t>
      </w:r>
      <w:r w:rsidR="00B133B6">
        <w:t xml:space="preserve">of hidden and exposed nodes </w:t>
      </w:r>
      <w:r w:rsidR="00FB1718">
        <w:t xml:space="preserve">can be better managed. </w:t>
      </w:r>
      <w:r>
        <w:t xml:space="preserve">The Request To Send (RTS) and Clear To Send (CTS) </w:t>
      </w:r>
      <w:r w:rsidR="00B05597">
        <w:t>protocol</w:t>
      </w:r>
      <w:r w:rsidR="00317F48">
        <w:t xml:space="preserve"> </w:t>
      </w:r>
      <w:r>
        <w:t xml:space="preserve">in </w:t>
      </w:r>
      <w:r w:rsidR="00FB1718">
        <w:t>WiFi is a simple example</w:t>
      </w:r>
      <w:r w:rsidR="00592106">
        <w:t>.</w:t>
      </w:r>
      <w:r w:rsidR="00B133B6">
        <w:t xml:space="preserve"> RTS/CTS protocol is not currently adopted in LAA/eLAA. However, it may be worthy of reconsideration in NR unlicensed access since the hidden node and exposed node</w:t>
      </w:r>
      <w:r w:rsidR="00B133B6" w:rsidRPr="00B133B6">
        <w:t xml:space="preserve"> </w:t>
      </w:r>
      <w:r w:rsidR="00B133B6">
        <w:t>problems become more severe in directional link as mentioned above.</w:t>
      </w:r>
    </w:p>
    <w:p w:rsidR="00592106" w:rsidRDefault="003A55B7" w:rsidP="00592106">
      <w:r>
        <w:fldChar w:fldCharType="begin"/>
      </w:r>
      <w:r>
        <w:instrText xml:space="preserve"> REF _Ref498607580 \h </w:instrText>
      </w:r>
      <w:r>
        <w:fldChar w:fldCharType="separate"/>
      </w:r>
      <w:r w:rsidR="000C5611">
        <w:t xml:space="preserve">Figure </w:t>
      </w:r>
      <w:r w:rsidR="000C5611">
        <w:rPr>
          <w:noProof/>
        </w:rPr>
        <w:t>3</w:t>
      </w:r>
      <w:r>
        <w:fldChar w:fldCharType="end"/>
      </w:r>
      <w:r>
        <w:t xml:space="preserve"> shows an example of RTS/CTS resolving exposed node problem when device A is attempting to transmit to device B. In the figure, solid line denotes transmit beam while dashed line denotes receive beam. Before A transmits its data to B, it sends a short RTS carrying the identities of the source (A) and destination (B) along with the expected duration of the data transmission. The RTS is heard by both its intended target B as well as a third device C. Upon receiving the RTS of its source node A, device B transmits a CTS, which is heard by A but not by C. After receiving the CTS from B, A </w:t>
      </w:r>
      <w:r w:rsidR="007E40DA">
        <w:t>understands that the medium is available and has been reserved by the RTS/CTS exchange for a certain duration. It then</w:t>
      </w:r>
      <w:r>
        <w:t xml:space="preserve"> starts transmitting to B. Since device C never hears a CTS within an expected short interval, device C realizes its being an exposed node and may transmit to D. </w:t>
      </w:r>
      <w:r w:rsidR="00B133B6">
        <w:t xml:space="preserve">Two concurrent directional links can thus be </w:t>
      </w:r>
      <w:r w:rsidR="003374E0">
        <w:t>established</w:t>
      </w:r>
      <w:r w:rsidR="00B133B6">
        <w:t xml:space="preserve"> without inte</w:t>
      </w:r>
      <w:r w:rsidR="00E94DEF">
        <w:t>rfering each other</w:t>
      </w:r>
      <w:r w:rsidR="00B133B6">
        <w:t>.</w:t>
      </w:r>
    </w:p>
    <w:p w:rsidR="003A55B7" w:rsidRDefault="003A55B7" w:rsidP="003A55B7">
      <w:pPr>
        <w:keepNext/>
      </w:pPr>
      <w:r w:rsidRPr="003A55B7">
        <w:rPr>
          <w:noProof/>
          <w:lang w:eastAsia="zh-TW"/>
        </w:rPr>
        <w:drawing>
          <wp:inline distT="0" distB="0" distL="0" distR="0" wp14:anchorId="1135CA7F" wp14:editId="57A635F7">
            <wp:extent cx="6264275" cy="1310693"/>
            <wp:effectExtent l="0" t="0" r="317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1310693"/>
                    </a:xfrm>
                    <a:prstGeom prst="rect">
                      <a:avLst/>
                    </a:prstGeom>
                    <a:noFill/>
                    <a:ln>
                      <a:noFill/>
                    </a:ln>
                  </pic:spPr>
                </pic:pic>
              </a:graphicData>
            </a:graphic>
          </wp:inline>
        </w:drawing>
      </w:r>
    </w:p>
    <w:p w:rsidR="003A55B7" w:rsidRDefault="003A55B7" w:rsidP="003A55B7">
      <w:pPr>
        <w:pStyle w:val="Caption"/>
        <w:jc w:val="center"/>
      </w:pPr>
      <w:bookmarkStart w:id="4" w:name="_Ref498607580"/>
      <w:r>
        <w:t xml:space="preserve">Figure </w:t>
      </w:r>
      <w:r w:rsidR="007A5EB6">
        <w:fldChar w:fldCharType="begin"/>
      </w:r>
      <w:r w:rsidR="007A5EB6">
        <w:instrText xml:space="preserve"> SEQ Figure \* ARABIC </w:instrText>
      </w:r>
      <w:r w:rsidR="007A5EB6">
        <w:fldChar w:fldCharType="separate"/>
      </w:r>
      <w:r w:rsidR="003F1D19">
        <w:rPr>
          <w:noProof/>
        </w:rPr>
        <w:t>3</w:t>
      </w:r>
      <w:r w:rsidR="007A5EB6">
        <w:rPr>
          <w:noProof/>
        </w:rPr>
        <w:fldChar w:fldCharType="end"/>
      </w:r>
      <w:bookmarkEnd w:id="4"/>
      <w:r>
        <w:t>: RTS/CTS in directional links</w:t>
      </w:r>
    </w:p>
    <w:p w:rsidR="003A55B7" w:rsidRPr="003A55B7" w:rsidRDefault="00C65BF5" w:rsidP="003A55B7">
      <w:r>
        <w:t>The benefits of such message-</w:t>
      </w:r>
      <w:r w:rsidR="003A55B7" w:rsidRPr="003A55B7">
        <w:t xml:space="preserve">exchange based spectrum sharing technique </w:t>
      </w:r>
      <w:r w:rsidR="003A55B7">
        <w:t xml:space="preserve">depend on the propagation environment and traffic condition and </w:t>
      </w:r>
      <w:r w:rsidR="003A55B7" w:rsidRPr="003A55B7">
        <w:t xml:space="preserve">should be </w:t>
      </w:r>
      <w:r w:rsidR="003A55B7">
        <w:t xml:space="preserve">carefully </w:t>
      </w:r>
      <w:r w:rsidR="003A55B7" w:rsidRPr="003A55B7">
        <w:t>eva</w:t>
      </w:r>
      <w:r w:rsidR="003A55B7">
        <w:t>luated in different NR unlicense</w:t>
      </w:r>
      <w:r w:rsidR="003A55B7" w:rsidRPr="003A55B7">
        <w:t>d scenarios.</w:t>
      </w:r>
      <w:r w:rsidR="00675676">
        <w:t xml:space="preserve"> </w:t>
      </w:r>
      <w:r w:rsidR="00675676" w:rsidRPr="00675676">
        <w:t xml:space="preserve">Also message exchange among nodes to improve frequency reuse factor as discussed in Section </w:t>
      </w:r>
      <w:r w:rsidR="00675676">
        <w:fldChar w:fldCharType="begin"/>
      </w:r>
      <w:r w:rsidR="00675676">
        <w:instrText xml:space="preserve"> REF _Ref498691681 \w \h </w:instrText>
      </w:r>
      <w:r w:rsidR="00675676">
        <w:fldChar w:fldCharType="separate"/>
      </w:r>
      <w:r w:rsidR="0048132D">
        <w:t>3.1</w:t>
      </w:r>
      <w:r w:rsidR="00675676">
        <w:fldChar w:fldCharType="end"/>
      </w:r>
      <w:r w:rsidR="00675676">
        <w:t xml:space="preserve"> </w:t>
      </w:r>
      <w:r w:rsidR="00675676" w:rsidRPr="00675676">
        <w:t>should be studied.</w:t>
      </w:r>
    </w:p>
    <w:p w:rsidR="00C91077" w:rsidRDefault="00C91077" w:rsidP="00AA46A3">
      <w:pPr>
        <w:pStyle w:val="Heading1"/>
        <w:numPr>
          <w:ilvl w:val="0"/>
          <w:numId w:val="5"/>
        </w:numPr>
        <w:spacing w:after="120"/>
        <w:ind w:right="288"/>
      </w:pPr>
      <w:r>
        <w:t>Conclusion</w:t>
      </w:r>
    </w:p>
    <w:p w:rsidR="00607302" w:rsidRPr="00607302" w:rsidRDefault="00607302" w:rsidP="00607302">
      <w:r>
        <w:t xml:space="preserve">In summary, we </w:t>
      </w:r>
      <w:r w:rsidR="006D0FDF">
        <w:t>have the following observations:</w:t>
      </w:r>
    </w:p>
    <w:p w:rsidR="00385B7E" w:rsidRDefault="006D0FDF" w:rsidP="00C11634">
      <w:pPr>
        <w:rPr>
          <w:rFonts w:eastAsia="SimSun"/>
          <w:b/>
          <w:lang w:eastAsia="zh-CN"/>
        </w:rPr>
      </w:pPr>
      <w:r>
        <w:rPr>
          <w:rFonts w:eastAsia="SimSun"/>
          <w:b/>
          <w:lang w:eastAsia="zh-CN"/>
        </w:rPr>
        <w:t>Observation 1</w:t>
      </w:r>
      <w:r w:rsidRPr="00075540">
        <w:rPr>
          <w:rFonts w:eastAsia="SimSun"/>
          <w:b/>
          <w:lang w:eastAsia="zh-CN"/>
        </w:rPr>
        <w:t xml:space="preserve">: </w:t>
      </w:r>
      <w:r w:rsidR="00385B7E">
        <w:rPr>
          <w:rFonts w:eastAsia="SimSun"/>
          <w:b/>
          <w:lang w:eastAsia="zh-CN"/>
        </w:rPr>
        <w:t>The new features introduced in NR in licensed band that may impact unlicensed channel access include at least</w:t>
      </w:r>
    </w:p>
    <w:p w:rsidR="002E4747" w:rsidRPr="002E4747" w:rsidRDefault="002E4747" w:rsidP="002E4747">
      <w:pPr>
        <w:pStyle w:val="ListParagraph"/>
        <w:numPr>
          <w:ilvl w:val="1"/>
          <w:numId w:val="7"/>
        </w:numPr>
        <w:rPr>
          <w:rFonts w:eastAsia="SimSun"/>
          <w:b/>
          <w:sz w:val="20"/>
        </w:rPr>
      </w:pPr>
      <w:r w:rsidRPr="002E4747">
        <w:rPr>
          <w:rFonts w:eastAsia="SimSun"/>
          <w:b/>
          <w:sz w:val="20"/>
        </w:rPr>
        <w:t>Flexible Frame Structure and Feedback Timing</w:t>
      </w:r>
    </w:p>
    <w:p w:rsidR="00B6298D" w:rsidRDefault="009C3870" w:rsidP="00385B7E">
      <w:pPr>
        <w:pStyle w:val="ListParagraph"/>
        <w:numPr>
          <w:ilvl w:val="1"/>
          <w:numId w:val="7"/>
        </w:numPr>
        <w:rPr>
          <w:rFonts w:eastAsia="SimSun"/>
          <w:b/>
          <w:sz w:val="20"/>
        </w:rPr>
      </w:pPr>
      <w:r>
        <w:rPr>
          <w:rFonts w:eastAsia="SimSun"/>
          <w:b/>
          <w:sz w:val="20"/>
        </w:rPr>
        <w:t>Flexible</w:t>
      </w:r>
      <w:r w:rsidR="00B6298D">
        <w:rPr>
          <w:rFonts w:eastAsia="SimSun"/>
          <w:b/>
          <w:sz w:val="20"/>
        </w:rPr>
        <w:t xml:space="preserve"> Subcarrier Spacing and Bandwidth Part</w:t>
      </w:r>
    </w:p>
    <w:p w:rsidR="00385B7E" w:rsidRPr="00385B7E" w:rsidRDefault="00385B7E" w:rsidP="00385B7E">
      <w:pPr>
        <w:pStyle w:val="ListParagraph"/>
        <w:numPr>
          <w:ilvl w:val="1"/>
          <w:numId w:val="7"/>
        </w:numPr>
        <w:rPr>
          <w:rFonts w:eastAsia="SimSun"/>
          <w:b/>
          <w:sz w:val="20"/>
        </w:rPr>
      </w:pPr>
      <w:r w:rsidRPr="00385B7E">
        <w:rPr>
          <w:rFonts w:eastAsia="SimSun"/>
          <w:b/>
          <w:sz w:val="20"/>
        </w:rPr>
        <w:t>Highly directional transmission and beam management</w:t>
      </w:r>
    </w:p>
    <w:p w:rsidR="00C11634" w:rsidRPr="00385B7E" w:rsidRDefault="00B72EEA" w:rsidP="00385B7E">
      <w:pPr>
        <w:pStyle w:val="ListParagraph"/>
        <w:numPr>
          <w:ilvl w:val="1"/>
          <w:numId w:val="7"/>
        </w:numPr>
        <w:rPr>
          <w:rFonts w:eastAsia="SimSun"/>
          <w:b/>
          <w:sz w:val="20"/>
        </w:rPr>
      </w:pPr>
      <w:r>
        <w:rPr>
          <w:rFonts w:eastAsia="SimSun"/>
          <w:b/>
          <w:sz w:val="20"/>
        </w:rPr>
        <w:t>Absence</w:t>
      </w:r>
      <w:r w:rsidR="00385B7E" w:rsidRPr="00385B7E">
        <w:rPr>
          <w:rFonts w:eastAsia="SimSun"/>
          <w:b/>
          <w:sz w:val="20"/>
        </w:rPr>
        <w:t xml:space="preserve"> of CRS </w:t>
      </w:r>
    </w:p>
    <w:p w:rsidR="00385B7E" w:rsidRDefault="00290E8E" w:rsidP="00385B7E">
      <w:pPr>
        <w:spacing w:after="0"/>
        <w:rPr>
          <w:rFonts w:eastAsia="SimSun"/>
          <w:b/>
          <w:lang w:eastAsia="zh-CN"/>
        </w:rPr>
      </w:pPr>
      <w:r>
        <w:rPr>
          <w:rFonts w:eastAsia="SimSun"/>
          <w:b/>
          <w:lang w:eastAsia="zh-CN"/>
        </w:rPr>
        <w:t>Observation 2:</w:t>
      </w:r>
      <w:r w:rsidRPr="00290E8E">
        <w:rPr>
          <w:rFonts w:eastAsia="SimSun"/>
          <w:b/>
          <w:lang w:eastAsia="zh-CN"/>
        </w:rPr>
        <w:t xml:space="preserve"> </w:t>
      </w:r>
      <w:r w:rsidR="00385B7E">
        <w:rPr>
          <w:rFonts w:eastAsia="SimSun"/>
          <w:b/>
          <w:lang w:eastAsia="zh-CN"/>
        </w:rPr>
        <w:t xml:space="preserve">The </w:t>
      </w:r>
      <w:r w:rsidR="007F1623">
        <w:rPr>
          <w:rFonts w:eastAsia="SimSun"/>
          <w:b/>
          <w:lang w:eastAsia="zh-CN"/>
        </w:rPr>
        <w:t>areas</w:t>
      </w:r>
      <w:r w:rsidR="00385B7E">
        <w:rPr>
          <w:rFonts w:eastAsia="SimSun"/>
          <w:b/>
          <w:lang w:eastAsia="zh-CN"/>
        </w:rPr>
        <w:t xml:space="preserve"> </w:t>
      </w:r>
      <w:r w:rsidR="007F1623">
        <w:rPr>
          <w:rFonts w:eastAsia="SimSun"/>
          <w:b/>
          <w:lang w:eastAsia="zh-CN"/>
        </w:rPr>
        <w:t>in</w:t>
      </w:r>
      <w:r w:rsidR="00385B7E">
        <w:rPr>
          <w:rFonts w:eastAsia="SimSun"/>
          <w:b/>
          <w:lang w:eastAsia="zh-CN"/>
        </w:rPr>
        <w:t xml:space="preserve"> LAA/eLAA </w:t>
      </w:r>
      <w:r w:rsidR="007F1623">
        <w:rPr>
          <w:rFonts w:eastAsia="SimSun"/>
          <w:b/>
          <w:lang w:eastAsia="zh-CN"/>
        </w:rPr>
        <w:t xml:space="preserve">that </w:t>
      </w:r>
      <w:r w:rsidR="00385B7E">
        <w:rPr>
          <w:rFonts w:eastAsia="SimSun"/>
          <w:b/>
          <w:lang w:eastAsia="zh-CN"/>
        </w:rPr>
        <w:t xml:space="preserve">have not </w:t>
      </w:r>
      <w:r w:rsidR="007F1623">
        <w:rPr>
          <w:rFonts w:eastAsia="SimSun"/>
          <w:b/>
          <w:lang w:eastAsia="zh-CN"/>
        </w:rPr>
        <w:t xml:space="preserve">been </w:t>
      </w:r>
      <w:r w:rsidR="00385B7E">
        <w:rPr>
          <w:rFonts w:eastAsia="SimSun"/>
          <w:b/>
          <w:lang w:eastAsia="zh-CN"/>
        </w:rPr>
        <w:t xml:space="preserve">fully addressed or </w:t>
      </w:r>
      <w:r w:rsidR="007F1623">
        <w:rPr>
          <w:rFonts w:eastAsia="SimSun"/>
          <w:b/>
          <w:lang w:eastAsia="zh-CN"/>
        </w:rPr>
        <w:t>can be further improved</w:t>
      </w:r>
      <w:r w:rsidR="00385B7E">
        <w:rPr>
          <w:rFonts w:eastAsia="SimSun"/>
          <w:b/>
          <w:lang w:eastAsia="zh-CN"/>
        </w:rPr>
        <w:t xml:space="preserve"> include at least</w:t>
      </w:r>
    </w:p>
    <w:p w:rsidR="00385B7E" w:rsidRDefault="00385B7E" w:rsidP="00385B7E">
      <w:pPr>
        <w:pStyle w:val="ListParagraph"/>
        <w:numPr>
          <w:ilvl w:val="0"/>
          <w:numId w:val="14"/>
        </w:numPr>
        <w:rPr>
          <w:rFonts w:eastAsia="SimSun"/>
          <w:b/>
          <w:sz w:val="20"/>
        </w:rPr>
      </w:pPr>
      <w:r w:rsidRPr="00385B7E">
        <w:rPr>
          <w:rFonts w:eastAsia="SimSun"/>
          <w:b/>
          <w:sz w:val="20"/>
        </w:rPr>
        <w:t xml:space="preserve">The lack of support for </w:t>
      </w:r>
      <w:r w:rsidR="00463C56">
        <w:rPr>
          <w:rFonts w:eastAsia="SimSun"/>
          <w:b/>
          <w:sz w:val="20"/>
        </w:rPr>
        <w:t>intra-RAT tight</w:t>
      </w:r>
      <w:r w:rsidR="00592106">
        <w:rPr>
          <w:rFonts w:eastAsia="SimSun"/>
          <w:b/>
          <w:sz w:val="20"/>
        </w:rPr>
        <w:t xml:space="preserve"> frequency reuse</w:t>
      </w:r>
    </w:p>
    <w:p w:rsidR="00385B7E" w:rsidRDefault="00385B7E" w:rsidP="00385B7E">
      <w:pPr>
        <w:pStyle w:val="ListParagraph"/>
        <w:numPr>
          <w:ilvl w:val="0"/>
          <w:numId w:val="14"/>
        </w:numPr>
        <w:rPr>
          <w:rFonts w:eastAsia="SimSun"/>
          <w:b/>
          <w:sz w:val="20"/>
        </w:rPr>
      </w:pPr>
      <w:r>
        <w:rPr>
          <w:rFonts w:eastAsia="SimSun"/>
          <w:b/>
          <w:sz w:val="20"/>
        </w:rPr>
        <w:lastRenderedPageBreak/>
        <w:t>The lack of support for LBT in dir</w:t>
      </w:r>
      <w:r w:rsidR="00455435">
        <w:rPr>
          <w:rFonts w:eastAsia="SimSun"/>
          <w:b/>
          <w:sz w:val="20"/>
        </w:rPr>
        <w:t>ectional transmission/reception</w:t>
      </w:r>
    </w:p>
    <w:p w:rsidR="00455435" w:rsidRPr="00385B7E" w:rsidRDefault="00455435" w:rsidP="00385B7E">
      <w:pPr>
        <w:pStyle w:val="ListParagraph"/>
        <w:numPr>
          <w:ilvl w:val="0"/>
          <w:numId w:val="14"/>
        </w:numPr>
        <w:rPr>
          <w:rFonts w:eastAsia="SimSun"/>
          <w:b/>
          <w:sz w:val="20"/>
        </w:rPr>
      </w:pPr>
      <w:r>
        <w:rPr>
          <w:rFonts w:eastAsia="SimSun"/>
          <w:b/>
          <w:sz w:val="20"/>
        </w:rPr>
        <w:t>The lack of support for interference mitigation based on message exchange among devices</w:t>
      </w:r>
    </w:p>
    <w:p w:rsidR="00592106" w:rsidRPr="00592106" w:rsidRDefault="00592106" w:rsidP="00C11634">
      <w:pPr>
        <w:rPr>
          <w:rFonts w:eastAsia="SimSun"/>
          <w:lang w:eastAsia="zh-CN"/>
        </w:rPr>
      </w:pPr>
      <w:r>
        <w:rPr>
          <w:rFonts w:eastAsia="SimSun"/>
          <w:lang w:eastAsia="zh-CN"/>
        </w:rPr>
        <w:t>Based on these observations, we propose that</w:t>
      </w:r>
    </w:p>
    <w:p w:rsidR="006D0FDF" w:rsidRDefault="006D0FDF" w:rsidP="00C11634">
      <w:pPr>
        <w:rPr>
          <w:rFonts w:eastAsia="SimSun"/>
          <w:lang w:eastAsia="zh-CN"/>
        </w:rPr>
      </w:pPr>
      <w:r>
        <w:rPr>
          <w:rFonts w:eastAsia="SimSun"/>
          <w:b/>
          <w:lang w:eastAsia="zh-CN"/>
        </w:rPr>
        <w:t>Proposal 1</w:t>
      </w:r>
      <w:r w:rsidRPr="00B82644">
        <w:rPr>
          <w:rFonts w:eastAsia="SimSun"/>
          <w:b/>
          <w:lang w:eastAsia="zh-CN"/>
        </w:rPr>
        <w:t xml:space="preserve">: </w:t>
      </w:r>
      <w:r w:rsidR="00592106" w:rsidRPr="00592106">
        <w:rPr>
          <w:rFonts w:eastAsia="SimSun"/>
          <w:b/>
          <w:lang w:eastAsia="zh-CN"/>
        </w:rPr>
        <w:t>NR-based Access to Unlicensed Spectrum</w:t>
      </w:r>
      <w:r w:rsidR="00592106">
        <w:rPr>
          <w:rFonts w:eastAsia="SimSun"/>
          <w:b/>
          <w:lang w:eastAsia="zh-CN"/>
        </w:rPr>
        <w:t xml:space="preserve"> should leverage existing LAA/eLAA works and new features introduced in NR for licensed spectrum</w:t>
      </w:r>
      <w:r>
        <w:rPr>
          <w:rFonts w:eastAsia="SimSun"/>
          <w:lang w:eastAsia="zh-CN"/>
        </w:rPr>
        <w:t>.</w:t>
      </w:r>
    </w:p>
    <w:p w:rsidR="006D0FDF" w:rsidRPr="006A6267" w:rsidRDefault="00592106" w:rsidP="00C11634">
      <w:pPr>
        <w:rPr>
          <w:rFonts w:eastAsia="SimSun"/>
          <w:lang w:eastAsia="zh-CN"/>
        </w:rPr>
      </w:pPr>
      <w:r>
        <w:rPr>
          <w:rFonts w:eastAsia="SimSun"/>
          <w:b/>
          <w:lang w:eastAsia="zh-CN"/>
        </w:rPr>
        <w:t>Proposal 2</w:t>
      </w:r>
      <w:r w:rsidRPr="00B82644">
        <w:rPr>
          <w:rFonts w:eastAsia="SimSun"/>
          <w:b/>
          <w:lang w:eastAsia="zh-CN"/>
        </w:rPr>
        <w:t xml:space="preserve">: </w:t>
      </w:r>
      <w:r w:rsidRPr="00592106">
        <w:rPr>
          <w:rFonts w:eastAsia="SimSun"/>
          <w:b/>
          <w:lang w:eastAsia="zh-CN"/>
        </w:rPr>
        <w:t>NR-based Access to Unlicensed Spectrum</w:t>
      </w:r>
      <w:r>
        <w:rPr>
          <w:rFonts w:eastAsia="SimSun"/>
          <w:b/>
          <w:lang w:eastAsia="zh-CN"/>
        </w:rPr>
        <w:t xml:space="preserve"> should resolve issues that are not fully addressed in LAA/eLAA as well as issues that arise due to newly introduced NR features</w:t>
      </w:r>
      <w:r>
        <w:rPr>
          <w:rFonts w:eastAsia="SimSun"/>
          <w:lang w:eastAsia="zh-CN"/>
        </w:rPr>
        <w:t>.</w:t>
      </w:r>
    </w:p>
    <w:p w:rsidR="006C0CA7" w:rsidRPr="00C91077" w:rsidRDefault="00C91077" w:rsidP="006C0CA7">
      <w:pPr>
        <w:pStyle w:val="Heading1"/>
        <w:numPr>
          <w:ilvl w:val="0"/>
          <w:numId w:val="5"/>
        </w:numPr>
        <w:spacing w:after="120"/>
        <w:ind w:right="288"/>
      </w:pPr>
      <w:r>
        <w:t>References</w:t>
      </w:r>
    </w:p>
    <w:p w:rsidR="006C0CA7" w:rsidRDefault="00815506" w:rsidP="005C4F36">
      <w:pPr>
        <w:numPr>
          <w:ilvl w:val="0"/>
          <w:numId w:val="10"/>
        </w:numPr>
      </w:pPr>
      <w:bookmarkStart w:id="5" w:name="_Ref494442004"/>
      <w:bookmarkStart w:id="6" w:name="_Ref498453616"/>
      <w:bookmarkStart w:id="7" w:name="_Ref481596356"/>
      <w:bookmarkStart w:id="8" w:name="_Ref481781528"/>
      <w:bookmarkStart w:id="9" w:name="_Ref481782557"/>
      <w:r w:rsidRPr="00815506">
        <w:t>RP-</w:t>
      </w:r>
      <w:r w:rsidR="005C4F36" w:rsidRPr="005C4F36">
        <w:t>170828</w:t>
      </w:r>
      <w:r w:rsidR="006C0CA7">
        <w:t>, “</w:t>
      </w:r>
      <w:r w:rsidR="005C4F36" w:rsidRPr="005C4F36">
        <w:t>Study on NR-based Access to Unlicensed Spectrum</w:t>
      </w:r>
      <w:r w:rsidR="006C0CA7">
        <w:t xml:space="preserve">,” </w:t>
      </w:r>
      <w:bookmarkEnd w:id="5"/>
      <w:r>
        <w:t>Qualcomm Inc.</w:t>
      </w:r>
      <w:bookmarkEnd w:id="6"/>
    </w:p>
    <w:p w:rsidR="004B1775" w:rsidRDefault="004B1775" w:rsidP="004B1775">
      <w:pPr>
        <w:numPr>
          <w:ilvl w:val="0"/>
          <w:numId w:val="10"/>
        </w:numPr>
      </w:pPr>
      <w:bookmarkStart w:id="10" w:name="_Ref498453631"/>
      <w:bookmarkStart w:id="11" w:name="_Ref494448063"/>
      <w:bookmarkStart w:id="12" w:name="_Ref494445701"/>
      <w:r w:rsidRPr="004B1775">
        <w:t>RP-170848</w:t>
      </w:r>
      <w:r>
        <w:t>, “</w:t>
      </w:r>
      <w:r w:rsidRPr="004B1775">
        <w:t>New Work Item on Enhancements to LTE operation in unlicensed spectrum</w:t>
      </w:r>
      <w:r>
        <w:t xml:space="preserve">,” </w:t>
      </w:r>
      <w:r w:rsidRPr="004B1775">
        <w:t>Nokia, Ericsson, Intel, Qualcomm</w:t>
      </w:r>
      <w:bookmarkEnd w:id="10"/>
    </w:p>
    <w:p w:rsidR="00864E4A" w:rsidRDefault="000A3C08" w:rsidP="00864E4A">
      <w:pPr>
        <w:numPr>
          <w:ilvl w:val="0"/>
          <w:numId w:val="10"/>
        </w:numPr>
      </w:pPr>
      <w:bookmarkStart w:id="13" w:name="_Ref498621933"/>
      <w:r w:rsidRPr="000A3C08">
        <w:t>R1-1717911</w:t>
      </w:r>
      <w:r w:rsidR="002B276E">
        <w:t>, “</w:t>
      </w:r>
      <w:r w:rsidRPr="000A3C08">
        <w:t>High level consideration on NR unlicensed band operation</w:t>
      </w:r>
      <w:r w:rsidR="002B276E">
        <w:t xml:space="preserve">,” </w:t>
      </w:r>
      <w:bookmarkEnd w:id="11"/>
      <w:r w:rsidRPr="000A3C08">
        <w:t>Huawei, HiSilicon</w:t>
      </w:r>
      <w:bookmarkEnd w:id="7"/>
      <w:bookmarkEnd w:id="8"/>
      <w:bookmarkEnd w:id="9"/>
      <w:bookmarkEnd w:id="12"/>
      <w:bookmarkEnd w:id="13"/>
    </w:p>
    <w:p w:rsidR="00864E4A" w:rsidRPr="00C91077" w:rsidRDefault="00864E4A" w:rsidP="00864E4A">
      <w:pPr>
        <w:pStyle w:val="Heading1"/>
        <w:numPr>
          <w:ilvl w:val="0"/>
          <w:numId w:val="5"/>
        </w:numPr>
        <w:spacing w:after="120"/>
        <w:ind w:right="288"/>
      </w:pPr>
      <w:r>
        <w:t>Appendix</w:t>
      </w:r>
    </w:p>
    <w:p w:rsidR="00864E4A" w:rsidRDefault="00474EA4" w:rsidP="00864E4A">
      <w:r>
        <w:fldChar w:fldCharType="begin"/>
      </w:r>
      <w:r>
        <w:instrText xml:space="preserve"> REF _Ref506475719 \h </w:instrText>
      </w:r>
      <w:r>
        <w:fldChar w:fldCharType="separate"/>
      </w:r>
      <w:r>
        <w:t xml:space="preserve">Table </w:t>
      </w:r>
      <w:r>
        <w:rPr>
          <w:noProof/>
        </w:rPr>
        <w:t>1</w:t>
      </w:r>
      <w:r>
        <w:fldChar w:fldCharType="end"/>
      </w:r>
      <w:r>
        <w:t xml:space="preserve"> </w:t>
      </w:r>
      <w:r w:rsidR="00630416">
        <w:t>provides</w:t>
      </w:r>
      <w:r w:rsidR="00864E4A">
        <w:t xml:space="preserve"> the detailed evaluation assumptions used to generate the simulation results shown in </w:t>
      </w:r>
      <w:r w:rsidR="00864E4A">
        <w:fldChar w:fldCharType="begin"/>
      </w:r>
      <w:r w:rsidR="00864E4A">
        <w:instrText xml:space="preserve"> REF _Ref506303544 \h </w:instrText>
      </w:r>
      <w:r w:rsidR="00864E4A">
        <w:fldChar w:fldCharType="separate"/>
      </w:r>
      <w:r w:rsidR="00864E4A">
        <w:t xml:space="preserve">Figure </w:t>
      </w:r>
      <w:r w:rsidR="00864E4A">
        <w:rPr>
          <w:noProof/>
        </w:rPr>
        <w:t>1</w:t>
      </w:r>
      <w:r w:rsidR="00864E4A">
        <w:fldChar w:fldCharType="end"/>
      </w:r>
      <w:r w:rsidR="00864E4A">
        <w:t>.</w:t>
      </w:r>
    </w:p>
    <w:p w:rsidR="00630416" w:rsidRPr="00864E4A" w:rsidRDefault="00630416" w:rsidP="00630416">
      <w:pPr>
        <w:pStyle w:val="Caption"/>
        <w:jc w:val="center"/>
      </w:pPr>
      <w:bookmarkStart w:id="14" w:name="_Ref506475719"/>
      <w:r>
        <w:t xml:space="preserve">Table </w:t>
      </w:r>
      <w:r>
        <w:fldChar w:fldCharType="begin"/>
      </w:r>
      <w:r>
        <w:instrText xml:space="preserve"> SEQ Table \* ARABIC </w:instrText>
      </w:r>
      <w:r>
        <w:fldChar w:fldCharType="separate"/>
      </w:r>
      <w:r>
        <w:rPr>
          <w:noProof/>
        </w:rPr>
        <w:t>1</w:t>
      </w:r>
      <w:r>
        <w:fldChar w:fldCharType="end"/>
      </w:r>
      <w:bookmarkEnd w:id="14"/>
      <w:r>
        <w:t>: Evaluation Assumptions for NR-U LBT simulation</w:t>
      </w:r>
      <w:r w:rsidR="008A74E8">
        <w:t>s</w:t>
      </w:r>
      <w:bookmarkStart w:id="15" w:name="_GoBack"/>
      <w:bookmarkEnd w:id="15"/>
    </w:p>
    <w:tbl>
      <w:tblPr>
        <w:tblW w:w="9204" w:type="dxa"/>
        <w:jc w:val="center"/>
        <w:tblCellMar>
          <w:left w:w="0" w:type="dxa"/>
          <w:right w:w="0" w:type="dxa"/>
        </w:tblCellMar>
        <w:tblLook w:val="0600" w:firstRow="0" w:lastRow="0" w:firstColumn="0" w:lastColumn="0" w:noHBand="1" w:noVBand="1"/>
      </w:tblPr>
      <w:tblGrid>
        <w:gridCol w:w="3680"/>
        <w:gridCol w:w="5524"/>
      </w:tblGrid>
      <w:tr w:rsidR="00630416" w:rsidRPr="009B4C33" w:rsidTr="006377D0">
        <w:trPr>
          <w:trHeight w:val="209"/>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630416" w:rsidRPr="009B4C33" w:rsidRDefault="00630416" w:rsidP="003D4CA4">
            <w:pPr>
              <w:spacing w:after="0"/>
              <w:rPr>
                <w:rFonts w:ascii="Arial" w:eastAsia="MS Mincho" w:hAnsi="Arial" w:cs="Arial"/>
                <w:b/>
                <w:bCs/>
                <w:sz w:val="16"/>
                <w:szCs w:val="16"/>
                <w:lang w:val="en-GB" w:eastAsia="ja-JP"/>
              </w:rPr>
            </w:pPr>
            <w:r w:rsidRPr="009B4C33">
              <w:rPr>
                <w:rFonts w:ascii="Arial" w:eastAsia="MS Mincho" w:hAnsi="Arial" w:cs="Arial"/>
                <w:b/>
                <w:bCs/>
                <w:sz w:val="16"/>
                <w:szCs w:val="16"/>
                <w:lang w:val="en-GB" w:eastAsia="ja-JP"/>
              </w:rPr>
              <w:t>Parameters</w:t>
            </w:r>
          </w:p>
        </w:tc>
        <w:tc>
          <w:tcPr>
            <w:tcW w:w="5524" w:type="dxa"/>
            <w:tcBorders>
              <w:top w:val="single" w:sz="8" w:space="0" w:color="000000"/>
              <w:left w:val="single" w:sz="8" w:space="0" w:color="000000"/>
              <w:bottom w:val="single" w:sz="8" w:space="0" w:color="000000"/>
              <w:right w:val="single" w:sz="8" w:space="0" w:color="000000"/>
            </w:tcBorders>
            <w:shd w:val="clear" w:color="auto" w:fill="D9D9D9"/>
          </w:tcPr>
          <w:p w:rsidR="00630416" w:rsidRPr="009B4C33" w:rsidRDefault="00630416" w:rsidP="003D4CA4">
            <w:pPr>
              <w:spacing w:after="0"/>
              <w:rPr>
                <w:rFonts w:ascii="Arial" w:hAnsi="Arial" w:cs="Arial"/>
                <w:b/>
                <w:bCs/>
                <w:sz w:val="16"/>
                <w:szCs w:val="16"/>
                <w:lang w:val="en-GB"/>
              </w:rPr>
            </w:pPr>
            <w:r>
              <w:rPr>
                <w:rFonts w:ascii="Arial" w:hAnsi="Arial" w:cs="Arial"/>
                <w:b/>
                <w:bCs/>
                <w:sz w:val="16"/>
                <w:szCs w:val="16"/>
                <w:lang w:val="en-GB"/>
              </w:rPr>
              <w:t>Values</w:t>
            </w:r>
          </w:p>
        </w:tc>
      </w:tr>
      <w:tr w:rsidR="00630416" w:rsidRPr="00630416" w:rsidTr="006377D0">
        <w:trPr>
          <w:trHeight w:val="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Carrier frequency</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5 GHz</w:t>
            </w:r>
          </w:p>
        </w:tc>
      </w:tr>
      <w:tr w:rsidR="00630416" w:rsidRPr="00630416" w:rsidTr="006377D0">
        <w:trPr>
          <w:trHeight w:val="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System bandwidth</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20 MHz</w:t>
            </w:r>
          </w:p>
        </w:tc>
      </w:tr>
      <w:tr w:rsidR="00630416" w:rsidRPr="00630416" w:rsidTr="006377D0">
        <w:trPr>
          <w:trHeight w:val="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Total BS Tx Power</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18 dBm</w:t>
            </w:r>
          </w:p>
        </w:tc>
      </w:tr>
      <w:tr w:rsidR="00630416" w:rsidRPr="00630416" w:rsidTr="006377D0">
        <w:trPr>
          <w:trHeight w:val="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Total UE Tx Power</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18 dBm</w:t>
            </w:r>
          </w:p>
        </w:tc>
      </w:tr>
      <w:tr w:rsidR="00630416" w:rsidRPr="00630416" w:rsidTr="006377D0">
        <w:trPr>
          <w:trHeight w:val="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Path loss</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Cell-Cell, Cell-UE: ITU InH (TR36.814)</w:t>
            </w:r>
          </w:p>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UE-UE: TR36.843 (D2D)</w:t>
            </w:r>
          </w:p>
        </w:tc>
      </w:tr>
      <w:tr w:rsidR="00630416" w:rsidRPr="00630416" w:rsidTr="006377D0">
        <w:trPr>
          <w:trHeight w:val="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Shadowing</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ITU InH (TR36.814)</w:t>
            </w:r>
          </w:p>
        </w:tc>
      </w:tr>
      <w:tr w:rsidR="00630416" w:rsidRPr="00630416" w:rsidTr="006377D0">
        <w:trPr>
          <w:trHeight w:val="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Antenna pattern</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2D-Omni-directional</w:t>
            </w:r>
          </w:p>
        </w:tc>
      </w:tr>
      <w:tr w:rsidR="00630416" w:rsidRPr="00630416" w:rsidTr="006377D0">
        <w:trPr>
          <w:trHeight w:val="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Antenna height</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BS: 6m, UE: 1.5m</w:t>
            </w:r>
          </w:p>
        </w:tc>
      </w:tr>
      <w:tr w:rsidR="00630416" w:rsidRPr="00630416" w:rsidTr="006377D0">
        <w:trPr>
          <w:trHeight w:val="213"/>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Antenna gain</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BS: 5dBi, UE: 0dBi</w:t>
            </w:r>
          </w:p>
        </w:tc>
      </w:tr>
      <w:tr w:rsidR="00630416" w:rsidRPr="00630416" w:rsidTr="006377D0">
        <w:trPr>
          <w:trHeight w:val="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Fast fading Cell-UE</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ITU InH</w:t>
            </w:r>
          </w:p>
        </w:tc>
      </w:tr>
      <w:tr w:rsidR="00630416" w:rsidRPr="00630416" w:rsidTr="006377D0">
        <w:trPr>
          <w:trHeight w:val="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 of UEs</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630416" w:rsidRDefault="00630416" w:rsidP="006377D0">
            <w:pPr>
              <w:spacing w:after="0" w:line="276" w:lineRule="auto"/>
              <w:rPr>
                <w:rFonts w:ascii="Arial" w:eastAsia="MS Mincho" w:hAnsi="Arial" w:cs="Arial"/>
                <w:bCs/>
                <w:sz w:val="16"/>
                <w:szCs w:val="16"/>
                <w:lang w:val="en-GB" w:eastAsia="ja-JP"/>
              </w:rPr>
            </w:pPr>
            <w:r w:rsidRPr="00630416">
              <w:rPr>
                <w:rFonts w:ascii="Arial" w:eastAsia="MS Mincho" w:hAnsi="Arial" w:cs="Arial"/>
                <w:bCs/>
                <w:sz w:val="16"/>
                <w:szCs w:val="16"/>
                <w:lang w:val="en-GB" w:eastAsia="ja-JP"/>
              </w:rPr>
              <w:t>20 for each operator</w:t>
            </w:r>
          </w:p>
        </w:tc>
      </w:tr>
      <w:tr w:rsidR="006377D0" w:rsidRPr="006377D0" w:rsidTr="006377D0">
        <w:trPr>
          <w:trHeight w:val="33"/>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Traffic model</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FTP Model 3</w:t>
            </w:r>
          </w:p>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0.5 Mbytes file size</w:t>
            </w:r>
          </w:p>
        </w:tc>
      </w:tr>
      <w:tr w:rsidR="006377D0" w:rsidRPr="006377D0" w:rsidTr="006377D0">
        <w:trPr>
          <w:trHeight w:val="33"/>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UE noise figure</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9 dB</w:t>
            </w:r>
          </w:p>
        </w:tc>
      </w:tr>
      <w:tr w:rsidR="006377D0" w:rsidRPr="006377D0" w:rsidTr="006377D0">
        <w:trPr>
          <w:trHeight w:val="33"/>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UE speed</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3 km/hr</w:t>
            </w:r>
          </w:p>
        </w:tc>
      </w:tr>
      <w:tr w:rsidR="006377D0" w:rsidRPr="006377D0" w:rsidTr="006377D0">
        <w:trPr>
          <w:trHeight w:val="33"/>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Cell selection</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For LAA UEs, based on RSRP</w:t>
            </w:r>
          </w:p>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For WiFi STAs, based on RSS (Received signal power strength)</w:t>
            </w:r>
          </w:p>
        </w:tc>
      </w:tr>
      <w:tr w:rsidR="006377D0" w:rsidRPr="006377D0" w:rsidTr="006377D0">
        <w:trPr>
          <w:trHeight w:val="33"/>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BS antenna</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2TX 2RX</w:t>
            </w:r>
          </w:p>
        </w:tc>
      </w:tr>
      <w:tr w:rsidR="006377D0" w:rsidRPr="006377D0" w:rsidTr="006377D0">
        <w:trPr>
          <w:trHeight w:val="33"/>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UE antenna</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77D0" w:rsidRPr="006377D0" w:rsidRDefault="006377D0" w:rsidP="006377D0">
            <w:pPr>
              <w:spacing w:after="0" w:line="276" w:lineRule="auto"/>
              <w:rPr>
                <w:rFonts w:ascii="Arial" w:eastAsia="MS Mincho" w:hAnsi="Arial" w:cs="Arial"/>
                <w:bCs/>
                <w:sz w:val="16"/>
                <w:szCs w:val="16"/>
                <w:lang w:val="en-GB" w:eastAsia="ja-JP"/>
              </w:rPr>
            </w:pPr>
            <w:r w:rsidRPr="006377D0">
              <w:rPr>
                <w:rFonts w:ascii="Arial" w:eastAsia="MS Mincho" w:hAnsi="Arial" w:cs="Arial"/>
                <w:bCs/>
                <w:sz w:val="16"/>
                <w:szCs w:val="16"/>
                <w:lang w:val="en-GB" w:eastAsia="ja-JP"/>
              </w:rPr>
              <w:t>1TX 2RX</w:t>
            </w:r>
          </w:p>
        </w:tc>
      </w:tr>
      <w:tr w:rsidR="00630416" w:rsidRPr="00AE7715" w:rsidTr="006377D0">
        <w:trPr>
          <w:trHeight w:val="69"/>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9B4C33" w:rsidRDefault="006377D0" w:rsidP="006377D0">
            <w:pPr>
              <w:spacing w:after="0" w:line="276" w:lineRule="auto"/>
              <w:rPr>
                <w:rFonts w:ascii="Arial" w:eastAsia="MS Mincho" w:hAnsi="Arial" w:cs="Arial"/>
                <w:bCs/>
                <w:sz w:val="16"/>
                <w:szCs w:val="16"/>
                <w:lang w:val="en-GB" w:eastAsia="ja-JP"/>
              </w:rPr>
            </w:pPr>
            <w:r>
              <w:rPr>
                <w:rFonts w:ascii="Arial" w:eastAsia="MS Mincho" w:hAnsi="Arial" w:cs="Arial"/>
                <w:bCs/>
                <w:sz w:val="16"/>
                <w:szCs w:val="16"/>
                <w:lang w:val="en-GB" w:eastAsia="ja-JP"/>
              </w:rPr>
              <w:t>DL arrival rate</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AE7715" w:rsidRDefault="006377D0" w:rsidP="006377D0">
            <w:pPr>
              <w:spacing w:after="0" w:line="276" w:lineRule="auto"/>
              <w:rPr>
                <w:rFonts w:ascii="Arial" w:eastAsia="MS Mincho" w:hAnsi="Arial" w:cs="Arial"/>
                <w:bCs/>
                <w:sz w:val="16"/>
                <w:szCs w:val="16"/>
                <w:lang w:val="en-GB" w:eastAsia="ja-JP"/>
              </w:rPr>
            </w:pPr>
            <w:r>
              <w:rPr>
                <w:rFonts w:ascii="Arial" w:eastAsia="MS Mincho" w:hAnsi="Arial" w:cs="Arial"/>
                <w:bCs/>
                <w:sz w:val="16"/>
                <w:szCs w:val="16"/>
                <w:lang w:val="en-GB" w:eastAsia="ja-JP"/>
              </w:rPr>
              <w:t>0.8</w:t>
            </w:r>
          </w:p>
        </w:tc>
      </w:tr>
      <w:tr w:rsidR="00630416" w:rsidRPr="00AE7715" w:rsidTr="006377D0">
        <w:trPr>
          <w:trHeight w:val="24"/>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630416" w:rsidRPr="009B4C33" w:rsidRDefault="006377D0" w:rsidP="006377D0">
            <w:pPr>
              <w:spacing w:after="0" w:line="276" w:lineRule="auto"/>
              <w:rPr>
                <w:rFonts w:ascii="Arial" w:eastAsia="MS Mincho" w:hAnsi="Arial" w:cs="Arial"/>
                <w:bCs/>
                <w:sz w:val="16"/>
                <w:szCs w:val="16"/>
                <w:lang w:val="en-GB" w:eastAsia="ja-JP"/>
              </w:rPr>
            </w:pPr>
            <w:r>
              <w:rPr>
                <w:rFonts w:ascii="Arial" w:eastAsia="MS Mincho" w:hAnsi="Arial" w:cs="Arial"/>
                <w:bCs/>
                <w:sz w:val="16"/>
                <w:szCs w:val="16"/>
                <w:lang w:val="en-GB" w:eastAsia="ja-JP"/>
              </w:rPr>
              <w:t>UL arrival rate</w:t>
            </w:r>
          </w:p>
        </w:tc>
        <w:tc>
          <w:tcPr>
            <w:tcW w:w="5524"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630416" w:rsidRPr="00AE7715" w:rsidRDefault="006377D0" w:rsidP="006377D0">
            <w:pPr>
              <w:spacing w:after="0" w:line="276" w:lineRule="auto"/>
              <w:rPr>
                <w:rFonts w:ascii="Arial" w:eastAsia="MS Mincho" w:hAnsi="Arial" w:cs="Arial"/>
                <w:bCs/>
                <w:sz w:val="16"/>
                <w:szCs w:val="16"/>
                <w:lang w:val="en-GB" w:eastAsia="ja-JP"/>
              </w:rPr>
            </w:pPr>
            <w:r>
              <w:rPr>
                <w:rFonts w:ascii="Arial" w:eastAsia="MS Mincho" w:hAnsi="Arial" w:cs="Arial"/>
                <w:bCs/>
                <w:sz w:val="16"/>
                <w:szCs w:val="16"/>
                <w:lang w:val="en-GB" w:eastAsia="ja-JP"/>
              </w:rPr>
              <w:t>0.01</w:t>
            </w:r>
          </w:p>
        </w:tc>
      </w:tr>
    </w:tbl>
    <w:p w:rsidR="00864E4A" w:rsidRPr="00D72ED8" w:rsidRDefault="00864E4A" w:rsidP="00864E4A"/>
    <w:sectPr w:rsidR="00864E4A" w:rsidRPr="00D72ED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C90" w:rsidRDefault="006B1C90">
      <w:r>
        <w:separator/>
      </w:r>
    </w:p>
  </w:endnote>
  <w:endnote w:type="continuationSeparator" w:id="0">
    <w:p w:rsidR="006B1C90" w:rsidRDefault="006B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C90" w:rsidRDefault="006B1C90">
      <w:r>
        <w:separator/>
      </w:r>
    </w:p>
  </w:footnote>
  <w:footnote w:type="continuationSeparator" w:id="0">
    <w:p w:rsidR="006B1C90" w:rsidRDefault="006B1C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3"/>
  </w:num>
  <w:num w:numId="5">
    <w:abstractNumId w:val="5"/>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6"/>
  </w:num>
  <w:num w:numId="11">
    <w:abstractNumId w:val="2"/>
  </w:num>
  <w:num w:numId="12">
    <w:abstractNumId w:val="1"/>
  </w:num>
  <w:num w:numId="13">
    <w:abstractNumId w:val="11"/>
  </w:num>
  <w:num w:numId="1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6925"/>
    <w:rsid w:val="00006B8B"/>
    <w:rsid w:val="000110AC"/>
    <w:rsid w:val="00016194"/>
    <w:rsid w:val="00020FD3"/>
    <w:rsid w:val="00021CC2"/>
    <w:rsid w:val="00021EE8"/>
    <w:rsid w:val="00021FE9"/>
    <w:rsid w:val="000315DA"/>
    <w:rsid w:val="00031647"/>
    <w:rsid w:val="00040278"/>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61CB1"/>
    <w:rsid w:val="00062A93"/>
    <w:rsid w:val="000647C0"/>
    <w:rsid w:val="00065D70"/>
    <w:rsid w:val="00067A78"/>
    <w:rsid w:val="00073BC3"/>
    <w:rsid w:val="00075251"/>
    <w:rsid w:val="00075540"/>
    <w:rsid w:val="000761F5"/>
    <w:rsid w:val="00076B98"/>
    <w:rsid w:val="000773DA"/>
    <w:rsid w:val="000804BA"/>
    <w:rsid w:val="00080D27"/>
    <w:rsid w:val="00083027"/>
    <w:rsid w:val="0008343C"/>
    <w:rsid w:val="00084A7D"/>
    <w:rsid w:val="00087FA3"/>
    <w:rsid w:val="0009117E"/>
    <w:rsid w:val="00091C8A"/>
    <w:rsid w:val="000955C4"/>
    <w:rsid w:val="000A3C08"/>
    <w:rsid w:val="000A471A"/>
    <w:rsid w:val="000A7B1E"/>
    <w:rsid w:val="000B3299"/>
    <w:rsid w:val="000B565C"/>
    <w:rsid w:val="000B7E80"/>
    <w:rsid w:val="000C1B39"/>
    <w:rsid w:val="000C47BF"/>
    <w:rsid w:val="000C498F"/>
    <w:rsid w:val="000C5611"/>
    <w:rsid w:val="000C632B"/>
    <w:rsid w:val="000C63C5"/>
    <w:rsid w:val="000C6F99"/>
    <w:rsid w:val="000D19CD"/>
    <w:rsid w:val="000D21E2"/>
    <w:rsid w:val="000D2A94"/>
    <w:rsid w:val="000D47D9"/>
    <w:rsid w:val="000D62C5"/>
    <w:rsid w:val="000E13E3"/>
    <w:rsid w:val="000E4BCD"/>
    <w:rsid w:val="000E639C"/>
    <w:rsid w:val="000F4C3D"/>
    <w:rsid w:val="000F5FE4"/>
    <w:rsid w:val="000F757F"/>
    <w:rsid w:val="00100ACC"/>
    <w:rsid w:val="001036C1"/>
    <w:rsid w:val="00105D24"/>
    <w:rsid w:val="00105E44"/>
    <w:rsid w:val="00110248"/>
    <w:rsid w:val="00110756"/>
    <w:rsid w:val="00111E05"/>
    <w:rsid w:val="00112895"/>
    <w:rsid w:val="00114BF2"/>
    <w:rsid w:val="00117C64"/>
    <w:rsid w:val="00121200"/>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1AD"/>
    <w:rsid w:val="00160343"/>
    <w:rsid w:val="00161062"/>
    <w:rsid w:val="00164ED6"/>
    <w:rsid w:val="001667BD"/>
    <w:rsid w:val="00167084"/>
    <w:rsid w:val="00173DFD"/>
    <w:rsid w:val="00180126"/>
    <w:rsid w:val="00180E36"/>
    <w:rsid w:val="0018358E"/>
    <w:rsid w:val="00190D08"/>
    <w:rsid w:val="00190DFE"/>
    <w:rsid w:val="00194682"/>
    <w:rsid w:val="001948C2"/>
    <w:rsid w:val="00195717"/>
    <w:rsid w:val="001A0B1E"/>
    <w:rsid w:val="001A28FE"/>
    <w:rsid w:val="001A2FF5"/>
    <w:rsid w:val="001A7B82"/>
    <w:rsid w:val="001B4281"/>
    <w:rsid w:val="001B5E24"/>
    <w:rsid w:val="001C101A"/>
    <w:rsid w:val="001C15F6"/>
    <w:rsid w:val="001C17C4"/>
    <w:rsid w:val="001C5151"/>
    <w:rsid w:val="001C5FF7"/>
    <w:rsid w:val="001C7FAE"/>
    <w:rsid w:val="001D2C74"/>
    <w:rsid w:val="001D3D7B"/>
    <w:rsid w:val="001E0B66"/>
    <w:rsid w:val="001E3EE1"/>
    <w:rsid w:val="001F0231"/>
    <w:rsid w:val="001F24B6"/>
    <w:rsid w:val="001F703D"/>
    <w:rsid w:val="00202D37"/>
    <w:rsid w:val="00204F59"/>
    <w:rsid w:val="00205B9A"/>
    <w:rsid w:val="00205D8B"/>
    <w:rsid w:val="002076C2"/>
    <w:rsid w:val="00210590"/>
    <w:rsid w:val="002106ED"/>
    <w:rsid w:val="00221AE6"/>
    <w:rsid w:val="00230019"/>
    <w:rsid w:val="0023012B"/>
    <w:rsid w:val="002309F0"/>
    <w:rsid w:val="00235A20"/>
    <w:rsid w:val="00235FDB"/>
    <w:rsid w:val="00236AA8"/>
    <w:rsid w:val="00241112"/>
    <w:rsid w:val="00243DC2"/>
    <w:rsid w:val="00246837"/>
    <w:rsid w:val="00247F87"/>
    <w:rsid w:val="002538ED"/>
    <w:rsid w:val="002607F3"/>
    <w:rsid w:val="00261EF6"/>
    <w:rsid w:val="00263EEA"/>
    <w:rsid w:val="002648D9"/>
    <w:rsid w:val="002666EF"/>
    <w:rsid w:val="00267909"/>
    <w:rsid w:val="0027235C"/>
    <w:rsid w:val="0027414C"/>
    <w:rsid w:val="00280103"/>
    <w:rsid w:val="00281EB7"/>
    <w:rsid w:val="00290736"/>
    <w:rsid w:val="00290E8E"/>
    <w:rsid w:val="00292AB5"/>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20C2"/>
    <w:rsid w:val="002E4747"/>
    <w:rsid w:val="002E78BC"/>
    <w:rsid w:val="002F0B0B"/>
    <w:rsid w:val="002F4E48"/>
    <w:rsid w:val="003027C8"/>
    <w:rsid w:val="00302A97"/>
    <w:rsid w:val="00303C1F"/>
    <w:rsid w:val="00305D34"/>
    <w:rsid w:val="00311789"/>
    <w:rsid w:val="0031308F"/>
    <w:rsid w:val="00313CFE"/>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3A2F"/>
    <w:rsid w:val="00345CE7"/>
    <w:rsid w:val="0034687F"/>
    <w:rsid w:val="0035139C"/>
    <w:rsid w:val="003521AD"/>
    <w:rsid w:val="003530DA"/>
    <w:rsid w:val="00354230"/>
    <w:rsid w:val="00354E8A"/>
    <w:rsid w:val="00355D12"/>
    <w:rsid w:val="003560F8"/>
    <w:rsid w:val="003566C3"/>
    <w:rsid w:val="00361736"/>
    <w:rsid w:val="00364844"/>
    <w:rsid w:val="00366EF6"/>
    <w:rsid w:val="00367D46"/>
    <w:rsid w:val="00370DD4"/>
    <w:rsid w:val="003726ED"/>
    <w:rsid w:val="0038016E"/>
    <w:rsid w:val="00385B7E"/>
    <w:rsid w:val="00386FFB"/>
    <w:rsid w:val="0039058F"/>
    <w:rsid w:val="00390BE4"/>
    <w:rsid w:val="003914B8"/>
    <w:rsid w:val="00392EFB"/>
    <w:rsid w:val="00393073"/>
    <w:rsid w:val="0039451F"/>
    <w:rsid w:val="00395F40"/>
    <w:rsid w:val="0039712C"/>
    <w:rsid w:val="003A373F"/>
    <w:rsid w:val="003A55B7"/>
    <w:rsid w:val="003A6706"/>
    <w:rsid w:val="003B1C2E"/>
    <w:rsid w:val="003B30B2"/>
    <w:rsid w:val="003B4327"/>
    <w:rsid w:val="003B665E"/>
    <w:rsid w:val="003B7160"/>
    <w:rsid w:val="003B7F0F"/>
    <w:rsid w:val="003C053B"/>
    <w:rsid w:val="003C2775"/>
    <w:rsid w:val="003C74B3"/>
    <w:rsid w:val="003D063F"/>
    <w:rsid w:val="003D2687"/>
    <w:rsid w:val="003D46BE"/>
    <w:rsid w:val="003D46D1"/>
    <w:rsid w:val="003D4B3A"/>
    <w:rsid w:val="003D4BC8"/>
    <w:rsid w:val="003D51BD"/>
    <w:rsid w:val="003F1D19"/>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706A4"/>
    <w:rsid w:val="004724D3"/>
    <w:rsid w:val="004726AB"/>
    <w:rsid w:val="004731A6"/>
    <w:rsid w:val="00474EA4"/>
    <w:rsid w:val="004750C2"/>
    <w:rsid w:val="00476CB2"/>
    <w:rsid w:val="00480C37"/>
    <w:rsid w:val="00480C51"/>
    <w:rsid w:val="0048132D"/>
    <w:rsid w:val="00483DAC"/>
    <w:rsid w:val="00486335"/>
    <w:rsid w:val="00490857"/>
    <w:rsid w:val="00491024"/>
    <w:rsid w:val="004912B8"/>
    <w:rsid w:val="0049335A"/>
    <w:rsid w:val="004963EA"/>
    <w:rsid w:val="00496643"/>
    <w:rsid w:val="004A440A"/>
    <w:rsid w:val="004A5716"/>
    <w:rsid w:val="004A6738"/>
    <w:rsid w:val="004B0426"/>
    <w:rsid w:val="004B05A5"/>
    <w:rsid w:val="004B1775"/>
    <w:rsid w:val="004B45F3"/>
    <w:rsid w:val="004B4948"/>
    <w:rsid w:val="004B4EC9"/>
    <w:rsid w:val="004C00AD"/>
    <w:rsid w:val="004C0CB8"/>
    <w:rsid w:val="004C150F"/>
    <w:rsid w:val="004C15AF"/>
    <w:rsid w:val="004C4198"/>
    <w:rsid w:val="004C41F5"/>
    <w:rsid w:val="004C45F5"/>
    <w:rsid w:val="004C605B"/>
    <w:rsid w:val="004C60CF"/>
    <w:rsid w:val="004D2EC3"/>
    <w:rsid w:val="004D44EA"/>
    <w:rsid w:val="004D56D8"/>
    <w:rsid w:val="004E01EA"/>
    <w:rsid w:val="004E5A17"/>
    <w:rsid w:val="004F16E7"/>
    <w:rsid w:val="004F2271"/>
    <w:rsid w:val="004F354A"/>
    <w:rsid w:val="004F6594"/>
    <w:rsid w:val="004F6D51"/>
    <w:rsid w:val="004F778F"/>
    <w:rsid w:val="0050174D"/>
    <w:rsid w:val="00501B78"/>
    <w:rsid w:val="00503D6B"/>
    <w:rsid w:val="00511BDD"/>
    <w:rsid w:val="00513927"/>
    <w:rsid w:val="00517038"/>
    <w:rsid w:val="00522ED6"/>
    <w:rsid w:val="00524DCF"/>
    <w:rsid w:val="00525433"/>
    <w:rsid w:val="00525D28"/>
    <w:rsid w:val="005273BD"/>
    <w:rsid w:val="005365C9"/>
    <w:rsid w:val="0054263A"/>
    <w:rsid w:val="00543AAF"/>
    <w:rsid w:val="0054455E"/>
    <w:rsid w:val="0054488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085F"/>
    <w:rsid w:val="00584C38"/>
    <w:rsid w:val="00587DFB"/>
    <w:rsid w:val="00592106"/>
    <w:rsid w:val="00592912"/>
    <w:rsid w:val="00593806"/>
    <w:rsid w:val="00595A83"/>
    <w:rsid w:val="00596FDB"/>
    <w:rsid w:val="0059722A"/>
    <w:rsid w:val="005975E4"/>
    <w:rsid w:val="005A1DDB"/>
    <w:rsid w:val="005A2711"/>
    <w:rsid w:val="005A36F1"/>
    <w:rsid w:val="005A701A"/>
    <w:rsid w:val="005B5D3D"/>
    <w:rsid w:val="005B635F"/>
    <w:rsid w:val="005B67F5"/>
    <w:rsid w:val="005C01EF"/>
    <w:rsid w:val="005C1686"/>
    <w:rsid w:val="005C223E"/>
    <w:rsid w:val="005C25EC"/>
    <w:rsid w:val="005C4F36"/>
    <w:rsid w:val="005C7BC1"/>
    <w:rsid w:val="005D1937"/>
    <w:rsid w:val="005D20F1"/>
    <w:rsid w:val="005D3C81"/>
    <w:rsid w:val="005D6123"/>
    <w:rsid w:val="005D75E9"/>
    <w:rsid w:val="005E117C"/>
    <w:rsid w:val="005E12CA"/>
    <w:rsid w:val="005E1EF3"/>
    <w:rsid w:val="005E29A5"/>
    <w:rsid w:val="005F0197"/>
    <w:rsid w:val="005F2E9A"/>
    <w:rsid w:val="005F49DE"/>
    <w:rsid w:val="005F64FF"/>
    <w:rsid w:val="005F7976"/>
    <w:rsid w:val="00603F7B"/>
    <w:rsid w:val="00605E58"/>
    <w:rsid w:val="00606BAA"/>
    <w:rsid w:val="00607302"/>
    <w:rsid w:val="00610541"/>
    <w:rsid w:val="006166F0"/>
    <w:rsid w:val="00617343"/>
    <w:rsid w:val="00620BE8"/>
    <w:rsid w:val="00620F89"/>
    <w:rsid w:val="00621246"/>
    <w:rsid w:val="00621EE9"/>
    <w:rsid w:val="00623ECE"/>
    <w:rsid w:val="0062462F"/>
    <w:rsid w:val="006246ED"/>
    <w:rsid w:val="00624887"/>
    <w:rsid w:val="0062587D"/>
    <w:rsid w:val="00630416"/>
    <w:rsid w:val="00630A64"/>
    <w:rsid w:val="00631265"/>
    <w:rsid w:val="00636D1E"/>
    <w:rsid w:val="00637358"/>
    <w:rsid w:val="006377D0"/>
    <w:rsid w:val="006407B5"/>
    <w:rsid w:val="006414B7"/>
    <w:rsid w:val="00645856"/>
    <w:rsid w:val="00645F4C"/>
    <w:rsid w:val="006471B0"/>
    <w:rsid w:val="00654E6E"/>
    <w:rsid w:val="00655B65"/>
    <w:rsid w:val="00664204"/>
    <w:rsid w:val="00666E4E"/>
    <w:rsid w:val="006713F3"/>
    <w:rsid w:val="00673D75"/>
    <w:rsid w:val="00674BBB"/>
    <w:rsid w:val="00675676"/>
    <w:rsid w:val="00680A5A"/>
    <w:rsid w:val="00681EA2"/>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8E8"/>
    <w:rsid w:val="006B5DFA"/>
    <w:rsid w:val="006B7F53"/>
    <w:rsid w:val="006C0CA7"/>
    <w:rsid w:val="006C1D67"/>
    <w:rsid w:val="006C2FAE"/>
    <w:rsid w:val="006C346B"/>
    <w:rsid w:val="006C3C52"/>
    <w:rsid w:val="006C66AD"/>
    <w:rsid w:val="006D0FDF"/>
    <w:rsid w:val="006D6280"/>
    <w:rsid w:val="006E26DD"/>
    <w:rsid w:val="006E31ED"/>
    <w:rsid w:val="006F36CB"/>
    <w:rsid w:val="006F3968"/>
    <w:rsid w:val="006F614A"/>
    <w:rsid w:val="006F7B83"/>
    <w:rsid w:val="00702C58"/>
    <w:rsid w:val="00710F30"/>
    <w:rsid w:val="0071236A"/>
    <w:rsid w:val="00712516"/>
    <w:rsid w:val="007151BC"/>
    <w:rsid w:val="007166F9"/>
    <w:rsid w:val="00717340"/>
    <w:rsid w:val="007177D7"/>
    <w:rsid w:val="007208DC"/>
    <w:rsid w:val="00720AEA"/>
    <w:rsid w:val="0072212C"/>
    <w:rsid w:val="00735673"/>
    <w:rsid w:val="007358BD"/>
    <w:rsid w:val="007371B6"/>
    <w:rsid w:val="00741B34"/>
    <w:rsid w:val="00743177"/>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4749"/>
    <w:rsid w:val="007A5761"/>
    <w:rsid w:val="007A5E04"/>
    <w:rsid w:val="007A5EB6"/>
    <w:rsid w:val="007A6BD3"/>
    <w:rsid w:val="007A7564"/>
    <w:rsid w:val="007A7595"/>
    <w:rsid w:val="007A78FD"/>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40DA"/>
    <w:rsid w:val="007E52E1"/>
    <w:rsid w:val="007E6677"/>
    <w:rsid w:val="007E6A07"/>
    <w:rsid w:val="007F1623"/>
    <w:rsid w:val="007F2DC3"/>
    <w:rsid w:val="007F4BB0"/>
    <w:rsid w:val="008003E3"/>
    <w:rsid w:val="00803B9C"/>
    <w:rsid w:val="00806378"/>
    <w:rsid w:val="008132F0"/>
    <w:rsid w:val="00815506"/>
    <w:rsid w:val="00816D90"/>
    <w:rsid w:val="00821311"/>
    <w:rsid w:val="008233F0"/>
    <w:rsid w:val="00823FE1"/>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4E4A"/>
    <w:rsid w:val="00866459"/>
    <w:rsid w:val="00867B4C"/>
    <w:rsid w:val="00867C8A"/>
    <w:rsid w:val="008715DA"/>
    <w:rsid w:val="008732C5"/>
    <w:rsid w:val="0087537B"/>
    <w:rsid w:val="00882846"/>
    <w:rsid w:val="00883380"/>
    <w:rsid w:val="008909B3"/>
    <w:rsid w:val="0089260E"/>
    <w:rsid w:val="00892E43"/>
    <w:rsid w:val="00892EF1"/>
    <w:rsid w:val="00893B6A"/>
    <w:rsid w:val="00894FD8"/>
    <w:rsid w:val="00896264"/>
    <w:rsid w:val="008969FF"/>
    <w:rsid w:val="00896EEB"/>
    <w:rsid w:val="008A3C16"/>
    <w:rsid w:val="008A5849"/>
    <w:rsid w:val="008A74E8"/>
    <w:rsid w:val="008B3735"/>
    <w:rsid w:val="008B5A17"/>
    <w:rsid w:val="008B6CB9"/>
    <w:rsid w:val="008C18F6"/>
    <w:rsid w:val="008C4247"/>
    <w:rsid w:val="008C5852"/>
    <w:rsid w:val="008D0C16"/>
    <w:rsid w:val="008D0E94"/>
    <w:rsid w:val="008D318C"/>
    <w:rsid w:val="008D539A"/>
    <w:rsid w:val="008D61F1"/>
    <w:rsid w:val="008D7FE3"/>
    <w:rsid w:val="008E08A3"/>
    <w:rsid w:val="008E7348"/>
    <w:rsid w:val="008F0808"/>
    <w:rsid w:val="008F2727"/>
    <w:rsid w:val="008F5767"/>
    <w:rsid w:val="008F57BA"/>
    <w:rsid w:val="008F5E05"/>
    <w:rsid w:val="00900B4D"/>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37F"/>
    <w:rsid w:val="00936E6E"/>
    <w:rsid w:val="00937D5D"/>
    <w:rsid w:val="00942E74"/>
    <w:rsid w:val="009434B9"/>
    <w:rsid w:val="00943A1D"/>
    <w:rsid w:val="00945913"/>
    <w:rsid w:val="009461C2"/>
    <w:rsid w:val="0094708D"/>
    <w:rsid w:val="009474F5"/>
    <w:rsid w:val="009506E5"/>
    <w:rsid w:val="00952DF2"/>
    <w:rsid w:val="009613D3"/>
    <w:rsid w:val="009656D2"/>
    <w:rsid w:val="00971C1A"/>
    <w:rsid w:val="009720D8"/>
    <w:rsid w:val="009722BA"/>
    <w:rsid w:val="0097391E"/>
    <w:rsid w:val="00976AB9"/>
    <w:rsid w:val="00976F0C"/>
    <w:rsid w:val="00981FB1"/>
    <w:rsid w:val="00982A90"/>
    <w:rsid w:val="00986F47"/>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C3870"/>
    <w:rsid w:val="009C3FA8"/>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5B67"/>
    <w:rsid w:val="00A56873"/>
    <w:rsid w:val="00A62CE6"/>
    <w:rsid w:val="00A62F0A"/>
    <w:rsid w:val="00A635CC"/>
    <w:rsid w:val="00A66934"/>
    <w:rsid w:val="00A677FA"/>
    <w:rsid w:val="00A7184D"/>
    <w:rsid w:val="00A76F86"/>
    <w:rsid w:val="00A918CD"/>
    <w:rsid w:val="00A91A49"/>
    <w:rsid w:val="00AA39BD"/>
    <w:rsid w:val="00AA3E26"/>
    <w:rsid w:val="00AA46A3"/>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96E"/>
    <w:rsid w:val="00AC63D1"/>
    <w:rsid w:val="00AC677C"/>
    <w:rsid w:val="00AD562B"/>
    <w:rsid w:val="00AE1B95"/>
    <w:rsid w:val="00AE245E"/>
    <w:rsid w:val="00AE6ADA"/>
    <w:rsid w:val="00AE7EA7"/>
    <w:rsid w:val="00B0107B"/>
    <w:rsid w:val="00B05314"/>
    <w:rsid w:val="00B05597"/>
    <w:rsid w:val="00B068A9"/>
    <w:rsid w:val="00B07169"/>
    <w:rsid w:val="00B10F46"/>
    <w:rsid w:val="00B11E57"/>
    <w:rsid w:val="00B12BF5"/>
    <w:rsid w:val="00B1307E"/>
    <w:rsid w:val="00B130AC"/>
    <w:rsid w:val="00B133B6"/>
    <w:rsid w:val="00B15770"/>
    <w:rsid w:val="00B179B8"/>
    <w:rsid w:val="00B17F9C"/>
    <w:rsid w:val="00B2242E"/>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58E5"/>
    <w:rsid w:val="00B47ACC"/>
    <w:rsid w:val="00B52E20"/>
    <w:rsid w:val="00B60171"/>
    <w:rsid w:val="00B61385"/>
    <w:rsid w:val="00B6298D"/>
    <w:rsid w:val="00B72EEA"/>
    <w:rsid w:val="00B74A2F"/>
    <w:rsid w:val="00B7627B"/>
    <w:rsid w:val="00B82644"/>
    <w:rsid w:val="00B83373"/>
    <w:rsid w:val="00B8361E"/>
    <w:rsid w:val="00B87533"/>
    <w:rsid w:val="00B8772E"/>
    <w:rsid w:val="00B92819"/>
    <w:rsid w:val="00B94B33"/>
    <w:rsid w:val="00B95FEE"/>
    <w:rsid w:val="00B96C62"/>
    <w:rsid w:val="00B97256"/>
    <w:rsid w:val="00BA4CE0"/>
    <w:rsid w:val="00BA4E15"/>
    <w:rsid w:val="00BA57C0"/>
    <w:rsid w:val="00BA6430"/>
    <w:rsid w:val="00BB00DE"/>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0EC1"/>
    <w:rsid w:val="00BF5766"/>
    <w:rsid w:val="00BF5A89"/>
    <w:rsid w:val="00C003B8"/>
    <w:rsid w:val="00C007A7"/>
    <w:rsid w:val="00C0242D"/>
    <w:rsid w:val="00C03A02"/>
    <w:rsid w:val="00C064DF"/>
    <w:rsid w:val="00C11634"/>
    <w:rsid w:val="00C131A2"/>
    <w:rsid w:val="00C13AAA"/>
    <w:rsid w:val="00C13EE8"/>
    <w:rsid w:val="00C14E11"/>
    <w:rsid w:val="00C2031B"/>
    <w:rsid w:val="00C2068C"/>
    <w:rsid w:val="00C2294C"/>
    <w:rsid w:val="00C2521A"/>
    <w:rsid w:val="00C2677C"/>
    <w:rsid w:val="00C273A7"/>
    <w:rsid w:val="00C30115"/>
    <w:rsid w:val="00C31F06"/>
    <w:rsid w:val="00C31F55"/>
    <w:rsid w:val="00C31FFF"/>
    <w:rsid w:val="00C32D3E"/>
    <w:rsid w:val="00C33509"/>
    <w:rsid w:val="00C340E5"/>
    <w:rsid w:val="00C34B21"/>
    <w:rsid w:val="00C35959"/>
    <w:rsid w:val="00C46206"/>
    <w:rsid w:val="00C54EF2"/>
    <w:rsid w:val="00C56966"/>
    <w:rsid w:val="00C57F07"/>
    <w:rsid w:val="00C61275"/>
    <w:rsid w:val="00C62A2F"/>
    <w:rsid w:val="00C6413D"/>
    <w:rsid w:val="00C64278"/>
    <w:rsid w:val="00C65BF5"/>
    <w:rsid w:val="00C676FF"/>
    <w:rsid w:val="00C711CA"/>
    <w:rsid w:val="00C753E0"/>
    <w:rsid w:val="00C77940"/>
    <w:rsid w:val="00C84A21"/>
    <w:rsid w:val="00C87F13"/>
    <w:rsid w:val="00C87FEB"/>
    <w:rsid w:val="00C91077"/>
    <w:rsid w:val="00C94D69"/>
    <w:rsid w:val="00CA0854"/>
    <w:rsid w:val="00CA5C25"/>
    <w:rsid w:val="00CB077B"/>
    <w:rsid w:val="00CB088F"/>
    <w:rsid w:val="00CB0918"/>
    <w:rsid w:val="00CB0F16"/>
    <w:rsid w:val="00CB0F45"/>
    <w:rsid w:val="00CB175E"/>
    <w:rsid w:val="00CB241A"/>
    <w:rsid w:val="00CB4FD5"/>
    <w:rsid w:val="00CB530F"/>
    <w:rsid w:val="00CB6236"/>
    <w:rsid w:val="00CB6C40"/>
    <w:rsid w:val="00CB7892"/>
    <w:rsid w:val="00CB7E36"/>
    <w:rsid w:val="00CC39A0"/>
    <w:rsid w:val="00CC3F20"/>
    <w:rsid w:val="00CC6A99"/>
    <w:rsid w:val="00CD7D5F"/>
    <w:rsid w:val="00CE510B"/>
    <w:rsid w:val="00CE67D7"/>
    <w:rsid w:val="00CF1DFC"/>
    <w:rsid w:val="00CF3DF8"/>
    <w:rsid w:val="00CF443F"/>
    <w:rsid w:val="00CF6EF5"/>
    <w:rsid w:val="00D03376"/>
    <w:rsid w:val="00D0768D"/>
    <w:rsid w:val="00D2272A"/>
    <w:rsid w:val="00D25D52"/>
    <w:rsid w:val="00D261B0"/>
    <w:rsid w:val="00D261DB"/>
    <w:rsid w:val="00D268F5"/>
    <w:rsid w:val="00D26BA5"/>
    <w:rsid w:val="00D27804"/>
    <w:rsid w:val="00D31F18"/>
    <w:rsid w:val="00D33A14"/>
    <w:rsid w:val="00D4075D"/>
    <w:rsid w:val="00D44351"/>
    <w:rsid w:val="00D50E5B"/>
    <w:rsid w:val="00D512E0"/>
    <w:rsid w:val="00D51C82"/>
    <w:rsid w:val="00D5403D"/>
    <w:rsid w:val="00D54B45"/>
    <w:rsid w:val="00D602CE"/>
    <w:rsid w:val="00D603CE"/>
    <w:rsid w:val="00D615FE"/>
    <w:rsid w:val="00D64474"/>
    <w:rsid w:val="00D64DCE"/>
    <w:rsid w:val="00D662CC"/>
    <w:rsid w:val="00D67D2D"/>
    <w:rsid w:val="00D72C9B"/>
    <w:rsid w:val="00D72ED8"/>
    <w:rsid w:val="00D73980"/>
    <w:rsid w:val="00D7480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1AA"/>
    <w:rsid w:val="00DA4395"/>
    <w:rsid w:val="00DA506C"/>
    <w:rsid w:val="00DA5D4A"/>
    <w:rsid w:val="00DA7294"/>
    <w:rsid w:val="00DC20BE"/>
    <w:rsid w:val="00DC37A0"/>
    <w:rsid w:val="00DC3A8B"/>
    <w:rsid w:val="00DC4812"/>
    <w:rsid w:val="00DC6F2B"/>
    <w:rsid w:val="00DD1669"/>
    <w:rsid w:val="00DD17AC"/>
    <w:rsid w:val="00DD2B3A"/>
    <w:rsid w:val="00DD454B"/>
    <w:rsid w:val="00DD47E9"/>
    <w:rsid w:val="00DD4A2A"/>
    <w:rsid w:val="00DD628C"/>
    <w:rsid w:val="00DD643C"/>
    <w:rsid w:val="00DD7033"/>
    <w:rsid w:val="00DE1561"/>
    <w:rsid w:val="00DE2A83"/>
    <w:rsid w:val="00DF0656"/>
    <w:rsid w:val="00DF3AB5"/>
    <w:rsid w:val="00DF5053"/>
    <w:rsid w:val="00DF55C4"/>
    <w:rsid w:val="00DF5FBC"/>
    <w:rsid w:val="00DF6A3C"/>
    <w:rsid w:val="00E029E7"/>
    <w:rsid w:val="00E02D92"/>
    <w:rsid w:val="00E03240"/>
    <w:rsid w:val="00E05762"/>
    <w:rsid w:val="00E059AC"/>
    <w:rsid w:val="00E05DF5"/>
    <w:rsid w:val="00E1379E"/>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392"/>
    <w:rsid w:val="00E50CE8"/>
    <w:rsid w:val="00E51C64"/>
    <w:rsid w:val="00E525E0"/>
    <w:rsid w:val="00E54928"/>
    <w:rsid w:val="00E5617F"/>
    <w:rsid w:val="00E6785A"/>
    <w:rsid w:val="00E67880"/>
    <w:rsid w:val="00E7111A"/>
    <w:rsid w:val="00E71D9A"/>
    <w:rsid w:val="00E73323"/>
    <w:rsid w:val="00E74330"/>
    <w:rsid w:val="00E7491B"/>
    <w:rsid w:val="00E75AEB"/>
    <w:rsid w:val="00E775E1"/>
    <w:rsid w:val="00E77F50"/>
    <w:rsid w:val="00E81647"/>
    <w:rsid w:val="00E828A9"/>
    <w:rsid w:val="00E82A03"/>
    <w:rsid w:val="00E8646A"/>
    <w:rsid w:val="00E86F26"/>
    <w:rsid w:val="00E9353F"/>
    <w:rsid w:val="00E94DEF"/>
    <w:rsid w:val="00E95A52"/>
    <w:rsid w:val="00E96155"/>
    <w:rsid w:val="00E97874"/>
    <w:rsid w:val="00E97CB2"/>
    <w:rsid w:val="00E97E6E"/>
    <w:rsid w:val="00EA18AF"/>
    <w:rsid w:val="00EA59C7"/>
    <w:rsid w:val="00EA664C"/>
    <w:rsid w:val="00EB11A0"/>
    <w:rsid w:val="00EB39E5"/>
    <w:rsid w:val="00EB4D13"/>
    <w:rsid w:val="00EB5224"/>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06485"/>
    <w:rsid w:val="00F132BB"/>
    <w:rsid w:val="00F14579"/>
    <w:rsid w:val="00F15F9B"/>
    <w:rsid w:val="00F17B82"/>
    <w:rsid w:val="00F2045B"/>
    <w:rsid w:val="00F2068D"/>
    <w:rsid w:val="00F20869"/>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3D2B"/>
    <w:rsid w:val="00F7656A"/>
    <w:rsid w:val="00F815AF"/>
    <w:rsid w:val="00F8399D"/>
    <w:rsid w:val="00F84FE7"/>
    <w:rsid w:val="00F850AB"/>
    <w:rsid w:val="00F853B3"/>
    <w:rsid w:val="00F86617"/>
    <w:rsid w:val="00F910C7"/>
    <w:rsid w:val="00F920E0"/>
    <w:rsid w:val="00F944C7"/>
    <w:rsid w:val="00F960E7"/>
    <w:rsid w:val="00FA29F6"/>
    <w:rsid w:val="00FA2FD6"/>
    <w:rsid w:val="00FA3999"/>
    <w:rsid w:val="00FB061F"/>
    <w:rsid w:val="00FB1380"/>
    <w:rsid w:val="00FB1663"/>
    <w:rsid w:val="00FB1718"/>
    <w:rsid w:val="00FC054B"/>
    <w:rsid w:val="00FC6693"/>
    <w:rsid w:val="00FC7F1E"/>
    <w:rsid w:val="00FD5337"/>
    <w:rsid w:val="00FD60B5"/>
    <w:rsid w:val="00FE0166"/>
    <w:rsid w:val="00FE0B35"/>
    <w:rsid w:val="00FE273A"/>
    <w:rsid w:val="00FE2B69"/>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9940E-041D-4B72-9B90-D75EC8DAE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4</Pages>
  <Words>1818</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21</cp:revision>
  <cp:lastPrinted>2018-01-12T00:47:00Z</cp:lastPrinted>
  <dcterms:created xsi:type="dcterms:W3CDTF">2018-01-12T00:36:00Z</dcterms:created>
  <dcterms:modified xsi:type="dcterms:W3CDTF">2018-02-16T00:35:00Z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