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124F534B" w:rsidR="0015141B" w:rsidRPr="00EE006E" w:rsidRDefault="0015141B" w:rsidP="0015141B">
      <w:pPr>
        <w:pStyle w:val="CRCoverPage"/>
        <w:tabs>
          <w:tab w:val="right" w:pos="9639"/>
        </w:tabs>
        <w:spacing w:after="0"/>
        <w:jc w:val="both"/>
        <w:rPr>
          <w:b/>
          <w:i/>
          <w:noProof/>
          <w:sz w:val="24"/>
          <w:szCs w:val="24"/>
          <w:lang w:eastAsia="ko-KR"/>
        </w:rPr>
      </w:pPr>
      <w:bookmarkStart w:id="0" w:name="OLE_LINK1"/>
      <w:bookmarkStart w:id="1" w:name="OLE_LINK2"/>
      <w:r w:rsidRPr="00EE006E">
        <w:rPr>
          <w:b/>
          <w:sz w:val="24"/>
          <w:szCs w:val="24"/>
        </w:rPr>
        <w:t xml:space="preserve">3GPP TSG </w:t>
      </w:r>
      <w:r w:rsidRPr="00EE006E">
        <w:rPr>
          <w:rFonts w:hint="eastAsia"/>
          <w:b/>
          <w:sz w:val="24"/>
          <w:szCs w:val="24"/>
          <w:lang w:eastAsia="ko-KR"/>
        </w:rPr>
        <w:t xml:space="preserve">RAN </w:t>
      </w:r>
      <w:r w:rsidR="00E05091" w:rsidRPr="00EE006E">
        <w:rPr>
          <w:b/>
          <w:sz w:val="24"/>
          <w:szCs w:val="24"/>
          <w:lang w:eastAsia="ko-KR"/>
        </w:rPr>
        <w:t>WG1#91</w:t>
      </w:r>
      <w:r w:rsidRPr="00EE006E">
        <w:rPr>
          <w:rFonts w:hint="eastAsia"/>
          <w:b/>
          <w:sz w:val="24"/>
          <w:szCs w:val="24"/>
          <w:lang w:eastAsia="ko-KR"/>
        </w:rPr>
        <w:tab/>
      </w:r>
      <w:r w:rsidRPr="007D6F04">
        <w:rPr>
          <w:rFonts w:hint="eastAsia"/>
          <w:b/>
          <w:i/>
          <w:sz w:val="24"/>
          <w:szCs w:val="24"/>
          <w:lang w:eastAsia="ko-KR"/>
        </w:rPr>
        <w:t>R1-</w:t>
      </w:r>
      <w:r w:rsidR="007D6F04" w:rsidRPr="007D6F04">
        <w:rPr>
          <w:b/>
          <w:i/>
          <w:sz w:val="24"/>
          <w:szCs w:val="24"/>
          <w:lang w:eastAsia="ko-KR"/>
        </w:rPr>
        <w:t>1721434</w:t>
      </w:r>
    </w:p>
    <w:bookmarkEnd w:id="0"/>
    <w:bookmarkEnd w:id="1"/>
    <w:p w14:paraId="4186FD92" w14:textId="4ECBDA02" w:rsidR="0015141B" w:rsidRPr="00EE006E" w:rsidRDefault="00E05091" w:rsidP="0015141B">
      <w:pPr>
        <w:pStyle w:val="CRCoverPage"/>
        <w:spacing w:after="240"/>
        <w:jc w:val="both"/>
        <w:outlineLvl w:val="0"/>
        <w:rPr>
          <w:b/>
          <w:noProof/>
          <w:sz w:val="24"/>
          <w:szCs w:val="24"/>
        </w:rPr>
      </w:pPr>
      <w:r w:rsidRPr="00EE006E">
        <w:rPr>
          <w:b/>
          <w:bCs/>
          <w:noProof/>
          <w:sz w:val="24"/>
          <w:szCs w:val="24"/>
          <w:lang w:eastAsia="ko-KR"/>
        </w:rPr>
        <w:t>Reno</w:t>
      </w:r>
      <w:r w:rsidR="0015141B" w:rsidRPr="00EE006E">
        <w:rPr>
          <w:b/>
          <w:bCs/>
          <w:noProof/>
          <w:sz w:val="24"/>
          <w:szCs w:val="24"/>
          <w:lang w:eastAsia="ko-KR"/>
        </w:rPr>
        <w:t xml:space="preserve">, </w:t>
      </w:r>
      <w:r w:rsidRPr="00EE006E">
        <w:rPr>
          <w:b/>
          <w:bCs/>
          <w:noProof/>
          <w:sz w:val="24"/>
          <w:szCs w:val="24"/>
          <w:lang w:eastAsia="ko-KR"/>
        </w:rPr>
        <w:t>USA</w:t>
      </w:r>
      <w:r w:rsidR="0015141B" w:rsidRPr="00EE006E">
        <w:rPr>
          <w:b/>
          <w:bCs/>
          <w:noProof/>
          <w:sz w:val="24"/>
          <w:szCs w:val="24"/>
          <w:lang w:eastAsia="ko-KR"/>
        </w:rPr>
        <w:t xml:space="preserve">, </w:t>
      </w:r>
      <w:r w:rsidRPr="00EE006E">
        <w:rPr>
          <w:b/>
          <w:bCs/>
          <w:noProof/>
          <w:sz w:val="24"/>
          <w:szCs w:val="24"/>
          <w:lang w:eastAsia="ko-KR"/>
        </w:rPr>
        <w:t>November 27</w:t>
      </w:r>
      <w:r w:rsidRPr="00EE006E">
        <w:rPr>
          <w:b/>
          <w:bCs/>
          <w:noProof/>
          <w:sz w:val="24"/>
          <w:szCs w:val="24"/>
          <w:vertAlign w:val="superscript"/>
          <w:lang w:eastAsia="ko-KR"/>
        </w:rPr>
        <w:t xml:space="preserve">th </w:t>
      </w:r>
      <w:r w:rsidRPr="00EE006E">
        <w:rPr>
          <w:b/>
          <w:bCs/>
          <w:noProof/>
          <w:sz w:val="24"/>
          <w:szCs w:val="24"/>
          <w:lang w:eastAsia="ko-KR"/>
        </w:rPr>
        <w:t>– December 1</w:t>
      </w:r>
      <w:r w:rsidRPr="00EE006E">
        <w:rPr>
          <w:b/>
          <w:bCs/>
          <w:noProof/>
          <w:sz w:val="24"/>
          <w:szCs w:val="24"/>
          <w:vertAlign w:val="superscript"/>
          <w:lang w:eastAsia="ko-KR"/>
        </w:rPr>
        <w:t>st</w:t>
      </w:r>
      <w:r w:rsidRPr="00EE006E">
        <w:rPr>
          <w:b/>
          <w:bCs/>
          <w:noProof/>
          <w:sz w:val="24"/>
          <w:szCs w:val="24"/>
          <w:lang w:eastAsia="ko-KR"/>
        </w:rPr>
        <w:t>, 2017</w:t>
      </w:r>
    </w:p>
    <w:p w14:paraId="08664EDD" w14:textId="0743FBA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29A9FA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EE006E">
        <w:rPr>
          <w:rFonts w:ascii="Arial" w:hAnsi="Arial"/>
          <w:sz w:val="24"/>
        </w:rPr>
        <w:t xml:space="preserve">Remaining details on </w:t>
      </w:r>
      <w:r w:rsidR="00530B88" w:rsidRPr="00EE006E">
        <w:rPr>
          <w:rFonts w:ascii="Arial" w:hAnsi="Arial"/>
          <w:sz w:val="24"/>
        </w:rPr>
        <w:t>sync signals</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AA26142" w14:textId="0B0BC29A" w:rsidR="007D6F04" w:rsidRPr="007D6F04" w:rsidRDefault="007D6F04" w:rsidP="007D6F04">
      <w:pPr>
        <w:rPr>
          <w:lang w:val="en-US"/>
        </w:rPr>
      </w:pPr>
      <w:r>
        <w:rPr>
          <w:lang w:val="en-US"/>
        </w:rPr>
        <w:t xml:space="preserve">This contribution is a revision to </w:t>
      </w:r>
      <w:r w:rsidRPr="007D6F04">
        <w:rPr>
          <w:lang w:val="en-US"/>
        </w:rPr>
        <w:t>R1-1720272</w:t>
      </w:r>
      <w:r>
        <w:rPr>
          <w:lang w:val="en-US"/>
        </w:rPr>
        <w:t>, by adding more evaluation results on the SS/PBCH block c</w:t>
      </w:r>
      <w:r w:rsidRPr="007D6F04">
        <w:rPr>
          <w:lang w:val="en-US"/>
        </w:rPr>
        <w:t>omposition</w:t>
      </w:r>
      <w:r>
        <w:rPr>
          <w:lang w:val="en-US"/>
        </w:rPr>
        <w:t>.</w:t>
      </w:r>
      <w:bookmarkStart w:id="3" w:name="_GoBack"/>
      <w:bookmarkEnd w:id="3"/>
    </w:p>
    <w:p w14:paraId="009FBBD7" w14:textId="05B37F6D" w:rsidR="00C4654D" w:rsidRPr="00EE006E" w:rsidRDefault="00EB2B9B" w:rsidP="008E6CE3">
      <w:pPr>
        <w:rPr>
          <w:lang w:val="en-US" w:eastAsia="ja-JP"/>
        </w:rPr>
      </w:pPr>
      <w:r w:rsidRPr="00EE006E">
        <w:rPr>
          <w:lang w:val="en-US" w:eastAsia="ja-JP"/>
        </w:rPr>
        <w:t>This contribution discusses the following remaining issues on sync signals:</w:t>
      </w:r>
    </w:p>
    <w:p w14:paraId="440818FD" w14:textId="33BF9F8E" w:rsidR="00EB2B9B" w:rsidRPr="00EE006E" w:rsidRDefault="00EB2B9B" w:rsidP="00EB2B9B">
      <w:pPr>
        <w:pStyle w:val="ListParagraph"/>
        <w:numPr>
          <w:ilvl w:val="0"/>
          <w:numId w:val="43"/>
        </w:numPr>
        <w:ind w:leftChars="0"/>
        <w:rPr>
          <w:lang w:val="en-US" w:eastAsia="ja-JP"/>
        </w:rPr>
      </w:pPr>
      <w:r w:rsidRPr="00EE006E">
        <w:rPr>
          <w:lang w:val="en-US" w:eastAsia="ja-JP"/>
        </w:rPr>
        <w:t>SSB composition</w:t>
      </w:r>
    </w:p>
    <w:p w14:paraId="5958DCC8" w14:textId="4F06E82E" w:rsidR="00EB2B9B" w:rsidRPr="00EE006E" w:rsidRDefault="00EB2B9B" w:rsidP="00EB2B9B">
      <w:pPr>
        <w:pStyle w:val="ListParagraph"/>
        <w:numPr>
          <w:ilvl w:val="0"/>
          <w:numId w:val="43"/>
        </w:numPr>
        <w:ind w:leftChars="0"/>
        <w:rPr>
          <w:lang w:val="en-US" w:eastAsia="ja-JP"/>
        </w:rPr>
      </w:pPr>
      <w:r w:rsidRPr="00EE006E">
        <w:rPr>
          <w:lang w:val="en-US" w:eastAsia="ja-JP"/>
        </w:rPr>
        <w:t xml:space="preserve">OFDM </w:t>
      </w:r>
      <w:r w:rsidR="0085720E" w:rsidRPr="00EE006E">
        <w:rPr>
          <w:lang w:val="en-US" w:eastAsia="ja-JP"/>
        </w:rPr>
        <w:t xml:space="preserve">baseband signal </w:t>
      </w:r>
      <w:r w:rsidRPr="00EE006E">
        <w:rPr>
          <w:lang w:val="en-US" w:eastAsia="ja-JP"/>
        </w:rPr>
        <w:t>generation for SSB and RMSI</w:t>
      </w:r>
    </w:p>
    <w:p w14:paraId="411AC876" w14:textId="2248874D" w:rsidR="00EB2B9B" w:rsidRPr="00EE006E" w:rsidRDefault="00EB2B9B" w:rsidP="00EB2B9B">
      <w:pPr>
        <w:pStyle w:val="ListParagraph"/>
        <w:numPr>
          <w:ilvl w:val="0"/>
          <w:numId w:val="43"/>
        </w:numPr>
        <w:ind w:leftChars="0"/>
        <w:rPr>
          <w:lang w:val="en-US" w:eastAsia="ja-JP"/>
        </w:rPr>
      </w:pPr>
      <w:r w:rsidRPr="00EE006E">
        <w:rPr>
          <w:lang w:val="en-US" w:eastAsia="ja-JP"/>
        </w:rPr>
        <w:t xml:space="preserve">Further details on rate matching </w:t>
      </w:r>
    </w:p>
    <w:p w14:paraId="761CB028" w14:textId="4B045898" w:rsidR="000A4899" w:rsidRPr="00EE006E" w:rsidRDefault="003C3B35"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Remaining Issues on SS/PBCH Block Composition</w:t>
      </w:r>
    </w:p>
    <w:p w14:paraId="77C92542" w14:textId="07B6E272" w:rsidR="0021679E" w:rsidRPr="00EE006E" w:rsidRDefault="003C3B35" w:rsidP="00EB2B9B">
      <w:pPr>
        <w:spacing w:after="0"/>
        <w:jc w:val="both"/>
      </w:pPr>
      <w:r w:rsidRPr="00EE006E">
        <w:t xml:space="preserve">In RAN1 #90bis [1], </w:t>
      </w:r>
      <w:r w:rsidR="0021679E" w:rsidRPr="00EE006E">
        <w:t xml:space="preserve">in order to support multiple numerology for a limited number of bands and to reduce the number of SS entries for searching in initial access, </w:t>
      </w:r>
      <w:r w:rsidRPr="00EE006E">
        <w:t xml:space="preserve">a revised SS/PBCH block composition design was agreed, wherein the PBCH bandwidth has been reduced from 24 PRBs per symbol to </w:t>
      </w:r>
      <w:r w:rsidR="0021679E" w:rsidRPr="00EE006E">
        <w:t>X</w:t>
      </w:r>
      <w:r w:rsidR="00A053C7" w:rsidRPr="00EE006E">
        <w:t xml:space="preserve"> </w:t>
      </w:r>
      <w:r w:rsidR="0021679E" w:rsidRPr="00EE006E">
        <w:t>=</w:t>
      </w:r>
      <w:r w:rsidR="00A053C7" w:rsidRPr="00EE006E">
        <w:t xml:space="preserve"> </w:t>
      </w:r>
      <w:r w:rsidR="0021679E" w:rsidRPr="00EE006E">
        <w:t>[20] PRBs per symbol, and the reduced Y</w:t>
      </w:r>
      <w:r w:rsidR="00A053C7" w:rsidRPr="00EE006E">
        <w:t xml:space="preserve"> </w:t>
      </w:r>
      <w:r w:rsidR="0021679E" w:rsidRPr="00EE006E">
        <w:t>=</w:t>
      </w:r>
      <w:r w:rsidR="00A053C7" w:rsidRPr="00EE006E">
        <w:t xml:space="preserve"> </w:t>
      </w:r>
      <w:r w:rsidR="0021679E" w:rsidRPr="00EE006E">
        <w:t>[8] PRBs in total are added to SSS symbol such that the BW of the three symbols for PBCH/SSS are aligned. There are several remaining working assumptions to confirm</w:t>
      </w:r>
      <w:r w:rsidR="00A053C7" w:rsidRPr="00EE006E">
        <w:t xml:space="preserve"> in RAN1 #91</w:t>
      </w:r>
      <w:r w:rsidR="0021679E" w:rsidRPr="00EE006E">
        <w:t>, based on evaluation results:</w:t>
      </w:r>
    </w:p>
    <w:p w14:paraId="310984A9" w14:textId="76F4F98C" w:rsidR="00530B88" w:rsidRPr="00EE006E" w:rsidRDefault="0021679E" w:rsidP="00EB2B9B">
      <w:pPr>
        <w:pStyle w:val="ListParagraph"/>
        <w:numPr>
          <w:ilvl w:val="0"/>
          <w:numId w:val="42"/>
        </w:numPr>
        <w:spacing w:after="0"/>
        <w:ind w:leftChars="0" w:left="630" w:hanging="180"/>
        <w:jc w:val="both"/>
      </w:pPr>
      <w:r w:rsidRPr="00EE006E">
        <w:t>X</w:t>
      </w:r>
      <w:r w:rsidR="00A053C7" w:rsidRPr="00EE006E">
        <w:t xml:space="preserve"> </w:t>
      </w:r>
      <w:r w:rsidRPr="00EE006E">
        <w:t>=</w:t>
      </w:r>
      <w:r w:rsidR="00A053C7" w:rsidRPr="00EE006E">
        <w:t xml:space="preserve"> </w:t>
      </w:r>
      <w:r w:rsidRPr="00EE006E">
        <w:t>20;</w:t>
      </w:r>
    </w:p>
    <w:p w14:paraId="7DF3F60A" w14:textId="2F165B3C" w:rsidR="0021679E" w:rsidRPr="00EE006E" w:rsidRDefault="0021679E" w:rsidP="00EB2B9B">
      <w:pPr>
        <w:pStyle w:val="ListParagraph"/>
        <w:numPr>
          <w:ilvl w:val="0"/>
          <w:numId w:val="42"/>
        </w:numPr>
        <w:spacing w:after="0"/>
        <w:ind w:leftChars="0" w:left="630" w:hanging="180"/>
        <w:jc w:val="both"/>
      </w:pPr>
      <w:r w:rsidRPr="00EE006E">
        <w:t>Y</w:t>
      </w:r>
      <w:r w:rsidR="00A053C7" w:rsidRPr="00EE006E">
        <w:t xml:space="preserve"> </w:t>
      </w:r>
      <w:r w:rsidRPr="00EE006E">
        <w:t>=</w:t>
      </w:r>
      <w:r w:rsidR="00A053C7" w:rsidRPr="00EE006E">
        <w:t xml:space="preserve"> </w:t>
      </w:r>
      <w:r w:rsidRPr="00EE006E">
        <w:t>2*(24-X);</w:t>
      </w:r>
    </w:p>
    <w:p w14:paraId="3E8FA793" w14:textId="3ABD048F" w:rsidR="0021679E" w:rsidRPr="00EE006E" w:rsidRDefault="0021679E" w:rsidP="00EB2B9B">
      <w:pPr>
        <w:pStyle w:val="ListParagraph"/>
        <w:numPr>
          <w:ilvl w:val="0"/>
          <w:numId w:val="42"/>
        </w:numPr>
        <w:spacing w:after="0"/>
        <w:ind w:leftChars="0" w:left="630" w:hanging="180"/>
        <w:jc w:val="both"/>
      </w:pPr>
      <w:r w:rsidRPr="00EE006E">
        <w:t>The same DMRS density in the PBCH PRB in the SSS symbols;</w:t>
      </w:r>
    </w:p>
    <w:p w14:paraId="30D435BC" w14:textId="0FEBCFFB" w:rsidR="0021679E" w:rsidRPr="00EE006E" w:rsidRDefault="0021679E" w:rsidP="00EB2B9B">
      <w:pPr>
        <w:pStyle w:val="ListParagraph"/>
        <w:numPr>
          <w:ilvl w:val="0"/>
          <w:numId w:val="42"/>
        </w:numPr>
        <w:spacing w:after="0"/>
        <w:ind w:leftChars="0" w:left="630" w:hanging="180"/>
        <w:jc w:val="both"/>
      </w:pPr>
      <w:r w:rsidRPr="00EE006E">
        <w:t>The EPRE of</w:t>
      </w:r>
      <w:r w:rsidR="00A053C7" w:rsidRPr="00EE006E">
        <w:t>fset between SSS RE and PBCH DM</w:t>
      </w:r>
      <w:r w:rsidRPr="00EE006E">
        <w:t>RS RE is 0 dB.</w:t>
      </w:r>
    </w:p>
    <w:p w14:paraId="46F6F4CB" w14:textId="3DD7BA66" w:rsidR="0021679E" w:rsidRPr="00EE006E" w:rsidRDefault="0021679E" w:rsidP="00EB2B9B">
      <w:pPr>
        <w:spacing w:before="240"/>
        <w:jc w:val="both"/>
      </w:pPr>
      <w:r w:rsidRPr="00EE006E">
        <w:t xml:space="preserve">In this contribution, a set of </w:t>
      </w:r>
      <w:r w:rsidR="004D5D36" w:rsidRPr="00EE006E">
        <w:t>simulations</w:t>
      </w:r>
      <w:r w:rsidRPr="00EE006E">
        <w:t xml:space="preserve"> comparing the DMRS detection performance and PBCH de</w:t>
      </w:r>
      <w:r w:rsidR="004D5D36" w:rsidRPr="00EE006E">
        <w:t xml:space="preserve">coding performance is performed, and the evaluation results are shown in </w:t>
      </w:r>
      <w:r w:rsidR="00A053C7" w:rsidRPr="00EE006E">
        <w:fldChar w:fldCharType="begin"/>
      </w:r>
      <w:r w:rsidR="00A053C7" w:rsidRPr="00EE006E">
        <w:instrText xml:space="preserve"> REF _Ref498504637 \h  \* MERGEFORMAT </w:instrText>
      </w:r>
      <w:r w:rsidR="00A053C7" w:rsidRPr="00EE006E">
        <w:fldChar w:fldCharType="separate"/>
      </w:r>
      <w:r w:rsidR="00A053C7" w:rsidRPr="00EE006E">
        <w:t xml:space="preserve">FIGURE </w:t>
      </w:r>
      <w:r w:rsidR="00A053C7" w:rsidRPr="00EE006E">
        <w:rPr>
          <w:noProof/>
        </w:rPr>
        <w:t>1</w:t>
      </w:r>
      <w:r w:rsidR="00A053C7" w:rsidRPr="00EE006E">
        <w:fldChar w:fldCharType="end"/>
      </w:r>
      <w:r w:rsidR="00A053C7" w:rsidRPr="00EE006E">
        <w:t xml:space="preserve"> and </w:t>
      </w:r>
      <w:r w:rsidR="00A053C7" w:rsidRPr="00EE006E">
        <w:fldChar w:fldCharType="begin"/>
      </w:r>
      <w:r w:rsidR="00A053C7" w:rsidRPr="00EE006E">
        <w:instrText xml:space="preserve"> REF _Ref498504660 \h  \* MERGEFORMAT </w:instrText>
      </w:r>
      <w:r w:rsidR="00A053C7" w:rsidRPr="00EE006E">
        <w:fldChar w:fldCharType="separate"/>
      </w:r>
      <w:r w:rsidR="00A053C7" w:rsidRPr="00EE006E">
        <w:t xml:space="preserve">FIGURE </w:t>
      </w:r>
      <w:r w:rsidR="00A053C7" w:rsidRPr="00EE006E">
        <w:rPr>
          <w:noProof/>
        </w:rPr>
        <w:t>2</w:t>
      </w:r>
      <w:r w:rsidR="00A053C7" w:rsidRPr="00EE006E">
        <w:fldChar w:fldCharType="end"/>
      </w:r>
      <w:r w:rsidR="00A053C7" w:rsidRPr="00EE006E">
        <w:t xml:space="preserve"> for single-cell and multi-cell scenario, correspondingly</w:t>
      </w:r>
      <w:r w:rsidR="00C80EE7" w:rsidRPr="00EE006E">
        <w:t xml:space="preserve"> (referring to </w:t>
      </w:r>
      <w:r w:rsidR="00C80EE7" w:rsidRPr="00EE006E">
        <w:fldChar w:fldCharType="begin"/>
      </w:r>
      <w:r w:rsidR="00C80EE7" w:rsidRPr="00EE006E">
        <w:instrText xml:space="preserve"> REF _Ref490048934 \h </w:instrText>
      </w:r>
      <w:r w:rsidR="00EE006E">
        <w:instrText xml:space="preserve"> \* MERGEFORMAT </w:instrText>
      </w:r>
      <w:r w:rsidR="00C80EE7" w:rsidRPr="00EE006E">
        <w:fldChar w:fldCharType="separate"/>
      </w:r>
      <w:r w:rsidR="00C80EE7" w:rsidRPr="00EE006E">
        <w:t xml:space="preserve">TABLE </w:t>
      </w:r>
      <w:r w:rsidR="00C80EE7" w:rsidRPr="00EE006E">
        <w:rPr>
          <w:noProof/>
        </w:rPr>
        <w:t>1</w:t>
      </w:r>
      <w:r w:rsidR="00C80EE7" w:rsidRPr="00EE006E">
        <w:fldChar w:fldCharType="end"/>
      </w:r>
      <w:r w:rsidR="00C80EE7" w:rsidRPr="00EE006E">
        <w:t xml:space="preserve"> for evaluation parameters)</w:t>
      </w:r>
      <w:r w:rsidR="00A053C7" w:rsidRPr="00EE006E">
        <w:t xml:space="preserve">. One can observe that the curves for DMRS and PBCH performances before and after revision are almost aligned, and the revision’s impact on DMRS and PBCH performances is minor. </w:t>
      </w:r>
      <w:r w:rsidR="009E0FB7" w:rsidRPr="00EE006E">
        <w:t>Actually, the motivation of the working assumptions is to maintain</w:t>
      </w:r>
      <w:r w:rsidR="00A053C7" w:rsidRPr="00EE006E">
        <w:t xml:space="preserve"> the </w:t>
      </w:r>
      <w:r w:rsidR="009E0FB7" w:rsidRPr="00EE006E">
        <w:t xml:space="preserve">same </w:t>
      </w:r>
      <w:r w:rsidR="00A053C7" w:rsidRPr="00EE006E">
        <w:t>number of REs for DMRS and PBCH</w:t>
      </w:r>
      <w:r w:rsidR="009E0FB7" w:rsidRPr="00EE006E">
        <w:t xml:space="preserve"> as in the</w:t>
      </w:r>
      <w:r w:rsidR="00A053C7" w:rsidRPr="00EE006E">
        <w:t xml:space="preserve"> originally agreed desi</w:t>
      </w:r>
      <w:r w:rsidR="009E0FB7" w:rsidRPr="00EE006E">
        <w:t>gn</w:t>
      </w:r>
      <w:r w:rsidR="000E7E06" w:rsidRPr="00EE006E">
        <w:t>, such that there is no significant performance loss</w:t>
      </w:r>
      <w:r w:rsidR="009E0FB7" w:rsidRPr="00EE006E">
        <w:t>, and our evaluation results f</w:t>
      </w:r>
      <w:r w:rsidR="000E7E06" w:rsidRPr="00EE006E">
        <w:t xml:space="preserve">urther testify that the working assumptions are essential.  </w:t>
      </w:r>
      <w:r w:rsidR="00A053C7" w:rsidRPr="00EE006E">
        <w:t xml:space="preserve"> </w:t>
      </w:r>
    </w:p>
    <w:p w14:paraId="61209C44" w14:textId="77777777" w:rsidR="004D5D36" w:rsidRPr="00EE006E" w:rsidRDefault="004D5D36" w:rsidP="00EB2B9B">
      <w:pPr>
        <w:keepNext/>
        <w:spacing w:after="0"/>
        <w:jc w:val="center"/>
      </w:pPr>
      <w:r w:rsidRPr="00EE006E">
        <w:rPr>
          <w:noProof/>
          <w:lang w:val="en-US" w:eastAsia="zh-CN"/>
        </w:rPr>
        <w:lastRenderedPageBreak/>
        <w:drawing>
          <wp:inline distT="0" distB="0" distL="0" distR="0" wp14:anchorId="3DED3CEA" wp14:editId="5477C4FD">
            <wp:extent cx="3921262" cy="281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1555" cy="2820100"/>
                    </a:xfrm>
                    <a:prstGeom prst="rect">
                      <a:avLst/>
                    </a:prstGeom>
                    <a:noFill/>
                    <a:ln>
                      <a:noFill/>
                    </a:ln>
                  </pic:spPr>
                </pic:pic>
              </a:graphicData>
            </a:graphic>
          </wp:inline>
        </w:drawing>
      </w:r>
    </w:p>
    <w:p w14:paraId="343FF4A7" w14:textId="114566D9" w:rsidR="0021679E" w:rsidRPr="00EE006E" w:rsidRDefault="004D5D36" w:rsidP="00EB2B9B">
      <w:pPr>
        <w:pStyle w:val="Caption"/>
      </w:pPr>
      <w:bookmarkStart w:id="4" w:name="_Ref498504637"/>
      <w:r w:rsidRPr="00EE006E">
        <w:t xml:space="preserve">FIGURE </w:t>
      </w:r>
      <w:r w:rsidRPr="00EE006E">
        <w:fldChar w:fldCharType="begin"/>
      </w:r>
      <w:r w:rsidRPr="00EE006E">
        <w:instrText xml:space="preserve"> SEQ FIGURE \* ARABIC </w:instrText>
      </w:r>
      <w:r w:rsidRPr="00EE006E">
        <w:fldChar w:fldCharType="separate"/>
      </w:r>
      <w:r w:rsidR="007176B8">
        <w:rPr>
          <w:noProof/>
        </w:rPr>
        <w:t>1</w:t>
      </w:r>
      <w:r w:rsidRPr="00EE006E">
        <w:fldChar w:fldCharType="end"/>
      </w:r>
      <w:bookmarkEnd w:id="4"/>
    </w:p>
    <w:p w14:paraId="5948049B" w14:textId="77777777" w:rsidR="00A053C7" w:rsidRPr="00EE006E" w:rsidRDefault="004D5D36" w:rsidP="00EB2B9B">
      <w:pPr>
        <w:keepNext/>
        <w:spacing w:after="0"/>
        <w:jc w:val="center"/>
      </w:pPr>
      <w:r w:rsidRPr="00EE006E">
        <w:rPr>
          <w:noProof/>
          <w:lang w:val="en-US" w:eastAsia="zh-CN"/>
        </w:rPr>
        <w:drawing>
          <wp:inline distT="0" distB="0" distL="0" distR="0" wp14:anchorId="62EACE3B" wp14:editId="767D078F">
            <wp:extent cx="3926872" cy="28239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1260" cy="2827080"/>
                    </a:xfrm>
                    <a:prstGeom prst="rect">
                      <a:avLst/>
                    </a:prstGeom>
                    <a:noFill/>
                    <a:ln>
                      <a:noFill/>
                    </a:ln>
                  </pic:spPr>
                </pic:pic>
              </a:graphicData>
            </a:graphic>
          </wp:inline>
        </w:drawing>
      </w:r>
    </w:p>
    <w:p w14:paraId="4E8A28C3" w14:textId="6CCD0DAD" w:rsidR="004D5D36" w:rsidRPr="00EE006E" w:rsidRDefault="00A053C7" w:rsidP="00EB2B9B">
      <w:pPr>
        <w:pStyle w:val="Caption"/>
      </w:pPr>
      <w:bookmarkStart w:id="5" w:name="_Ref498504660"/>
      <w:r w:rsidRPr="00EE006E">
        <w:t xml:space="preserve">FIGURE </w:t>
      </w:r>
      <w:r w:rsidRPr="00EE006E">
        <w:fldChar w:fldCharType="begin"/>
      </w:r>
      <w:r w:rsidRPr="00EE006E">
        <w:instrText xml:space="preserve"> SEQ FIGURE \* ARABIC </w:instrText>
      </w:r>
      <w:r w:rsidRPr="00EE006E">
        <w:fldChar w:fldCharType="separate"/>
      </w:r>
      <w:r w:rsidR="007176B8">
        <w:rPr>
          <w:noProof/>
        </w:rPr>
        <w:t>2</w:t>
      </w:r>
      <w:r w:rsidRPr="00EE006E">
        <w:fldChar w:fldCharType="end"/>
      </w:r>
      <w:bookmarkEnd w:id="5"/>
    </w:p>
    <w:p w14:paraId="52234B87" w14:textId="30604536" w:rsidR="00A053C7" w:rsidRDefault="00A053C7" w:rsidP="00EB2B9B">
      <w:pPr>
        <w:jc w:val="both"/>
      </w:pPr>
      <w:r w:rsidRPr="00EE006E">
        <w:t xml:space="preserve">Meanwhile, </w:t>
      </w:r>
      <w:r w:rsidR="009E0FB7" w:rsidRPr="00EE006E">
        <w:t xml:space="preserve">as summarized in [2], the number of SS entries for initial cell search can be remarkably reduced by truncating the BW of SS/PBCH block from 24 PRBs to 20 PRBs (e.g. for Band n78, the number of SS entries can be reduced from approximately 5000 to 325, and for Band n41, the number of SS entries can be reduced from approximately 1940 to 126), and no further reduction is required. Actually, further reduction may not have significant gain in term of the number of SS entries [2], and may lead to potential DMRS and PBCH’s performance loss. </w:t>
      </w:r>
    </w:p>
    <w:p w14:paraId="3C544B94" w14:textId="7FE6435F" w:rsidR="00902210" w:rsidRDefault="00902210" w:rsidP="00902210">
      <w:pPr>
        <w:spacing w:after="0"/>
        <w:jc w:val="both"/>
      </w:pPr>
      <w:r>
        <w:t xml:space="preserve">Two other proposals, newly raised for RAN1#91, are also discussed and evaluated (see </w:t>
      </w:r>
      <w:r>
        <w:fldChar w:fldCharType="begin"/>
      </w:r>
      <w:r>
        <w:instrText xml:space="preserve"> REF _Ref499544886 \h </w:instrText>
      </w:r>
      <w:r>
        <w:fldChar w:fldCharType="separate"/>
      </w:r>
      <w:r>
        <w:t xml:space="preserve">FIGURE </w:t>
      </w:r>
      <w:r>
        <w:rPr>
          <w:noProof/>
        </w:rPr>
        <w:t>3</w:t>
      </w:r>
      <w:r>
        <w:fldChar w:fldCharType="end"/>
      </w:r>
      <w:r>
        <w:t xml:space="preserve"> for an illustration of the comparison of proposals): </w:t>
      </w:r>
    </w:p>
    <w:p w14:paraId="7546FA09" w14:textId="3EF323C1" w:rsidR="00902210" w:rsidRDefault="00902210" w:rsidP="00902210">
      <w:pPr>
        <w:pStyle w:val="ListParagraph"/>
        <w:numPr>
          <w:ilvl w:val="0"/>
          <w:numId w:val="47"/>
        </w:numPr>
        <w:spacing w:after="0"/>
        <w:ind w:leftChars="0"/>
        <w:rPr>
          <w:lang w:eastAsia="ja-JP"/>
        </w:rPr>
      </w:pPr>
      <w:r>
        <w:rPr>
          <w:lang w:eastAsia="ja-JP"/>
        </w:rPr>
        <w:t xml:space="preserve">ZTE’s proposal: Truncate the PBCH BW further down to 18 PRBs, and add truncated PRBs to both PSS and SSS symbols (#0 and #2 in the SS block). </w:t>
      </w:r>
    </w:p>
    <w:p w14:paraId="61684727" w14:textId="189F71E2" w:rsidR="00902210" w:rsidRDefault="00902210" w:rsidP="00902210">
      <w:pPr>
        <w:pStyle w:val="ListParagraph"/>
        <w:numPr>
          <w:ilvl w:val="0"/>
          <w:numId w:val="47"/>
        </w:numPr>
        <w:ind w:leftChars="0"/>
        <w:rPr>
          <w:lang w:eastAsia="ja-JP"/>
        </w:rPr>
      </w:pPr>
      <w:r>
        <w:rPr>
          <w:lang w:eastAsia="ja-JP"/>
        </w:rPr>
        <w:t>LG</w:t>
      </w:r>
      <w:r w:rsidR="007176B8">
        <w:rPr>
          <w:lang w:eastAsia="ja-JP"/>
        </w:rPr>
        <w:t>’s proposal</w:t>
      </w:r>
      <w:r>
        <w:rPr>
          <w:lang w:eastAsia="ja-JP"/>
        </w:rPr>
        <w:t>: Truncate the PBCH BW to 20 PRBs, and increase the DMRS density from 3 to 4 REs per PRB for the PBCH symbols (#1 and #3 in the SS block), and remove DMRS in the SSS/PBCH symbol (#2 in the SS block)</w:t>
      </w:r>
      <w:r>
        <w:rPr>
          <w:lang w:eastAsia="ja-JP"/>
        </w:rPr>
        <w:t>.</w:t>
      </w:r>
    </w:p>
    <w:p w14:paraId="58B45C77" w14:textId="59D33A2F" w:rsidR="00902210" w:rsidRDefault="00902210" w:rsidP="00EB2B9B">
      <w:pPr>
        <w:jc w:val="both"/>
      </w:pPr>
      <w:r>
        <w:t xml:space="preserve">Performance comparison on PBCH BLER among the proposals is illustrated in </w:t>
      </w:r>
      <w:r w:rsidR="007176B8">
        <w:fldChar w:fldCharType="begin"/>
      </w:r>
      <w:r w:rsidR="007176B8">
        <w:instrText xml:space="preserve"> REF _Ref499545095 \h </w:instrText>
      </w:r>
      <w:r w:rsidR="007176B8">
        <w:fldChar w:fldCharType="separate"/>
      </w:r>
      <w:r w:rsidR="007176B8">
        <w:t xml:space="preserve">FIGURE </w:t>
      </w:r>
      <w:r w:rsidR="007176B8">
        <w:rPr>
          <w:noProof/>
        </w:rPr>
        <w:t>4</w:t>
      </w:r>
      <w:r w:rsidR="007176B8">
        <w:fldChar w:fldCharType="end"/>
      </w:r>
      <w:r w:rsidR="007176B8">
        <w:t xml:space="preserve"> and </w:t>
      </w:r>
      <w:r w:rsidR="007176B8">
        <w:fldChar w:fldCharType="begin"/>
      </w:r>
      <w:r w:rsidR="007176B8">
        <w:instrText xml:space="preserve"> REF _Ref499545123 \h </w:instrText>
      </w:r>
      <w:r w:rsidR="007176B8">
        <w:fldChar w:fldCharType="separate"/>
      </w:r>
      <w:r w:rsidR="007176B8">
        <w:t xml:space="preserve">FIGURE </w:t>
      </w:r>
      <w:r w:rsidR="007176B8">
        <w:rPr>
          <w:noProof/>
        </w:rPr>
        <w:t>5</w:t>
      </w:r>
      <w:r w:rsidR="007176B8">
        <w:fldChar w:fldCharType="end"/>
      </w:r>
      <w:r w:rsidR="007176B8">
        <w:t xml:space="preserve">, for single-cell scenario and multi-cell scenario, respectively. From the evaluation results, it can be observed that the PBCH BLER performance difference among proposals is quite minor, and every proposal works almost equivalently well in term of the PBCH detection performance. </w:t>
      </w:r>
    </w:p>
    <w:p w14:paraId="176BFF88" w14:textId="6F6D9461" w:rsidR="007176B8" w:rsidRDefault="007176B8" w:rsidP="007176B8">
      <w:pPr>
        <w:spacing w:after="0"/>
        <w:jc w:val="both"/>
        <w:rPr>
          <w:lang w:eastAsia="ja-JP"/>
        </w:rPr>
      </w:pPr>
      <w:r>
        <w:lastRenderedPageBreak/>
        <w:t xml:space="preserve">Besides the PBCH performance, the following design conservations are considered for </w:t>
      </w:r>
      <w:r>
        <w:rPr>
          <w:lang w:eastAsia="ja-JP"/>
        </w:rPr>
        <w:t>ZTE’s proposal</w:t>
      </w:r>
      <w:r>
        <w:rPr>
          <w:lang w:eastAsia="ja-JP"/>
        </w:rPr>
        <w:t xml:space="preserve"> and LG’s</w:t>
      </w:r>
      <w:r>
        <w:rPr>
          <w:lang w:eastAsia="ja-JP"/>
        </w:rPr>
        <w:t xml:space="preserve"> proposal</w:t>
      </w:r>
      <w:r>
        <w:rPr>
          <w:lang w:eastAsia="ja-JP"/>
        </w:rPr>
        <w:t xml:space="preserve">: </w:t>
      </w:r>
    </w:p>
    <w:p w14:paraId="69C06EB6" w14:textId="77777777" w:rsidR="007176B8" w:rsidRDefault="007176B8" w:rsidP="007176B8">
      <w:pPr>
        <w:pStyle w:val="ListParagraph"/>
        <w:numPr>
          <w:ilvl w:val="0"/>
          <w:numId w:val="47"/>
        </w:numPr>
        <w:spacing w:after="0"/>
        <w:ind w:leftChars="0"/>
        <w:jc w:val="both"/>
        <w:rPr>
          <w:lang w:eastAsia="ja-JP"/>
        </w:rPr>
      </w:pPr>
      <w:r>
        <w:rPr>
          <w:lang w:eastAsia="ja-JP"/>
        </w:rPr>
        <w:t xml:space="preserve">For ZTE’s proposal: </w:t>
      </w:r>
    </w:p>
    <w:p w14:paraId="0E19B157" w14:textId="57DE6315" w:rsidR="007176B8" w:rsidRDefault="007176B8" w:rsidP="007176B8">
      <w:pPr>
        <w:pStyle w:val="ListParagraph"/>
        <w:numPr>
          <w:ilvl w:val="1"/>
          <w:numId w:val="47"/>
        </w:numPr>
        <w:spacing w:after="0"/>
        <w:ind w:leftChars="0"/>
        <w:jc w:val="both"/>
        <w:rPr>
          <w:lang w:eastAsia="ja-JP"/>
        </w:rPr>
      </w:pPr>
      <w:r>
        <w:rPr>
          <w:lang w:eastAsia="ja-JP"/>
        </w:rPr>
        <w:t>Truncation from 20 PRBs to 18 PRBs does not provide much gain on reducing the SS entries</w:t>
      </w:r>
      <w:r>
        <w:rPr>
          <w:lang w:eastAsia="ja-JP"/>
        </w:rPr>
        <w:t>;</w:t>
      </w:r>
      <w:r>
        <w:rPr>
          <w:lang w:eastAsia="ja-JP"/>
        </w:rPr>
        <w:t xml:space="preserve"> </w:t>
      </w:r>
    </w:p>
    <w:p w14:paraId="16CDC30B" w14:textId="0DF12181" w:rsidR="007176B8" w:rsidRDefault="007176B8" w:rsidP="007176B8">
      <w:pPr>
        <w:pStyle w:val="ListParagraph"/>
        <w:numPr>
          <w:ilvl w:val="1"/>
          <w:numId w:val="47"/>
        </w:numPr>
        <w:spacing w:after="0"/>
        <w:ind w:leftChars="0"/>
        <w:jc w:val="both"/>
        <w:rPr>
          <w:lang w:eastAsia="ja-JP"/>
        </w:rPr>
      </w:pPr>
      <w:r>
        <w:rPr>
          <w:lang w:eastAsia="ja-JP"/>
        </w:rPr>
        <w:t>More config</w:t>
      </w:r>
      <w:r>
        <w:rPr>
          <w:lang w:eastAsia="ja-JP"/>
        </w:rPr>
        <w:t xml:space="preserve">urations of frequency offset </w:t>
      </w:r>
      <w:r>
        <w:rPr>
          <w:lang w:eastAsia="ja-JP"/>
        </w:rPr>
        <w:t>for RMSI CORESET are required after truncation from 20 PRBs to 18 PRBs</w:t>
      </w:r>
      <w:r>
        <w:rPr>
          <w:lang w:eastAsia="ja-JP"/>
        </w:rPr>
        <w:t>;</w:t>
      </w:r>
    </w:p>
    <w:p w14:paraId="55832AAF" w14:textId="7E60E63F" w:rsidR="007176B8" w:rsidRDefault="007176B8" w:rsidP="007176B8">
      <w:pPr>
        <w:pStyle w:val="ListParagraph"/>
        <w:numPr>
          <w:ilvl w:val="1"/>
          <w:numId w:val="47"/>
        </w:numPr>
        <w:spacing w:after="0"/>
        <w:ind w:leftChars="0"/>
        <w:jc w:val="both"/>
        <w:rPr>
          <w:lang w:eastAsia="ja-JP"/>
        </w:rPr>
      </w:pPr>
      <w:r w:rsidRPr="007176B8">
        <w:rPr>
          <w:lang w:eastAsia="ja-JP"/>
        </w:rPr>
        <w:t xml:space="preserve">Most importantly, </w:t>
      </w:r>
      <w:r>
        <w:rPr>
          <w:lang w:eastAsia="ja-JP"/>
        </w:rPr>
        <w:t>m</w:t>
      </w:r>
      <w:r>
        <w:rPr>
          <w:lang w:eastAsia="ja-JP"/>
        </w:rPr>
        <w:t>apping PBCH REs around PSS will degrade the PSS detection performance (no power boosting possible for PSS)</w:t>
      </w:r>
      <w:r>
        <w:rPr>
          <w:lang w:eastAsia="ja-JP"/>
        </w:rPr>
        <w:t>.</w:t>
      </w:r>
    </w:p>
    <w:p w14:paraId="0C3121A6" w14:textId="57122FB7" w:rsidR="007176B8" w:rsidRDefault="007176B8" w:rsidP="007176B8">
      <w:pPr>
        <w:pStyle w:val="ListParagraph"/>
        <w:numPr>
          <w:ilvl w:val="0"/>
          <w:numId w:val="47"/>
        </w:numPr>
        <w:spacing w:after="0"/>
        <w:ind w:leftChars="0"/>
        <w:jc w:val="both"/>
        <w:rPr>
          <w:lang w:eastAsia="ja-JP"/>
        </w:rPr>
      </w:pPr>
      <w:r>
        <w:rPr>
          <w:lang w:eastAsia="ja-JP"/>
        </w:rPr>
        <w:t xml:space="preserve">For </w:t>
      </w:r>
      <w:r>
        <w:rPr>
          <w:lang w:eastAsia="ja-JP"/>
        </w:rPr>
        <w:t>LG’s</w:t>
      </w:r>
      <w:r>
        <w:rPr>
          <w:lang w:eastAsia="ja-JP"/>
        </w:rPr>
        <w:t xml:space="preserve"> proposal: </w:t>
      </w:r>
    </w:p>
    <w:p w14:paraId="035FB4A5" w14:textId="0E29DFAC" w:rsidR="007176B8" w:rsidRDefault="007176B8" w:rsidP="007176B8">
      <w:pPr>
        <w:pStyle w:val="ListParagraph"/>
        <w:numPr>
          <w:ilvl w:val="1"/>
          <w:numId w:val="47"/>
        </w:numPr>
        <w:spacing w:after="0"/>
        <w:ind w:leftChars="0"/>
        <w:jc w:val="both"/>
        <w:rPr>
          <w:lang w:eastAsia="ja-JP"/>
        </w:rPr>
      </w:pPr>
      <w:r>
        <w:rPr>
          <w:lang w:eastAsia="ja-JP"/>
        </w:rPr>
        <w:t>Require</w:t>
      </w:r>
      <w:r w:rsidRPr="007176B8">
        <w:rPr>
          <w:lang w:eastAsia="ja-JP"/>
        </w:rPr>
        <w:t xml:space="preserve"> too much redesign, e.g. DMRS sequence design (number of RE for DMRS changes from 144 to 160), DMRS sequence to RE mapping design (cell-specific shift should be redefined since DMRS density changes), PBCH rate matching (number of REs for PBCH changes)</w:t>
      </w:r>
      <w:r>
        <w:rPr>
          <w:lang w:eastAsia="ja-JP"/>
        </w:rPr>
        <w:t>. Due to the limited time in RAN1, and no significant performance enhancement, it is not preferred.</w:t>
      </w:r>
    </w:p>
    <w:p w14:paraId="3582D509" w14:textId="77777777" w:rsidR="007176B8" w:rsidRDefault="007176B8" w:rsidP="007176B8">
      <w:pPr>
        <w:pStyle w:val="ListParagraph"/>
        <w:spacing w:after="0"/>
        <w:ind w:leftChars="0" w:left="1440"/>
        <w:jc w:val="both"/>
        <w:rPr>
          <w:lang w:eastAsia="ja-JP"/>
        </w:rPr>
      </w:pPr>
    </w:p>
    <w:p w14:paraId="5CED7AC6" w14:textId="7CBCA06B" w:rsidR="00902210" w:rsidRDefault="007176B8" w:rsidP="00902210">
      <w:pPr>
        <w:keepNext/>
        <w:jc w:val="center"/>
      </w:pPr>
      <w:r>
        <w:object w:dxaOrig="7740" w:dyaOrig="5206" w14:anchorId="417CD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8.35pt;height:274.55pt" o:ole="">
            <v:imagedata r:id="rId11" o:title=""/>
          </v:shape>
          <o:OLEObject Type="Embed" ProgID="Visio.Drawing.15" ShapeID="_x0000_i1029" DrawAspect="Content" ObjectID="_1573288569" r:id="rId12"/>
        </w:object>
      </w:r>
    </w:p>
    <w:p w14:paraId="0E35C60E" w14:textId="20E3315F" w:rsidR="00902210" w:rsidRDefault="00902210" w:rsidP="00902210">
      <w:pPr>
        <w:pStyle w:val="Caption"/>
        <w:rPr>
          <w:lang w:eastAsia="ja-JP"/>
        </w:rPr>
      </w:pPr>
      <w:bookmarkStart w:id="6" w:name="_Ref499544886"/>
      <w:r>
        <w:t xml:space="preserve">FIGURE </w:t>
      </w:r>
      <w:r>
        <w:fldChar w:fldCharType="begin"/>
      </w:r>
      <w:r>
        <w:instrText xml:space="preserve"> SEQ FIGURE \* ARABIC </w:instrText>
      </w:r>
      <w:r>
        <w:fldChar w:fldCharType="separate"/>
      </w:r>
      <w:r w:rsidR="007176B8">
        <w:rPr>
          <w:noProof/>
        </w:rPr>
        <w:t>3</w:t>
      </w:r>
      <w:r>
        <w:fldChar w:fldCharType="end"/>
      </w:r>
      <w:bookmarkEnd w:id="6"/>
    </w:p>
    <w:p w14:paraId="16F59B6E" w14:textId="77777777" w:rsidR="00902210" w:rsidRDefault="00902210" w:rsidP="00902210">
      <w:pPr>
        <w:keepNext/>
        <w:jc w:val="center"/>
      </w:pPr>
      <w:r>
        <w:rPr>
          <w:noProof/>
          <w:lang w:val="en-US" w:eastAsia="zh-CN"/>
        </w:rPr>
        <w:drawing>
          <wp:inline distT="0" distB="0" distL="0" distR="0" wp14:anchorId="6C7693AF" wp14:editId="2F378EC9">
            <wp:extent cx="3916908" cy="28190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6744" cy="2818913"/>
                    </a:xfrm>
                    <a:prstGeom prst="rect">
                      <a:avLst/>
                    </a:prstGeom>
                    <a:noFill/>
                    <a:ln>
                      <a:noFill/>
                    </a:ln>
                  </pic:spPr>
                </pic:pic>
              </a:graphicData>
            </a:graphic>
          </wp:inline>
        </w:drawing>
      </w:r>
    </w:p>
    <w:p w14:paraId="5FC431DB" w14:textId="7EEAF723" w:rsidR="00902210" w:rsidRDefault="00902210" w:rsidP="00902210">
      <w:pPr>
        <w:pStyle w:val="Caption"/>
      </w:pPr>
      <w:bookmarkStart w:id="7" w:name="_Ref499545095"/>
      <w:r>
        <w:t xml:space="preserve">FIGURE </w:t>
      </w:r>
      <w:r>
        <w:fldChar w:fldCharType="begin"/>
      </w:r>
      <w:r>
        <w:instrText xml:space="preserve"> SEQ FIGURE \* ARABIC </w:instrText>
      </w:r>
      <w:r>
        <w:fldChar w:fldCharType="separate"/>
      </w:r>
      <w:r w:rsidR="007176B8">
        <w:rPr>
          <w:noProof/>
        </w:rPr>
        <w:t>4</w:t>
      </w:r>
      <w:r>
        <w:fldChar w:fldCharType="end"/>
      </w:r>
      <w:bookmarkEnd w:id="7"/>
    </w:p>
    <w:p w14:paraId="0E2D08E1" w14:textId="77777777" w:rsidR="007176B8" w:rsidRDefault="007176B8" w:rsidP="007176B8">
      <w:pPr>
        <w:keepNext/>
        <w:jc w:val="center"/>
      </w:pPr>
      <w:r>
        <w:rPr>
          <w:noProof/>
          <w:lang w:val="en-US" w:eastAsia="zh-CN"/>
        </w:rPr>
        <w:lastRenderedPageBreak/>
        <w:drawing>
          <wp:inline distT="0" distB="0" distL="0" distR="0" wp14:anchorId="75BBCB79" wp14:editId="66309996">
            <wp:extent cx="3944203" cy="28386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6565" cy="2840377"/>
                    </a:xfrm>
                    <a:prstGeom prst="rect">
                      <a:avLst/>
                    </a:prstGeom>
                    <a:noFill/>
                    <a:ln>
                      <a:noFill/>
                    </a:ln>
                  </pic:spPr>
                </pic:pic>
              </a:graphicData>
            </a:graphic>
          </wp:inline>
        </w:drawing>
      </w:r>
    </w:p>
    <w:p w14:paraId="31E30646" w14:textId="7FA073C6" w:rsidR="007176B8" w:rsidRPr="007176B8" w:rsidRDefault="007176B8" w:rsidP="007176B8">
      <w:pPr>
        <w:pStyle w:val="Caption"/>
      </w:pPr>
      <w:bookmarkStart w:id="8" w:name="_Ref499545123"/>
      <w:r>
        <w:t xml:space="preserve">FIGURE </w:t>
      </w:r>
      <w:r>
        <w:fldChar w:fldCharType="begin"/>
      </w:r>
      <w:r>
        <w:instrText xml:space="preserve"> SEQ FIGURE \* ARABIC </w:instrText>
      </w:r>
      <w:r>
        <w:fldChar w:fldCharType="separate"/>
      </w:r>
      <w:r>
        <w:rPr>
          <w:noProof/>
        </w:rPr>
        <w:t>5</w:t>
      </w:r>
      <w:r>
        <w:fldChar w:fldCharType="end"/>
      </w:r>
      <w:bookmarkEnd w:id="8"/>
    </w:p>
    <w:p w14:paraId="784BFB56" w14:textId="207A36C9" w:rsidR="009E0FB7" w:rsidRPr="00EE006E" w:rsidRDefault="009E0FB7" w:rsidP="00EB2B9B">
      <w:pPr>
        <w:jc w:val="both"/>
      </w:pPr>
      <w:r w:rsidRPr="00EE006E">
        <w:t xml:space="preserve">Based on the above discussion, </w:t>
      </w:r>
      <w:r w:rsidR="000E7E06" w:rsidRPr="00EE006E">
        <w:t xml:space="preserve">we propose that </w:t>
      </w:r>
      <w:r w:rsidRPr="00EE006E">
        <w:t>the working</w:t>
      </w:r>
      <w:r w:rsidR="000E7E06" w:rsidRPr="00EE006E">
        <w:t xml:space="preserve"> assumptions from last meeting should</w:t>
      </w:r>
      <w:r w:rsidRPr="00EE006E">
        <w:t xml:space="preserve"> be confirmed. </w:t>
      </w:r>
    </w:p>
    <w:p w14:paraId="0B947A77" w14:textId="73C34228" w:rsidR="000E7E06" w:rsidRPr="00031EF0" w:rsidRDefault="000E7E06" w:rsidP="00EB2B9B">
      <w:pPr>
        <w:spacing w:after="0"/>
        <w:jc w:val="both"/>
        <w:rPr>
          <w:b/>
        </w:rPr>
      </w:pPr>
      <w:r w:rsidRPr="00EE006E">
        <w:rPr>
          <w:b/>
          <w:u w:val="single"/>
        </w:rPr>
        <w:t xml:space="preserve">Proposal </w:t>
      </w:r>
      <w:r w:rsidR="00EE006E" w:rsidRPr="00EE006E">
        <w:rPr>
          <w:b/>
          <w:u w:val="single"/>
        </w:rPr>
        <w:t>1</w:t>
      </w:r>
      <w:r w:rsidRPr="00EE006E">
        <w:rPr>
          <w:b/>
          <w:u w:val="single"/>
        </w:rPr>
        <w:t xml:space="preserve">: </w:t>
      </w:r>
      <w:r w:rsidRPr="00031EF0">
        <w:rPr>
          <w:b/>
        </w:rPr>
        <w:t xml:space="preserve">Confirm the working assumptions from last meeting on the SS/PBCH block composition design: </w:t>
      </w:r>
    </w:p>
    <w:p w14:paraId="06DDAB84" w14:textId="77777777" w:rsidR="000E7E06" w:rsidRPr="00031EF0" w:rsidRDefault="000E7E06" w:rsidP="000E7E06">
      <w:pPr>
        <w:pStyle w:val="ListParagraph"/>
        <w:numPr>
          <w:ilvl w:val="0"/>
          <w:numId w:val="42"/>
        </w:numPr>
        <w:spacing w:after="0"/>
        <w:ind w:leftChars="0" w:left="630" w:hanging="180"/>
        <w:jc w:val="both"/>
        <w:rPr>
          <w:b/>
        </w:rPr>
      </w:pPr>
      <w:r w:rsidRPr="00031EF0">
        <w:rPr>
          <w:b/>
        </w:rPr>
        <w:t>X = 20;</w:t>
      </w:r>
    </w:p>
    <w:p w14:paraId="01099D78" w14:textId="77777777" w:rsidR="000E7E06" w:rsidRPr="00031EF0" w:rsidRDefault="000E7E06" w:rsidP="000E7E06">
      <w:pPr>
        <w:pStyle w:val="ListParagraph"/>
        <w:numPr>
          <w:ilvl w:val="0"/>
          <w:numId w:val="42"/>
        </w:numPr>
        <w:spacing w:after="0"/>
        <w:ind w:leftChars="0" w:left="630" w:hanging="180"/>
        <w:jc w:val="both"/>
        <w:rPr>
          <w:b/>
        </w:rPr>
      </w:pPr>
      <w:r w:rsidRPr="00031EF0">
        <w:rPr>
          <w:b/>
        </w:rPr>
        <w:t>Y = 2*(24-X);</w:t>
      </w:r>
    </w:p>
    <w:p w14:paraId="68EAAA65" w14:textId="77777777" w:rsidR="000E7E06" w:rsidRPr="00031EF0" w:rsidRDefault="000E7E06" w:rsidP="000E7E06">
      <w:pPr>
        <w:pStyle w:val="ListParagraph"/>
        <w:numPr>
          <w:ilvl w:val="0"/>
          <w:numId w:val="42"/>
        </w:numPr>
        <w:spacing w:after="0"/>
        <w:ind w:leftChars="0" w:left="630" w:hanging="180"/>
        <w:jc w:val="both"/>
        <w:rPr>
          <w:b/>
        </w:rPr>
      </w:pPr>
      <w:r w:rsidRPr="00031EF0">
        <w:rPr>
          <w:b/>
        </w:rPr>
        <w:t>The same DMRS density in the PBCH PRB in the SSS symbols;</w:t>
      </w:r>
    </w:p>
    <w:p w14:paraId="0D97C3D1" w14:textId="77777777" w:rsidR="000E7E06" w:rsidRPr="00031EF0" w:rsidRDefault="000E7E06" w:rsidP="000E7E06">
      <w:pPr>
        <w:pStyle w:val="ListParagraph"/>
        <w:numPr>
          <w:ilvl w:val="0"/>
          <w:numId w:val="42"/>
        </w:numPr>
        <w:spacing w:after="0"/>
        <w:ind w:leftChars="0" w:left="630" w:hanging="180"/>
        <w:jc w:val="both"/>
        <w:rPr>
          <w:b/>
        </w:rPr>
      </w:pPr>
      <w:r w:rsidRPr="00031EF0">
        <w:rPr>
          <w:b/>
        </w:rPr>
        <w:t>The EPRE offset between SSS RE and PBCH DMRS RE is 0 dB.</w:t>
      </w:r>
    </w:p>
    <w:p w14:paraId="317C4F8B" w14:textId="77777777" w:rsidR="000E7E06" w:rsidRPr="00EE006E" w:rsidRDefault="000E7E06" w:rsidP="00EB2B9B">
      <w:pPr>
        <w:jc w:val="both"/>
      </w:pPr>
    </w:p>
    <w:p w14:paraId="679ACB42" w14:textId="506B7CA0" w:rsidR="00530B88" w:rsidRPr="00EE006E" w:rsidRDefault="00530B8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 xml:space="preserve">OFDM </w:t>
      </w:r>
      <w:r w:rsidR="00261832" w:rsidRPr="00EE006E">
        <w:t xml:space="preserve">Baseband </w:t>
      </w:r>
      <w:r w:rsidRPr="00EE006E">
        <w:t>S</w:t>
      </w:r>
      <w:r w:rsidR="00261832" w:rsidRPr="00EE006E">
        <w:rPr>
          <w:rFonts w:hint="eastAsia"/>
        </w:rPr>
        <w:t>ignal</w:t>
      </w:r>
      <w:r w:rsidRPr="00EE006E">
        <w:t xml:space="preserve"> Generation</w:t>
      </w:r>
    </w:p>
    <w:p w14:paraId="30325289" w14:textId="6F70416B" w:rsidR="00DB44A2" w:rsidRPr="00EE006E" w:rsidRDefault="0034245C" w:rsidP="00EE006E">
      <w:pPr>
        <w:jc w:val="both"/>
      </w:pPr>
      <w:r w:rsidRPr="00EE006E">
        <w:t>I</w:t>
      </w:r>
      <w:r w:rsidR="00706C83" w:rsidRPr="00EE006E">
        <w:rPr>
          <w:rFonts w:hint="eastAsia"/>
        </w:rPr>
        <w:t xml:space="preserve">nitial </w:t>
      </w:r>
      <w:r w:rsidR="00706C83" w:rsidRPr="00EE006E">
        <w:t>access UE does not know the DL system bandwidth center</w:t>
      </w:r>
      <w:r w:rsidR="00DB44A2" w:rsidRPr="00EE006E">
        <w:t xml:space="preserve"> because;</w:t>
      </w:r>
    </w:p>
    <w:p w14:paraId="31ECB199" w14:textId="2C174B55" w:rsidR="00706C83" w:rsidRPr="00EE006E" w:rsidRDefault="00DB44A2" w:rsidP="00EE006E">
      <w:pPr>
        <w:pStyle w:val="ListParagraph"/>
        <w:numPr>
          <w:ilvl w:val="0"/>
          <w:numId w:val="46"/>
        </w:numPr>
        <w:ind w:leftChars="0"/>
        <w:jc w:val="both"/>
      </w:pPr>
      <w:r w:rsidRPr="00EE006E">
        <w:t>DL system bandwidth center may not be the same as the SSB bandwidth center</w:t>
      </w:r>
      <w:r w:rsidR="00706C83" w:rsidRPr="00EE006E">
        <w:t xml:space="preserve"> </w:t>
      </w:r>
    </w:p>
    <w:p w14:paraId="26509A13" w14:textId="64AE26E1" w:rsidR="00DF23C3" w:rsidRPr="00EE006E" w:rsidRDefault="00DF23C3" w:rsidP="00EE006E">
      <w:pPr>
        <w:pStyle w:val="ListParagraph"/>
        <w:numPr>
          <w:ilvl w:val="0"/>
          <w:numId w:val="46"/>
        </w:numPr>
        <w:ind w:leftChars="0"/>
        <w:jc w:val="both"/>
      </w:pPr>
      <w:r w:rsidRPr="00EE006E">
        <w:t>The UE has not been informed about DL system bandwidth center</w:t>
      </w:r>
      <w:r w:rsidR="007F2151" w:rsidRPr="00EE006E">
        <w:t xml:space="preserve"> yet</w:t>
      </w:r>
    </w:p>
    <w:p w14:paraId="7B8B8414" w14:textId="77777777" w:rsidR="00113AB0" w:rsidRPr="00EE006E" w:rsidRDefault="00DF23C3" w:rsidP="00EE006E">
      <w:pPr>
        <w:jc w:val="both"/>
      </w:pPr>
      <w:r w:rsidRPr="00EE006E">
        <w:t>Therefore</w:t>
      </w:r>
      <w:r w:rsidR="00530775" w:rsidRPr="00EE006E">
        <w:t>, mismatch between UE’s baseband center frequency assumption and the actual signal center frequency is unavoidable</w:t>
      </w:r>
      <w:r w:rsidRPr="00EE006E">
        <w:t>. Consequently</w:t>
      </w:r>
      <w:r w:rsidR="00530775" w:rsidRPr="00EE006E">
        <w:t xml:space="preserve">, </w:t>
      </w:r>
      <w:r w:rsidRPr="00EE006E">
        <w:t>the</w:t>
      </w:r>
      <w:r w:rsidR="00530775" w:rsidRPr="00EE006E">
        <w:t xml:space="preserve"> UE will </w:t>
      </w:r>
      <w:r w:rsidRPr="00EE006E">
        <w:t>suffer from</w:t>
      </w:r>
      <w:r w:rsidR="00530775" w:rsidRPr="00EE006E">
        <w:t xml:space="preserve"> unknown phase </w:t>
      </w:r>
      <w:r w:rsidR="007564FF" w:rsidRPr="00EE006E">
        <w:t>rotation</w:t>
      </w:r>
      <w:r w:rsidR="00530775" w:rsidRPr="00EE006E">
        <w:t xml:space="preserve"> across OFDM symbols. This will impact UE performance </w:t>
      </w:r>
      <w:r w:rsidRPr="00EE006E">
        <w:t xml:space="preserve">until the UE identify the frequency mismatch and </w:t>
      </w:r>
      <w:r w:rsidR="000B5E1A" w:rsidRPr="00EE006E">
        <w:t>compensate it</w:t>
      </w:r>
      <w:r w:rsidR="00530775" w:rsidRPr="00EE006E">
        <w:t>.</w:t>
      </w:r>
      <w:r w:rsidR="007F2151" w:rsidRPr="00EE006E">
        <w:t xml:space="preserve"> </w:t>
      </w:r>
    </w:p>
    <w:p w14:paraId="217755FB" w14:textId="5937CCB9" w:rsidR="00530775" w:rsidRPr="00EE006E" w:rsidRDefault="007F2151" w:rsidP="00EE006E">
      <w:pPr>
        <w:jc w:val="both"/>
      </w:pPr>
      <w:r w:rsidRPr="00EE006E">
        <w:t>The mathematical representation</w:t>
      </w:r>
      <w:r w:rsidR="00142F25" w:rsidRPr="00EE006E">
        <w:t xml:space="preserve"> of the phase rotation</w:t>
      </w:r>
      <w:r w:rsidRPr="00EE006E">
        <w:t xml:space="preserve"> is as follow:</w:t>
      </w:r>
    </w:p>
    <w:p w14:paraId="7A2A3674" w14:textId="77777777" w:rsidR="00530775" w:rsidRPr="00EE006E" w:rsidRDefault="00530775" w:rsidP="00EE006E">
      <w:pPr>
        <w:jc w:val="both"/>
      </w:pPr>
      <w:r w:rsidRPr="00EE006E">
        <w:t xml:space="preserve">Assume that each OFDM symbol of the baseband signal transmitted from gNB is represented as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5D31089E" w14:textId="77777777" w:rsidTr="00B54DBB">
        <w:tc>
          <w:tcPr>
            <w:tcW w:w="7398" w:type="dxa"/>
            <w:vAlign w:val="center"/>
          </w:tcPr>
          <w:p w14:paraId="4077E9CA" w14:textId="77777777" w:rsidR="00530775" w:rsidRPr="00EE006E" w:rsidRDefault="00AC1E58" w:rsidP="00B54DBB">
            <w:pPr>
              <w:ind w:firstLine="100"/>
              <w:jc w:val="both"/>
            </w:pPr>
            <m:oMathPara>
              <m:oMath>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m:oMathPara>
          </w:p>
        </w:tc>
        <w:tc>
          <w:tcPr>
            <w:tcW w:w="1080" w:type="dxa"/>
            <w:vAlign w:val="center"/>
          </w:tcPr>
          <w:p w14:paraId="5350C8B7" w14:textId="77777777" w:rsidR="00530775" w:rsidRPr="00EE006E" w:rsidRDefault="00530775" w:rsidP="00B54DBB">
            <w:pPr>
              <w:pStyle w:val="ListParagraph"/>
              <w:ind w:leftChars="0" w:left="0" w:firstLineChars="112" w:firstLine="224"/>
              <w:jc w:val="both"/>
            </w:pPr>
            <w:r w:rsidRPr="00EE006E">
              <w:t>(</w:t>
            </w:r>
            <w:fldSimple w:instr=" SEQ eq \* MERGEFORMAT ">
              <w:r w:rsidRPr="00EE006E">
                <w:rPr>
                  <w:noProof/>
                </w:rPr>
                <w:t>1</w:t>
              </w:r>
            </w:fldSimple>
            <w:r w:rsidRPr="00EE006E">
              <w:t>)</w:t>
            </w:r>
          </w:p>
        </w:tc>
      </w:tr>
    </w:tbl>
    <w:p w14:paraId="3D248411" w14:textId="77777777" w:rsidR="00530775" w:rsidRPr="00EE006E" w:rsidRDefault="00530775" w:rsidP="00EE006E">
      <w:pPr>
        <w:jc w:val="both"/>
      </w:pPr>
      <w:r w:rsidRPr="00EE006E">
        <w:t xml:space="preserve">where </w:t>
      </w:r>
      <m:oMath>
        <m:r>
          <w:rPr>
            <w:rFonts w:ascii="Cambria Math" w:hAnsi="Cambria Math"/>
          </w:rPr>
          <m:t>k</m:t>
        </m:r>
      </m:oMath>
      <w:r w:rsidRPr="00EE006E">
        <w:t xml:space="preserve"> is subcarrier index and </w:t>
      </w:r>
      <m:oMath>
        <m:r>
          <w:rPr>
            <w:rFonts w:ascii="Cambria Math" w:hAnsi="Cambria Math"/>
          </w:rPr>
          <m:t>l</m:t>
        </m:r>
      </m:oMath>
      <w:r w:rsidRPr="00EE006E">
        <w:t xml:space="preserve"> is symbol index. </w:t>
      </w:r>
      <m:oMath>
        <m:r>
          <w:rPr>
            <w:rFonts w:ascii="Cambria Math" w:hAnsi="Cambria Math"/>
          </w:rPr>
          <m:t>0</m:t>
        </m:r>
        <m:r>
          <w:rPr>
            <w:rFonts w:ascii="Cambria Math" w:hAnsi="Cambria Math" w:hint="eastAsia"/>
          </w:rPr>
          <m:t>≤</m:t>
        </m:r>
        <m:r>
          <w:rPr>
            <w:rFonts w:ascii="Cambria Math" w:hAnsi="Cambria Math"/>
          </w:rPr>
          <m:t>t&lt;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oMath>
      <w:r w:rsidRPr="00EE006E">
        <w:t xml:space="preserve"> is the relative time within one OFDM symbol; </w:t>
      </w:r>
      <m:oMath>
        <m:sSub>
          <m:sSubPr>
            <m:ctrlPr>
              <w:rPr>
                <w:rFonts w:ascii="Cambria Math" w:hAnsi="Cambria Math"/>
                <w:i/>
              </w:rPr>
            </m:ctrlPr>
          </m:sSubPr>
          <m:e>
            <m:r>
              <w:rPr>
                <w:rFonts w:ascii="Cambria Math" w:hAnsi="Cambria Math"/>
              </w:rPr>
              <m:t>T</m:t>
            </m:r>
          </m:e>
          <m:sub>
            <m:r>
              <w:rPr>
                <w:rFonts w:ascii="Cambria Math" w:hAnsi="Cambria Math"/>
              </w:rPr>
              <m:t>cp,l</m:t>
            </m:r>
          </m:sub>
        </m:sSub>
      </m:oMath>
      <w:r w:rsidRPr="00EE006E">
        <w:t xml:space="preserve"> is the length of CP and </w:t>
      </w:r>
      <m:oMath>
        <m:sSub>
          <m:sSubPr>
            <m:ctrlPr>
              <w:rPr>
                <w:rFonts w:ascii="Cambria Math" w:hAnsi="Cambria Math"/>
                <w:i/>
              </w:rPr>
            </m:ctrlPr>
          </m:sSubPr>
          <m:e>
            <m:r>
              <w:rPr>
                <w:rFonts w:ascii="Cambria Math" w:hAnsi="Cambria Math"/>
              </w:rPr>
              <m:t>T</m:t>
            </m:r>
          </m:e>
          <m:sub>
            <m:r>
              <w:rPr>
                <w:rFonts w:ascii="Cambria Math" w:hAnsi="Cambria Math"/>
              </w:rPr>
              <m:t>sym</m:t>
            </m:r>
          </m:sub>
        </m:sSub>
      </m:oMath>
      <w:r w:rsidRPr="00EE006E">
        <w:t xml:space="preserve"> is the length of OFDM symbol without CP; </w:t>
      </w:r>
      <m:oMath>
        <m:sSub>
          <m:sSubPr>
            <m:ctrlPr>
              <w:rPr>
                <w:rFonts w:ascii="Cambria Math" w:hAnsi="Cambria Math"/>
                <w:i/>
              </w:rPr>
            </m:ctrlPr>
          </m:sSubPr>
          <m:e>
            <m:r>
              <w:rPr>
                <w:rFonts w:ascii="Cambria Math" w:hAnsi="Cambria Math"/>
              </w:rPr>
              <m:t>a</m:t>
            </m:r>
          </m:e>
          <m:sub>
            <m:r>
              <w:rPr>
                <w:rFonts w:ascii="Cambria Math" w:hAnsi="Cambria Math"/>
              </w:rPr>
              <m:t>k,l</m:t>
            </m:r>
          </m:sub>
        </m:sSub>
      </m:oMath>
      <w:r w:rsidRPr="00EE006E">
        <w:t xml:space="preserve"> is the data transmitted; </w:t>
      </w:r>
      <m:oMath>
        <m:r>
          <m:rPr>
            <m:sty m:val="p"/>
          </m:rPr>
          <w:rPr>
            <w:rFonts w:ascii="Cambria Math" w:hAnsi="Cambria Math" w:hint="eastAsia"/>
          </w:rPr>
          <m:t>Δ</m:t>
        </m:r>
        <m:r>
          <w:rPr>
            <w:rFonts w:ascii="Cambria Math" w:hAnsi="Cambria Math"/>
          </w:rPr>
          <m:t>f</m:t>
        </m:r>
      </m:oMath>
      <w:r w:rsidRPr="00EE006E">
        <w:t xml:space="preserve"> is the subcarrier spacing. </w:t>
      </w:r>
    </w:p>
    <w:p w14:paraId="3CEB64E1" w14:textId="77777777" w:rsidR="00530775" w:rsidRPr="00EE006E" w:rsidRDefault="00530775" w:rsidP="00EE006E">
      <w:pPr>
        <w:jc w:val="both"/>
      </w:pPr>
      <w:r w:rsidRPr="00EE006E">
        <w:t xml:space="preserve">Given that gNB center frequency is </w:t>
      </w:r>
      <m:oMath>
        <m:sSub>
          <m:sSubPr>
            <m:ctrlPr>
              <w:rPr>
                <w:rFonts w:ascii="Cambria Math" w:hAnsi="Cambria Math"/>
                <w:i/>
              </w:rPr>
            </m:ctrlPr>
          </m:sSubPr>
          <m:e>
            <m:r>
              <w:rPr>
                <w:rFonts w:ascii="Cambria Math" w:hAnsi="Cambria Math"/>
              </w:rPr>
              <m:t>f</m:t>
            </m:r>
          </m:e>
          <m:sub>
            <m:r>
              <w:rPr>
                <w:rFonts w:ascii="Cambria Math" w:hAnsi="Cambria Math"/>
              </w:rPr>
              <m:t>c,NB</m:t>
            </m:r>
          </m:sub>
        </m:sSub>
      </m:oMath>
      <w:r w:rsidRPr="00EE006E">
        <w:t>, each OFDM symbol of the transmitted signal can be represented as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249E8B15" w14:textId="77777777" w:rsidTr="00B54DBB">
        <w:tc>
          <w:tcPr>
            <w:tcW w:w="7398" w:type="dxa"/>
            <w:vAlign w:val="center"/>
          </w:tcPr>
          <w:p w14:paraId="2D89EA60" w14:textId="446A3B30" w:rsidR="00530775" w:rsidRPr="00EE006E" w:rsidRDefault="00AC1E58">
            <w:pPr>
              <w:ind w:firstLine="100"/>
              <w:jc w:val="both"/>
            </w:pPr>
            <m:oMathPara>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oMath>
            </m:oMathPara>
          </w:p>
        </w:tc>
        <w:tc>
          <w:tcPr>
            <w:tcW w:w="1080" w:type="dxa"/>
            <w:vAlign w:val="center"/>
          </w:tcPr>
          <w:p w14:paraId="1EF1282A" w14:textId="77777777" w:rsidR="00530775" w:rsidRPr="00EE006E" w:rsidRDefault="00530775" w:rsidP="00B54DBB">
            <w:pPr>
              <w:pStyle w:val="ListParagraph"/>
              <w:ind w:leftChars="0" w:left="0" w:firstLineChars="112" w:firstLine="224"/>
              <w:jc w:val="both"/>
            </w:pPr>
            <w:r w:rsidRPr="00EE006E">
              <w:t>(</w:t>
            </w:r>
            <w:fldSimple w:instr=" SEQ eq \* MERGEFORMAT ">
              <w:r w:rsidRPr="00EE006E">
                <w:rPr>
                  <w:noProof/>
                </w:rPr>
                <w:t>2</w:t>
              </w:r>
            </w:fldSimple>
            <w:r w:rsidRPr="00EE006E">
              <w:t>)</w:t>
            </w:r>
          </w:p>
        </w:tc>
      </w:tr>
    </w:tbl>
    <w:p w14:paraId="714A6477" w14:textId="1FA3351C" w:rsidR="00530775" w:rsidRPr="00EE006E" w:rsidRDefault="00530775" w:rsidP="00EE006E">
      <w:pPr>
        <w:jc w:val="both"/>
      </w:pPr>
      <w:r w:rsidRPr="00EE006E">
        <w:t xml:space="preserve">where </w:t>
      </w:r>
      <m:oMath>
        <m:sSub>
          <m:sSubPr>
            <m:ctrlPr>
              <w:rPr>
                <w:rFonts w:ascii="Cambria Math" w:hAnsi="Cambria Math"/>
                <w:i/>
              </w:rPr>
            </m:ctrlPr>
          </m:sSubPr>
          <m:e>
            <m:r>
              <w:rPr>
                <w:rFonts w:ascii="Cambria Math" w:hAnsi="Cambria Math"/>
              </w:rPr>
              <m:t>t</m:t>
            </m:r>
          </m:e>
          <m:sub>
            <m:r>
              <w:rPr>
                <w:rFonts w:ascii="Cambria Math" w:hAnsi="Cambria Math"/>
              </w:rPr>
              <m:t>start,l</m:t>
            </m:r>
          </m:sub>
        </m:sSub>
      </m:oMath>
      <w:r w:rsidRPr="00EE006E">
        <w:t xml:space="preserve"> is the starting position of OFDM symbol </w:t>
      </w:r>
      <w:r w:rsidRPr="00EE006E">
        <w:rPr>
          <w:i/>
        </w:rPr>
        <w:t>l</w:t>
      </w:r>
      <w:r w:rsidRPr="00EE006E">
        <w:t>, which is given by</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23E99D75" w14:textId="77777777" w:rsidTr="00B54DBB">
        <w:tc>
          <w:tcPr>
            <w:tcW w:w="7398" w:type="dxa"/>
            <w:vAlign w:val="center"/>
          </w:tcPr>
          <w:p w14:paraId="4DFD2024" w14:textId="77777777" w:rsidR="00530775" w:rsidRPr="00EE006E" w:rsidRDefault="00AC1E58" w:rsidP="00B54DBB">
            <w:pPr>
              <w:ind w:firstLine="100"/>
              <w:jc w:val="both"/>
            </w:pPr>
            <m:oMath>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l=0</m:t>
                        </m:r>
                      </m:e>
                    </m:mr>
                    <m:mr>
                      <m:e>
                        <m:sSub>
                          <m:sSubPr>
                            <m:ctrlPr>
                              <w:rPr>
                                <w:rFonts w:ascii="Cambria Math" w:hAnsi="Cambria Math"/>
                                <w:i/>
                              </w:rPr>
                            </m:ctrlPr>
                          </m:sSubPr>
                          <m:e>
                            <m:r>
                              <w:rPr>
                                <w:rFonts w:ascii="Cambria Math" w:hAnsi="Cambria Math"/>
                              </w:rPr>
                              <m:t>t</m:t>
                            </m:r>
                          </m:e>
                          <m:sub>
                            <m:r>
                              <w:rPr>
                                <w:rFonts w:ascii="Cambria Math" w:hAnsi="Cambria Math"/>
                              </w:rPr>
                              <m:t>start,l-1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e>
                      <m:e>
                        <m:r>
                          <w:rPr>
                            <w:rFonts w:ascii="Cambria Math" w:hAnsi="Cambria Math"/>
                          </w:rPr>
                          <m:t>otherwise</m:t>
                        </m:r>
                      </m:e>
                    </m:mr>
                  </m:m>
                </m:e>
              </m:d>
            </m:oMath>
            <w:r w:rsidR="00530775" w:rsidRPr="00EE006E">
              <w:t xml:space="preserve"> </w:t>
            </w:r>
          </w:p>
        </w:tc>
        <w:tc>
          <w:tcPr>
            <w:tcW w:w="1080" w:type="dxa"/>
            <w:vAlign w:val="center"/>
          </w:tcPr>
          <w:p w14:paraId="02C6E91D" w14:textId="77777777" w:rsidR="00530775" w:rsidRPr="00EE006E" w:rsidRDefault="00530775" w:rsidP="00B54DBB">
            <w:pPr>
              <w:pStyle w:val="ListParagraph"/>
              <w:ind w:leftChars="0" w:left="0" w:firstLineChars="112" w:firstLine="224"/>
              <w:jc w:val="both"/>
            </w:pPr>
            <w:r w:rsidRPr="00EE006E">
              <w:t>(</w:t>
            </w:r>
            <w:fldSimple w:instr=" SEQ eq \* MERGEFORMAT ">
              <w:r w:rsidRPr="00EE006E">
                <w:rPr>
                  <w:noProof/>
                </w:rPr>
                <w:t>3</w:t>
              </w:r>
            </w:fldSimple>
            <w:r w:rsidRPr="00EE006E">
              <w:t>)</w:t>
            </w:r>
          </w:p>
        </w:tc>
      </w:tr>
    </w:tbl>
    <w:p w14:paraId="544A5384" w14:textId="77777777" w:rsidR="00530775" w:rsidRPr="00EE006E" w:rsidRDefault="00530775" w:rsidP="00EE006E">
      <w:pPr>
        <w:pStyle w:val="ListParagraph"/>
        <w:ind w:leftChars="0"/>
        <w:jc w:val="both"/>
      </w:pPr>
    </w:p>
    <w:p w14:paraId="4272E0C5" w14:textId="77777777" w:rsidR="00530775" w:rsidRPr="00EE006E" w:rsidRDefault="00530775" w:rsidP="00EE006E">
      <w:pPr>
        <w:jc w:val="both"/>
      </w:pPr>
      <w:r w:rsidRPr="00EE006E">
        <w:t xml:space="preserve">Assuming the UE center frequency as </w:t>
      </w:r>
      <m:oMath>
        <m:sSub>
          <m:sSubPr>
            <m:ctrlPr>
              <w:rPr>
                <w:rFonts w:ascii="Cambria Math" w:hAnsi="Cambria Math"/>
                <w:i/>
              </w:rPr>
            </m:ctrlPr>
          </m:sSubPr>
          <m:e>
            <m:r>
              <w:rPr>
                <w:rFonts w:ascii="Cambria Math" w:hAnsi="Cambria Math"/>
              </w:rPr>
              <m:t>f</m:t>
            </m:r>
          </m:e>
          <m:sub>
            <m:r>
              <w:rPr>
                <w:rFonts w:ascii="Cambria Math" w:hAnsi="Cambria Math"/>
              </w:rPr>
              <m:t>c,UE</m:t>
            </m:r>
          </m:sub>
        </m:sSub>
      </m:oMath>
      <w:r w:rsidRPr="00EE006E">
        <w:t>, its received signal after mixer is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71FF0073" w14:textId="77777777" w:rsidTr="00B54DBB">
        <w:tc>
          <w:tcPr>
            <w:tcW w:w="7398" w:type="dxa"/>
            <w:vAlign w:val="center"/>
          </w:tcPr>
          <w:p w14:paraId="4C25BC09" w14:textId="77777777" w:rsidR="00530775" w:rsidRPr="00EE006E" w:rsidRDefault="00AC1E58" w:rsidP="00B54DBB">
            <w:pPr>
              <w:ind w:firstLine="100"/>
              <w:jc w:val="both"/>
            </w:pPr>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e>
                    </m:d>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m:t>
                        </m:r>
                      </m:sub>
                    </m:sSub>
                  </m:sup>
                </m:s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h</m:t>
                        </m:r>
                      </m:e>
                      <m:sub>
                        <m:r>
                          <w:rPr>
                            <w:rFonts w:ascii="Cambria Math" w:hAnsi="Cambria Math"/>
                          </w:rPr>
                          <m:t>k,l</m:t>
                        </m:r>
                      </m:sub>
                    </m:sSub>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k+</m:t>
                            </m:r>
                            <m:r>
                              <m:rPr>
                                <m:sty m:val="p"/>
                              </m:rPr>
                              <w:rPr>
                                <w:rFonts w:ascii="Cambria Math" w:hAnsi="Cambria Math"/>
                              </w:rPr>
                              <m:t>Δ</m:t>
                            </m:r>
                            <m:r>
                              <w:rPr>
                                <w:rFonts w:ascii="Cambria Math" w:hAnsi="Cambria Math"/>
                              </w:rPr>
                              <m:t>k</m:t>
                            </m:r>
                          </m:e>
                        </m:d>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m:oMathPara>
          </w:p>
        </w:tc>
        <w:tc>
          <w:tcPr>
            <w:tcW w:w="1080" w:type="dxa"/>
            <w:vAlign w:val="center"/>
          </w:tcPr>
          <w:p w14:paraId="5EAB7045" w14:textId="77777777" w:rsidR="00530775" w:rsidRPr="00EE006E" w:rsidRDefault="00530775" w:rsidP="00B54DBB">
            <w:pPr>
              <w:pStyle w:val="ListParagraph"/>
              <w:ind w:leftChars="0" w:left="0" w:firstLineChars="112" w:firstLine="224"/>
              <w:jc w:val="both"/>
            </w:pPr>
            <w:r w:rsidRPr="00EE006E">
              <w:t>(</w:t>
            </w:r>
            <w:fldSimple w:instr=" SEQ eq \* MERGEFORMAT ">
              <w:r w:rsidRPr="00EE006E">
                <w:rPr>
                  <w:noProof/>
                </w:rPr>
                <w:t>4</w:t>
              </w:r>
            </w:fldSimple>
            <w:r w:rsidRPr="00EE006E">
              <w:t>)</w:t>
            </w:r>
          </w:p>
        </w:tc>
      </w:tr>
    </w:tbl>
    <w:p w14:paraId="3DB370C3" w14:textId="58E56B72" w:rsidR="00DE27C3" w:rsidRPr="00EE006E" w:rsidRDefault="00530775" w:rsidP="00EE006E">
      <w:pPr>
        <w:jc w:val="both"/>
      </w:pPr>
      <w:r w:rsidRPr="00EE006E">
        <w:t xml:space="preserve">where </w:t>
      </w:r>
      <m:oMath>
        <m:sSub>
          <m:sSubPr>
            <m:ctrlPr>
              <w:rPr>
                <w:rFonts w:ascii="Cambria Math" w:hAnsi="Cambria Math"/>
                <w:i/>
              </w:rPr>
            </m:ctrlPr>
          </m:sSubPr>
          <m:e>
            <m:r>
              <w:rPr>
                <w:rFonts w:ascii="Cambria Math" w:hAnsi="Cambria Math"/>
              </w:rPr>
              <m:t>ϕ</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oMath>
      <w:r w:rsidRPr="00EE006E">
        <w:t xml:space="preserve"> and </w:t>
      </w:r>
      <m:oMath>
        <m:r>
          <m:rPr>
            <m:sty m:val="p"/>
          </m:rPr>
          <w:rPr>
            <w:rFonts w:ascii="Cambria Math" w:hAnsi="Cambria Math" w:hint="eastAsia"/>
          </w:rPr>
          <m:t>Δ</m:t>
        </m:r>
        <m:r>
          <w:rPr>
            <w:rFonts w:ascii="Cambria Math" w:hAnsi="Cambria Math"/>
          </w:rPr>
          <m:t>k=</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num>
          <m:den>
            <m:r>
              <m:rPr>
                <m:sty m:val="p"/>
              </m:rPr>
              <w:rPr>
                <w:rFonts w:ascii="Cambria Math" w:hAnsi="Cambria Math" w:hint="eastAsia"/>
              </w:rPr>
              <m:t>Δ</m:t>
            </m:r>
            <m:r>
              <w:rPr>
                <w:rFonts w:ascii="Cambria Math" w:hAnsi="Cambria Math"/>
              </w:rPr>
              <m:t>f</m:t>
            </m:r>
          </m:den>
        </m:f>
      </m:oMath>
      <w:r w:rsidRPr="00EE006E">
        <w:t xml:space="preserve">. </w:t>
      </w:r>
      <w:r w:rsidR="007564FF" w:rsidRPr="00EE006E">
        <w:t>N</w:t>
      </w:r>
      <w:r w:rsidRPr="00EE006E">
        <w:t xml:space="preserve">ote that the center frequency offset is always an integer number of subcarrier. Therefore, </w:t>
      </w:r>
      <m:oMath>
        <m:r>
          <m:rPr>
            <m:sty m:val="p"/>
          </m:rPr>
          <w:rPr>
            <w:rFonts w:ascii="Cambria Math" w:hAnsi="Cambria Math" w:hint="eastAsia"/>
          </w:rPr>
          <m:t>Δ</m:t>
        </m:r>
        <m:r>
          <w:rPr>
            <w:rFonts w:ascii="Cambria Math" w:hAnsi="Cambria Math"/>
          </w:rPr>
          <m:t>k</m:t>
        </m:r>
      </m:oMath>
      <w:r w:rsidRPr="00EE006E">
        <w:t xml:space="preserve"> is an integer number and can be taken care of by adjusting subcarrier index implicitly. Therefore, the impact of this center frequency offset is only the unknown per-symbol phase rotation </w:t>
      </w:r>
      <m:oMath>
        <m:sSub>
          <m:sSubPr>
            <m:ctrlPr>
              <w:rPr>
                <w:rFonts w:ascii="Cambria Math" w:hAnsi="Cambria Math"/>
                <w:i/>
              </w:rPr>
            </m:ctrlPr>
          </m:sSubPr>
          <m:e>
            <m:r>
              <w:rPr>
                <w:rFonts w:ascii="Cambria Math" w:hAnsi="Cambria Math"/>
              </w:rPr>
              <m:t>ϕ</m:t>
            </m:r>
          </m:e>
          <m:sub>
            <m:r>
              <w:rPr>
                <w:rFonts w:ascii="Cambria Math" w:hAnsi="Cambria Math"/>
              </w:rPr>
              <m:t>l</m:t>
            </m:r>
          </m:sub>
        </m:sSub>
      </m:oMath>
      <w:r w:rsidRPr="00EE006E">
        <w:t>.</w:t>
      </w:r>
      <w:r w:rsidR="00417D61" w:rsidRPr="00EE006E">
        <w:t xml:space="preserve"> </w:t>
      </w:r>
    </w:p>
    <w:p w14:paraId="6E3CDD40" w14:textId="7E28708A" w:rsidR="00D312DF" w:rsidRDefault="00D312DF" w:rsidP="00D312DF">
      <w:pPr>
        <w:jc w:val="both"/>
        <w:rPr>
          <w:b/>
        </w:rPr>
      </w:pPr>
      <w:r w:rsidRPr="00EE006E">
        <w:rPr>
          <w:b/>
          <w:u w:val="single"/>
        </w:rPr>
        <w:t>Observation 1:</w:t>
      </w:r>
      <w:r w:rsidRPr="00D312DF">
        <w:rPr>
          <w:b/>
        </w:rPr>
        <w:t xml:space="preserve"> </w:t>
      </w:r>
      <w:r w:rsidRPr="00031EF0">
        <w:rPr>
          <w:b/>
        </w:rPr>
        <w:t>For initial access, UE’s baseband center frequency assumption and the actual signal center frequency</w:t>
      </w:r>
      <w:r>
        <w:rPr>
          <w:b/>
        </w:rPr>
        <w:t xml:space="preserve"> are likely to be different</w:t>
      </w:r>
      <w:r w:rsidRPr="00031EF0">
        <w:rPr>
          <w:b/>
        </w:rPr>
        <w:t>. Consequently, the initial access UE will suffer from unknown phase rotation across OFDM symbols</w:t>
      </w:r>
      <w:r>
        <w:rPr>
          <w:b/>
        </w:rPr>
        <w:t xml:space="preserve"> if no phase compensation is done at the network side</w:t>
      </w:r>
      <w:r w:rsidRPr="00031EF0">
        <w:rPr>
          <w:b/>
        </w:rPr>
        <w:t>.</w:t>
      </w:r>
    </w:p>
    <w:p w14:paraId="5933CEC3" w14:textId="23712C6D" w:rsidR="00D312DF" w:rsidRDefault="00D312DF" w:rsidP="003872BB">
      <w:pPr>
        <w:pStyle w:val="CommentText"/>
        <w:jc w:val="both"/>
        <w:rPr>
          <w:b/>
        </w:rPr>
      </w:pPr>
      <w:r>
        <w:rPr>
          <w:rFonts w:hint="eastAsia"/>
          <w:b/>
          <w:u w:val="single"/>
        </w:rPr>
        <w:t>Observation 2:</w:t>
      </w:r>
      <w:r>
        <w:t xml:space="preserve"> </w:t>
      </w:r>
      <w:r w:rsidR="00CC763A" w:rsidRPr="003872BB">
        <w:rPr>
          <w:b/>
        </w:rPr>
        <w:t>B</w:t>
      </w:r>
      <w:r w:rsidR="00CC763A">
        <w:rPr>
          <w:b/>
        </w:rPr>
        <w:t>efore RRC connection is established, t</w:t>
      </w:r>
      <w:r>
        <w:rPr>
          <w:b/>
        </w:rPr>
        <w:t xml:space="preserve">he phase rotation </w:t>
      </w:r>
      <w:r w:rsidR="00703F73">
        <w:rPr>
          <w:b/>
        </w:rPr>
        <w:t>impact</w:t>
      </w:r>
      <w:r>
        <w:rPr>
          <w:b/>
        </w:rPr>
        <w:t xml:space="preserve"> </w:t>
      </w:r>
      <w:r w:rsidR="00AE41AF">
        <w:rPr>
          <w:b/>
        </w:rPr>
        <w:t xml:space="preserve">due to the center frequency mismatch </w:t>
      </w:r>
      <w:r>
        <w:rPr>
          <w:b/>
        </w:rPr>
        <w:t>would be</w:t>
      </w:r>
      <w:r w:rsidR="00703F73">
        <w:rPr>
          <w:b/>
        </w:rPr>
        <w:t>come worse</w:t>
      </w:r>
      <w:r>
        <w:rPr>
          <w:b/>
        </w:rPr>
        <w:t xml:space="preserve"> when UE receives RMSI and other channels, e.g., msg2/4. </w:t>
      </w:r>
      <w:r w:rsidR="00703F73">
        <w:rPr>
          <w:b/>
        </w:rPr>
        <w:t xml:space="preserve">This is because PDSCH transmission does not have enough DMRS for UE to estimate/compensate </w:t>
      </w:r>
      <w:r w:rsidR="00AE41AF">
        <w:rPr>
          <w:b/>
        </w:rPr>
        <w:t xml:space="preserve">the </w:t>
      </w:r>
      <w:r w:rsidR="00703F73">
        <w:rPr>
          <w:b/>
        </w:rPr>
        <w:t>phase rotation.</w:t>
      </w:r>
    </w:p>
    <w:p w14:paraId="620544DD" w14:textId="08BD173D" w:rsidR="004B48CF" w:rsidRPr="00EE006E" w:rsidRDefault="004B48CF" w:rsidP="00EE006E">
      <w:pPr>
        <w:jc w:val="both"/>
      </w:pPr>
      <w:r w:rsidRPr="00EE006E">
        <w:t xml:space="preserve">If the center frequency offset can be informed in early stage, e.g., via MIB, UE would be able to recover the phase rotation impact after the point of MIB acquisition. However, MIB payload is already overloaded so that no more room </w:t>
      </w:r>
      <w:r w:rsidR="0072205E" w:rsidRPr="00EE006E">
        <w:t xml:space="preserve">would be available </w:t>
      </w:r>
      <w:r w:rsidRPr="00EE006E">
        <w:t>to accommodat</w:t>
      </w:r>
      <w:r w:rsidR="0072205E" w:rsidRPr="00EE006E">
        <w:t>e</w:t>
      </w:r>
      <w:r w:rsidRPr="00EE006E">
        <w:t xml:space="preserve"> the </w:t>
      </w:r>
      <w:r w:rsidR="0072205E" w:rsidRPr="00EE006E">
        <w:t xml:space="preserve">center frequency offset </w:t>
      </w:r>
      <w:r w:rsidRPr="00EE006E">
        <w:t xml:space="preserve">signaling. </w:t>
      </w:r>
      <w:r w:rsidR="0072205E" w:rsidRPr="00EE006E">
        <w:t>Further, phase rotation problem still remains when initial access UE receives SSB</w:t>
      </w:r>
      <w:r w:rsidR="00703F73">
        <w:t xml:space="preserve"> (i.e., before UE acquires MIB)</w:t>
      </w:r>
      <w:r w:rsidR="0072205E" w:rsidRPr="00EE006E">
        <w:t>.</w:t>
      </w:r>
    </w:p>
    <w:p w14:paraId="4C9CAD07" w14:textId="3E560533" w:rsidR="00DB44A2" w:rsidRPr="00EE006E" w:rsidRDefault="0072205E" w:rsidP="00EE006E">
      <w:pPr>
        <w:jc w:val="both"/>
      </w:pPr>
      <w:r w:rsidRPr="00EE006E">
        <w:t>Therefore, i</w:t>
      </w:r>
      <w:r w:rsidR="00417D61" w:rsidRPr="00EE006E">
        <w:t xml:space="preserve">n order to address the phase rotation problem for initial access, the gNB transmitter side compensation would be needed. That is, gNB </w:t>
      </w:r>
      <w:r w:rsidR="00703F73">
        <w:t>compensate</w:t>
      </w:r>
      <w:r w:rsidR="00703F73" w:rsidRPr="00EE006E">
        <w:t xml:space="preserve"> </w:t>
      </w:r>
      <w:r w:rsidR="00417D61" w:rsidRPr="00EE006E">
        <w:t xml:space="preserve">the phase rotation </w:t>
      </w:r>
      <w:r w:rsidR="00703F73">
        <w:t xml:space="preserve">in advance </w:t>
      </w:r>
      <w:r w:rsidR="00417D61" w:rsidRPr="00EE006E">
        <w:t>for SSB and RMSI transmission and UE does not require any signaling for the center frequency</w:t>
      </w:r>
      <w:r w:rsidR="001D54D5" w:rsidRPr="00EE006E">
        <w:t xml:space="preserve"> during initial access procedure</w:t>
      </w:r>
      <w:r w:rsidR="00417D61" w:rsidRPr="00EE006E">
        <w:t xml:space="preserve">. </w:t>
      </w:r>
    </w:p>
    <w:p w14:paraId="61C1CD17" w14:textId="0F8F3932" w:rsidR="00113AB0" w:rsidRPr="00EE006E" w:rsidRDefault="00113AB0" w:rsidP="00EE006E">
      <w:pPr>
        <w:jc w:val="both"/>
        <w:rPr>
          <w:b/>
          <w:u w:val="single"/>
        </w:rPr>
      </w:pPr>
      <w:r w:rsidRPr="00EE006E">
        <w:rPr>
          <w:b/>
          <w:u w:val="single"/>
        </w:rPr>
        <w:t>Proposal</w:t>
      </w:r>
      <w:r w:rsidR="00EE006E" w:rsidRPr="00EE006E">
        <w:rPr>
          <w:b/>
          <w:u w:val="single"/>
        </w:rPr>
        <w:t xml:space="preserve"> 2</w:t>
      </w:r>
      <w:r w:rsidRPr="00EE006E">
        <w:rPr>
          <w:b/>
          <w:u w:val="single"/>
        </w:rPr>
        <w:t>:</w:t>
      </w:r>
      <w:r w:rsidRPr="003872BB">
        <w:rPr>
          <w:b/>
        </w:rPr>
        <w:t xml:space="preserve"> </w:t>
      </w:r>
      <w:r w:rsidRPr="00031EF0">
        <w:rPr>
          <w:b/>
        </w:rPr>
        <w:t xml:space="preserve">gNB </w:t>
      </w:r>
      <w:r w:rsidR="00703F73">
        <w:rPr>
          <w:b/>
        </w:rPr>
        <w:t>compensate</w:t>
      </w:r>
      <w:r w:rsidR="00AE41AF">
        <w:rPr>
          <w:b/>
        </w:rPr>
        <w:t>s</w:t>
      </w:r>
      <w:r w:rsidR="00703F73">
        <w:rPr>
          <w:b/>
        </w:rPr>
        <w:t xml:space="preserve"> </w:t>
      </w:r>
      <w:r w:rsidRPr="00031EF0">
        <w:rPr>
          <w:b/>
        </w:rPr>
        <w:t>the phase rotation</w:t>
      </w:r>
      <w:r w:rsidR="00703F73">
        <w:rPr>
          <w:b/>
        </w:rPr>
        <w:t xml:space="preserve"> </w:t>
      </w:r>
      <w:r w:rsidRPr="00031EF0">
        <w:rPr>
          <w:b/>
        </w:rPr>
        <w:t>for SSB and RMSI transmission and UE does not require any signaling for the center frequency</w:t>
      </w:r>
      <w:r w:rsidR="001D54D5" w:rsidRPr="00031EF0">
        <w:rPr>
          <w:b/>
        </w:rPr>
        <w:t xml:space="preserve"> during initial access procedure</w:t>
      </w:r>
      <w:r w:rsidRPr="00031EF0">
        <w:rPr>
          <w:b/>
        </w:rPr>
        <w:t>.</w:t>
      </w:r>
    </w:p>
    <w:p w14:paraId="3D8209DB" w14:textId="4F1BFFF3" w:rsidR="00530B88" w:rsidRPr="00EE006E" w:rsidRDefault="00530B8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 xml:space="preserve">Rate Matching </w:t>
      </w:r>
      <w:r w:rsidR="00EB2B9B" w:rsidRPr="00EE006E">
        <w:t>around SSB</w:t>
      </w:r>
      <w:r w:rsidR="00EE006E">
        <w:t>s</w:t>
      </w:r>
    </w:p>
    <w:p w14:paraId="76B06371"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2CE85EA8"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0A61CABC"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1C40157D"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5494DBA0" w14:textId="34DB8994" w:rsidR="000B748B" w:rsidRPr="00EE006E" w:rsidRDefault="000B748B" w:rsidP="002649E1">
      <w:pPr>
        <w:pStyle w:val="Heading2"/>
      </w:pPr>
      <w:r w:rsidRPr="00EE006E">
        <w:t xml:space="preserve">Rate </w:t>
      </w:r>
      <w:r w:rsidRPr="002649E1">
        <w:t>matching</w:t>
      </w:r>
      <w:r w:rsidRPr="00EE006E">
        <w:t xml:space="preserve"> bandwidth</w:t>
      </w:r>
    </w:p>
    <w:p w14:paraId="233F3BFF" w14:textId="074C649B" w:rsidR="00EB2B9B" w:rsidRPr="00EE006E" w:rsidRDefault="00EB2B9B" w:rsidP="00EB2B9B">
      <w:r w:rsidRPr="00EE006E">
        <w:t>At least for rate matching purpose, actual SS block</w:t>
      </w:r>
      <w:r w:rsidRPr="00EE006E">
        <w:rPr>
          <w:rFonts w:hint="eastAsia"/>
        </w:rPr>
        <w:t xml:space="preserve"> transmission </w:t>
      </w:r>
      <w:r w:rsidRPr="00EE006E">
        <w:t>can be</w:t>
      </w:r>
      <w:r w:rsidRPr="00EE006E">
        <w:rPr>
          <w:rFonts w:hint="eastAsia"/>
        </w:rPr>
        <w:t xml:space="preserve"> indicated by </w:t>
      </w:r>
      <w:r w:rsidRPr="00EE006E">
        <w:t xml:space="preserve">either </w:t>
      </w:r>
      <w:r w:rsidRPr="00EE006E">
        <w:rPr>
          <w:rFonts w:hint="eastAsia"/>
        </w:rPr>
        <w:t xml:space="preserve">UE-specific RRC </w:t>
      </w:r>
      <w:r w:rsidRPr="00EE006E">
        <w:t>signalling</w:t>
      </w:r>
      <w:r w:rsidRPr="00EE006E">
        <w:rPr>
          <w:rFonts w:hint="eastAsia"/>
        </w:rPr>
        <w:t xml:space="preserve"> </w:t>
      </w:r>
      <w:r w:rsidRPr="00EE006E">
        <w:t>or RMSI signalling</w:t>
      </w:r>
      <w:r w:rsidRPr="00EE006E">
        <w:rPr>
          <w:rFonts w:hint="eastAsia"/>
        </w:rPr>
        <w:t xml:space="preserve">. Regarding the way of rate matching around SS block, three options as shown in Figure </w:t>
      </w:r>
      <w:r w:rsidR="00EE006E">
        <w:t>3</w:t>
      </w:r>
      <w:r w:rsidRPr="00EE006E">
        <w:rPr>
          <w:rFonts w:hint="eastAsia"/>
        </w:rPr>
        <w:t>:</w:t>
      </w:r>
    </w:p>
    <w:p w14:paraId="4BED591D" w14:textId="77777777" w:rsidR="00EB2B9B" w:rsidRPr="00EE006E" w:rsidRDefault="00EB2B9B" w:rsidP="00EB2B9B">
      <w:r w:rsidRPr="00EE006E">
        <w:rPr>
          <w:rFonts w:hint="eastAsia"/>
        </w:rPr>
        <w:t>Alt 1) Rate match around the REs in SS block OFDM symbols</w:t>
      </w:r>
    </w:p>
    <w:p w14:paraId="6B807F34" w14:textId="77777777" w:rsidR="00EB2B9B" w:rsidRPr="00EE006E" w:rsidRDefault="00EB2B9B" w:rsidP="00EB2B9B">
      <w:r w:rsidRPr="00EE006E">
        <w:rPr>
          <w:rFonts w:hint="eastAsia"/>
        </w:rPr>
        <w:t>Alt 2) Rate match around the PBCH BW in SS block OFDM symbols</w:t>
      </w:r>
    </w:p>
    <w:p w14:paraId="1F29800A" w14:textId="6635842C" w:rsidR="00EB2B9B" w:rsidRPr="00EE006E" w:rsidRDefault="00EB2B9B" w:rsidP="00EB2B9B">
      <w:r w:rsidRPr="00EE006E">
        <w:rPr>
          <w:rFonts w:hint="eastAsia"/>
        </w:rPr>
        <w:t xml:space="preserve">Alt </w:t>
      </w:r>
      <w:r w:rsidRPr="00EE006E">
        <w:t>3</w:t>
      </w:r>
      <w:r w:rsidRPr="00EE006E">
        <w:rPr>
          <w:rFonts w:hint="eastAsia"/>
        </w:rPr>
        <w:t xml:space="preserve">) Rate match </w:t>
      </w:r>
      <w:r w:rsidRPr="00EE006E">
        <w:t xml:space="preserve">at the data </w:t>
      </w:r>
      <w:r w:rsidR="00F81552" w:rsidRPr="00EE006E">
        <w:t>PRB boundaries</w:t>
      </w:r>
      <w:r w:rsidRPr="00EE006E">
        <w:t xml:space="preserve"> </w:t>
      </w:r>
      <w:r w:rsidRPr="00EE006E">
        <w:rPr>
          <w:rFonts w:hint="eastAsia"/>
        </w:rPr>
        <w:t>around the PBCH BW in SS block OFDM symbols</w:t>
      </w:r>
    </w:p>
    <w:p w14:paraId="3B9CEDA5" w14:textId="54D366A2" w:rsidR="00EB2B9B" w:rsidRPr="00EE006E" w:rsidRDefault="00EB2B9B" w:rsidP="00EB2B9B">
      <w:r w:rsidRPr="00EE006E">
        <w:rPr>
          <w:rFonts w:hint="eastAsia"/>
        </w:rPr>
        <w:t xml:space="preserve">Alt </w:t>
      </w:r>
      <w:r w:rsidRPr="00EE006E">
        <w:t>4</w:t>
      </w:r>
      <w:r w:rsidRPr="00EE006E">
        <w:rPr>
          <w:rFonts w:hint="eastAsia"/>
        </w:rPr>
        <w:t>) Rate match around the whole SS block OFDM symbols</w:t>
      </w:r>
    </w:p>
    <w:p w14:paraId="06179A40" w14:textId="268ECFC7" w:rsidR="00EB2B9B" w:rsidRPr="00EE006E" w:rsidRDefault="00EB2B9B" w:rsidP="00EB2B9B">
      <w:r w:rsidRPr="00EE006E">
        <w:t xml:space="preserve">In case of Alt 1 and Alt 2, more REs will be available in PSS/SSS OFDM symbols than PBCH OFDM symbols for PDSCH than Alt 3 and Alt 4. Alt 1 is least preferred because it does not give any guard for PSS detection. </w:t>
      </w:r>
      <w:r w:rsidR="00F81552" w:rsidRPr="00EE006E">
        <w:t xml:space="preserve">It is also noticed that Alt 1 increases UE implementation complexity to deal with different combination of SCS values for FDM’ed SSB and data. </w:t>
      </w:r>
      <w:r w:rsidRPr="00EE006E">
        <w:t>Between Alt 2 and Alt 3, Alt 3 is preferred because of the simplicity, e.g., full DMRS is always available</w:t>
      </w:r>
      <w:r w:rsidRPr="00EE006E">
        <w:rPr>
          <w:rFonts w:hint="eastAsia"/>
        </w:rPr>
        <w:t xml:space="preserve">. </w:t>
      </w:r>
      <w:r w:rsidRPr="00EE006E">
        <w:t xml:space="preserve">The issue can be seen in Figure 2. When the PDSCH SCS is smaller (e.g., 15kHz or 120kHz) than the SSB numerology (30kHz or 240kHz), the REs in left-over BW of PSS/SSS cannot be easily used for PDSCH mapping. </w:t>
      </w:r>
      <w:r w:rsidRPr="00EE006E">
        <w:rPr>
          <w:rFonts w:hint="eastAsia"/>
        </w:rPr>
        <w:t xml:space="preserve">Alt </w:t>
      </w:r>
      <w:r w:rsidR="00F81552" w:rsidRPr="00EE006E">
        <w:t>4</w:t>
      </w:r>
      <w:r w:rsidRPr="00EE006E">
        <w:rPr>
          <w:rFonts w:hint="eastAsia"/>
        </w:rPr>
        <w:t xml:space="preserve"> can be useful when the UE need to perform Rx beam sweeping in SS block OFDM symbols. </w:t>
      </w:r>
    </w:p>
    <w:p w14:paraId="52852ABE" w14:textId="2D9213CD" w:rsidR="00EB2B9B" w:rsidRPr="00EE006E" w:rsidRDefault="00EB2B9B" w:rsidP="00EB2B9B">
      <w:r w:rsidRPr="00EE006E">
        <w:t xml:space="preserve">Considering the pros and cons of the alternatives, we propose that </w:t>
      </w:r>
      <w:r w:rsidRPr="00EE006E">
        <w:rPr>
          <w:rFonts w:hint="eastAsia"/>
        </w:rPr>
        <w:t xml:space="preserve">the gNB can configure rate match </w:t>
      </w:r>
      <w:r w:rsidRPr="00EE006E">
        <w:t xml:space="preserve">BW </w:t>
      </w:r>
      <w:r w:rsidRPr="00EE006E">
        <w:rPr>
          <w:rFonts w:hint="eastAsia"/>
        </w:rPr>
        <w:t xml:space="preserve">around the SS block between Alt </w:t>
      </w:r>
      <w:r w:rsidR="00F81552" w:rsidRPr="00EE006E">
        <w:t>3</w:t>
      </w:r>
      <w:r w:rsidRPr="00EE006E">
        <w:rPr>
          <w:rFonts w:hint="eastAsia"/>
        </w:rPr>
        <w:t xml:space="preserve"> and Alt </w:t>
      </w:r>
      <w:r w:rsidR="00F81552" w:rsidRPr="00EE006E">
        <w:t>4</w:t>
      </w:r>
      <w:r w:rsidRPr="00EE006E">
        <w:rPr>
          <w:rFonts w:hint="eastAsia"/>
        </w:rPr>
        <w:t>.</w:t>
      </w:r>
    </w:p>
    <w:p w14:paraId="59C59C47" w14:textId="013A0E7A" w:rsidR="00EB2B9B" w:rsidRPr="00EE006E" w:rsidRDefault="00EB2B9B" w:rsidP="00EB2B9B">
      <w:pPr>
        <w:pStyle w:val="Normalwithindent"/>
        <w:spacing w:before="0" w:after="0"/>
        <w:ind w:firstLine="0"/>
        <w:rPr>
          <w:b/>
        </w:rPr>
      </w:pPr>
      <w:r w:rsidRPr="00031EF0">
        <w:rPr>
          <w:b/>
          <w:u w:val="single"/>
        </w:rPr>
        <w:lastRenderedPageBreak/>
        <w:t xml:space="preserve">Proposal </w:t>
      </w:r>
      <w:r w:rsidR="00EE006E" w:rsidRPr="00031EF0">
        <w:rPr>
          <w:b/>
          <w:u w:val="single"/>
        </w:rPr>
        <w:t>3</w:t>
      </w:r>
      <w:r w:rsidRPr="00031EF0">
        <w:rPr>
          <w:b/>
          <w:u w:val="single"/>
        </w:rPr>
        <w:t>:</w:t>
      </w:r>
      <w:r w:rsidRPr="00EE006E">
        <w:rPr>
          <w:b/>
        </w:rPr>
        <w:t xml:space="preserve"> </w:t>
      </w:r>
      <w:r w:rsidRPr="00EE006E">
        <w:rPr>
          <w:rFonts w:hint="eastAsia"/>
          <w:b/>
        </w:rPr>
        <w:t>H</w:t>
      </w:r>
      <w:r w:rsidRPr="00EE006E">
        <w:rPr>
          <w:b/>
        </w:rPr>
        <w:t xml:space="preserve">ow to rate match </w:t>
      </w:r>
      <w:r w:rsidRPr="00EE006E">
        <w:rPr>
          <w:rFonts w:hint="eastAsia"/>
          <w:b/>
        </w:rPr>
        <w:t>a</w:t>
      </w:r>
      <w:r w:rsidRPr="00EE006E">
        <w:rPr>
          <w:b/>
        </w:rPr>
        <w:t xml:space="preserve">round </w:t>
      </w:r>
      <w:r w:rsidRPr="00EE006E">
        <w:rPr>
          <w:rFonts w:hint="eastAsia"/>
          <w:b/>
        </w:rPr>
        <w:t xml:space="preserve">actual transmitted </w:t>
      </w:r>
      <w:r w:rsidRPr="00EE006E">
        <w:rPr>
          <w:b/>
        </w:rPr>
        <w:t>S</w:t>
      </w:r>
      <w:r w:rsidRPr="00EE006E">
        <w:rPr>
          <w:rFonts w:hint="eastAsia"/>
          <w:b/>
        </w:rPr>
        <w:t>S block</w:t>
      </w:r>
      <w:r w:rsidRPr="00EE006E">
        <w:rPr>
          <w:b/>
        </w:rPr>
        <w:t xml:space="preserve"> </w:t>
      </w:r>
      <w:r w:rsidRPr="00EE006E">
        <w:rPr>
          <w:rFonts w:hint="eastAsia"/>
          <w:b/>
        </w:rPr>
        <w:t xml:space="preserve">can be RRC configured to the UE </w:t>
      </w:r>
      <w:r w:rsidRPr="00EE006E">
        <w:rPr>
          <w:b/>
        </w:rPr>
        <w:t>between:</w:t>
      </w:r>
    </w:p>
    <w:p w14:paraId="0D094728" w14:textId="7193286D" w:rsidR="00EB2B9B" w:rsidRPr="00EE006E" w:rsidRDefault="00EB2B9B" w:rsidP="00EB2B9B">
      <w:pPr>
        <w:pStyle w:val="Normalwithindent"/>
        <w:numPr>
          <w:ilvl w:val="0"/>
          <w:numId w:val="44"/>
        </w:numPr>
        <w:spacing w:before="0" w:after="0"/>
        <w:rPr>
          <w:b/>
        </w:rPr>
      </w:pPr>
      <w:r w:rsidRPr="00EE006E">
        <w:rPr>
          <w:rFonts w:hint="eastAsia"/>
          <w:b/>
        </w:rPr>
        <w:t>Opt</w:t>
      </w:r>
      <w:r w:rsidRPr="00EE006E">
        <w:rPr>
          <w:b/>
        </w:rPr>
        <w:t xml:space="preserve"> 1: Rate match </w:t>
      </w:r>
      <w:r w:rsidR="00F81552" w:rsidRPr="00EE006E">
        <w:rPr>
          <w:b/>
        </w:rPr>
        <w:t xml:space="preserve">at the data PRB boundaries </w:t>
      </w:r>
      <w:r w:rsidRPr="00EE006E">
        <w:rPr>
          <w:b/>
        </w:rPr>
        <w:t xml:space="preserve">around the PBCH BW in SS block OFDM symbols (Alt </w:t>
      </w:r>
      <w:r w:rsidR="00F81552" w:rsidRPr="00EE006E">
        <w:rPr>
          <w:b/>
        </w:rPr>
        <w:t>3</w:t>
      </w:r>
      <w:r w:rsidRPr="00EE006E">
        <w:rPr>
          <w:b/>
        </w:rPr>
        <w:t xml:space="preserve"> in </w:t>
      </w:r>
      <w:r w:rsidR="007176B8" w:rsidRPr="007176B8">
        <w:rPr>
          <w:b/>
        </w:rPr>
        <w:fldChar w:fldCharType="begin"/>
      </w:r>
      <w:r w:rsidR="007176B8" w:rsidRPr="007176B8">
        <w:rPr>
          <w:b/>
        </w:rPr>
        <w:instrText xml:space="preserve"> REF _Ref499545578 \h </w:instrText>
      </w:r>
      <w:r w:rsidR="007176B8" w:rsidRPr="007176B8">
        <w:rPr>
          <w:b/>
        </w:rPr>
      </w:r>
      <w:r w:rsidR="007176B8" w:rsidRPr="007176B8">
        <w:rPr>
          <w:b/>
        </w:rPr>
        <w:instrText xml:space="preserve"> \* MERGEFORMAT </w:instrText>
      </w:r>
      <w:r w:rsidR="007176B8" w:rsidRPr="007176B8">
        <w:rPr>
          <w:b/>
        </w:rPr>
        <w:fldChar w:fldCharType="separate"/>
      </w:r>
      <w:r w:rsidR="007176B8" w:rsidRPr="007176B8">
        <w:rPr>
          <w:b/>
        </w:rPr>
        <w:t xml:space="preserve">FIGURE </w:t>
      </w:r>
      <w:r w:rsidR="007176B8" w:rsidRPr="007176B8">
        <w:rPr>
          <w:b/>
          <w:noProof/>
        </w:rPr>
        <w:t>6</w:t>
      </w:r>
      <w:r w:rsidR="007176B8" w:rsidRPr="007176B8">
        <w:rPr>
          <w:b/>
        </w:rPr>
        <w:fldChar w:fldCharType="end"/>
      </w:r>
      <w:r w:rsidRPr="00EE006E">
        <w:rPr>
          <w:b/>
        </w:rPr>
        <w:t>)</w:t>
      </w:r>
    </w:p>
    <w:p w14:paraId="37FB8A92" w14:textId="7D429628" w:rsidR="00EB2B9B" w:rsidRPr="00EE006E" w:rsidRDefault="00EB2B9B" w:rsidP="00EB2B9B">
      <w:pPr>
        <w:pStyle w:val="Normalwithindent"/>
        <w:numPr>
          <w:ilvl w:val="0"/>
          <w:numId w:val="44"/>
        </w:numPr>
        <w:spacing w:before="0" w:after="0"/>
        <w:rPr>
          <w:b/>
        </w:rPr>
      </w:pPr>
      <w:r w:rsidRPr="00EE006E">
        <w:rPr>
          <w:rFonts w:hint="eastAsia"/>
          <w:b/>
        </w:rPr>
        <w:t>Opt</w:t>
      </w:r>
      <w:r w:rsidRPr="00EE006E">
        <w:rPr>
          <w:b/>
        </w:rPr>
        <w:t xml:space="preserve"> 2: Rate match around the SS block OFDM symbols (Alt </w:t>
      </w:r>
      <w:r w:rsidR="00F81552" w:rsidRPr="00EE006E">
        <w:rPr>
          <w:b/>
        </w:rPr>
        <w:t>4</w:t>
      </w:r>
      <w:r w:rsidRPr="00EE006E">
        <w:rPr>
          <w:b/>
        </w:rPr>
        <w:t xml:space="preserve"> in </w:t>
      </w:r>
      <w:r w:rsidR="007176B8" w:rsidRPr="007176B8">
        <w:rPr>
          <w:b/>
        </w:rPr>
        <w:fldChar w:fldCharType="begin"/>
      </w:r>
      <w:r w:rsidR="007176B8" w:rsidRPr="007176B8">
        <w:rPr>
          <w:b/>
        </w:rPr>
        <w:instrText xml:space="preserve"> REF _Ref499545578 \h </w:instrText>
      </w:r>
      <w:r w:rsidR="007176B8" w:rsidRPr="007176B8">
        <w:rPr>
          <w:b/>
        </w:rPr>
      </w:r>
      <w:r w:rsidR="007176B8" w:rsidRPr="007176B8">
        <w:rPr>
          <w:b/>
        </w:rPr>
        <w:instrText xml:space="preserve"> \* MERGEFORMAT </w:instrText>
      </w:r>
      <w:r w:rsidR="007176B8" w:rsidRPr="007176B8">
        <w:rPr>
          <w:b/>
        </w:rPr>
        <w:fldChar w:fldCharType="separate"/>
      </w:r>
      <w:r w:rsidR="007176B8" w:rsidRPr="007176B8">
        <w:rPr>
          <w:b/>
        </w:rPr>
        <w:t xml:space="preserve">FIGURE </w:t>
      </w:r>
      <w:r w:rsidR="007176B8" w:rsidRPr="007176B8">
        <w:rPr>
          <w:b/>
          <w:noProof/>
        </w:rPr>
        <w:t>6</w:t>
      </w:r>
      <w:r w:rsidR="007176B8" w:rsidRPr="007176B8">
        <w:rPr>
          <w:b/>
        </w:rPr>
        <w:fldChar w:fldCharType="end"/>
      </w:r>
      <w:r w:rsidRPr="00EE006E">
        <w:rPr>
          <w:b/>
        </w:rPr>
        <w:t>)</w:t>
      </w:r>
    </w:p>
    <w:p w14:paraId="47FFCFFE" w14:textId="77777777" w:rsidR="00EB2B9B" w:rsidRPr="00EE006E" w:rsidRDefault="00EB2B9B" w:rsidP="00EB2B9B"/>
    <w:p w14:paraId="36D6D628" w14:textId="13485F26" w:rsidR="00EB2B9B" w:rsidRPr="00EE006E" w:rsidRDefault="00EB2B9B" w:rsidP="007176B8">
      <w:pPr>
        <w:pStyle w:val="Normalwithindent"/>
        <w:keepNext/>
        <w:spacing w:after="0"/>
        <w:ind w:firstLine="0"/>
        <w:jc w:val="center"/>
      </w:pPr>
      <w:r w:rsidRPr="00EE006E">
        <w:object w:dxaOrig="7616" w:dyaOrig="3386" w14:anchorId="4DD0A788">
          <v:shape id="_x0000_i1025" type="#_x0000_t75" style="width:3in;height:96.2pt" o:ole="">
            <v:imagedata r:id="rId15" o:title=""/>
          </v:shape>
          <o:OLEObject Type="Embed" ProgID="Visio.Drawing.11" ShapeID="_x0000_i1025" DrawAspect="Content" ObjectID="_1573288570" r:id="rId16"/>
        </w:object>
      </w:r>
      <w:r w:rsidRPr="00EE006E">
        <w:object w:dxaOrig="7765" w:dyaOrig="3454" w14:anchorId="0FBA1DF5">
          <v:shape id="_x0000_i1026" type="#_x0000_t75" style="width:220.3pt;height:98.35pt" o:ole="">
            <v:imagedata r:id="rId17" o:title=""/>
          </v:shape>
          <o:OLEObject Type="Embed" ProgID="Visio.Drawing.11" ShapeID="_x0000_i1026" DrawAspect="Content" ObjectID="_1573288571" r:id="rId18"/>
        </w:object>
      </w:r>
      <w:r w:rsidRPr="00EE006E">
        <w:t xml:space="preserve"> </w:t>
      </w:r>
      <w:r w:rsidRPr="00EE006E">
        <w:object w:dxaOrig="7765" w:dyaOrig="3454" w14:anchorId="2482F631">
          <v:shape id="_x0000_i1027" type="#_x0000_t75" style="width:220.3pt;height:98.35pt" o:ole="">
            <v:imagedata r:id="rId19" o:title=""/>
          </v:shape>
          <o:OLEObject Type="Embed" ProgID="Visio.Drawing.11" ShapeID="_x0000_i1027" DrawAspect="Content" ObjectID="_1573288572" r:id="rId20"/>
        </w:object>
      </w:r>
      <w:r w:rsidRPr="00EE006E">
        <w:object w:dxaOrig="7616" w:dyaOrig="3386" w14:anchorId="721BFD71">
          <v:shape id="_x0000_i1028" type="#_x0000_t75" style="width:3in;height:96.2pt" o:ole="">
            <v:imagedata r:id="rId21" o:title=""/>
          </v:shape>
          <o:OLEObject Type="Embed" ProgID="Visio.Drawing.11" ShapeID="_x0000_i1028" DrawAspect="Content" ObjectID="_1573288573" r:id="rId22"/>
        </w:object>
      </w:r>
    </w:p>
    <w:p w14:paraId="3BDB0BA8" w14:textId="42287242" w:rsidR="00EB2B9B" w:rsidRPr="00EE006E" w:rsidRDefault="007176B8" w:rsidP="007176B8">
      <w:pPr>
        <w:pStyle w:val="Caption"/>
      </w:pPr>
      <w:bookmarkStart w:id="9" w:name="_Ref499545578"/>
      <w:r>
        <w:t xml:space="preserve">FIGURE </w:t>
      </w:r>
      <w:r>
        <w:fldChar w:fldCharType="begin"/>
      </w:r>
      <w:r>
        <w:instrText xml:space="preserve"> SEQ FIGURE \* ARABIC </w:instrText>
      </w:r>
      <w:r>
        <w:fldChar w:fldCharType="separate"/>
      </w:r>
      <w:r>
        <w:rPr>
          <w:noProof/>
        </w:rPr>
        <w:t>6</w:t>
      </w:r>
      <w:r>
        <w:fldChar w:fldCharType="end"/>
      </w:r>
      <w:bookmarkEnd w:id="9"/>
    </w:p>
    <w:p w14:paraId="6A1C499B" w14:textId="370A384B" w:rsidR="00367459" w:rsidRPr="00EE006E" w:rsidRDefault="00367459" w:rsidP="00367459">
      <w:pPr>
        <w:pStyle w:val="Heading2"/>
      </w:pPr>
      <w:r w:rsidRPr="00EE006E">
        <w:t>Rate matching around SSB in relation to SMTC</w:t>
      </w:r>
    </w:p>
    <w:p w14:paraId="746D53D3" w14:textId="33665311" w:rsidR="00367459" w:rsidRPr="00EE006E" w:rsidRDefault="00367459" w:rsidP="00530B88">
      <w:r w:rsidRPr="00EE006E">
        <w:t xml:space="preserve">Based on the RAN1 agreements, SSB set composition and SSB periodicity are configured separately for rate matching purpose and mobility measurement purpose. The two composition information can be different, and a clarification is necessary on the UE behaviour on how to measure SSBs and receive PDSCH data in the SMTC durations and outside SMTC durations. </w:t>
      </w:r>
    </w:p>
    <w:p w14:paraId="778D8C6A" w14:textId="1C2B9743" w:rsidR="00367459" w:rsidRPr="00EE006E" w:rsidRDefault="00367459" w:rsidP="00530B88">
      <w:r w:rsidRPr="00EE006E">
        <w:t xml:space="preserve">Outside the SMTC durations, it is natural that the UE performs rate matching according to the SSB composition indicating for the rate matching purpose. </w:t>
      </w:r>
    </w:p>
    <w:p w14:paraId="09C24A26" w14:textId="3D618DEA" w:rsidR="00530B88" w:rsidRPr="00EE006E" w:rsidRDefault="00367459" w:rsidP="00530B88">
      <w:r w:rsidRPr="00EE006E">
        <w:t xml:space="preserve">In the SMTC, however, the UE should be able to measure SSBs according to the SSB set composition indicated for the mobility measurement purpose, even if the corresponding SSB time/frequency resources are indicated to be available for PDSCH data transmission by the SSB composition information for the rate matching purpose. Hence, it is proposed for UE to perform rate matching around SSBs according to the SSB composition information provided for the mobility measurement purpose, if the slot is inside the SMTC duration. </w:t>
      </w:r>
    </w:p>
    <w:p w14:paraId="25DD7F18" w14:textId="2B4A0223" w:rsidR="00367459" w:rsidRPr="00EE006E" w:rsidRDefault="00367459" w:rsidP="00530B88">
      <w:pPr>
        <w:rPr>
          <w:b/>
        </w:rPr>
      </w:pPr>
      <w:r w:rsidRPr="00EE006E">
        <w:rPr>
          <w:b/>
          <w:u w:val="single"/>
        </w:rPr>
        <w:t>Proposal</w:t>
      </w:r>
      <w:r w:rsidR="00EE006E" w:rsidRPr="00EE006E">
        <w:rPr>
          <w:b/>
          <w:u w:val="single"/>
        </w:rPr>
        <w:t xml:space="preserve"> 4</w:t>
      </w:r>
      <w:r w:rsidRPr="00EE006E">
        <w:rPr>
          <w:b/>
        </w:rPr>
        <w:t>: UE shall rate match around SSBs according to SSB composition information</w:t>
      </w:r>
      <w:r w:rsidR="00F110A6" w:rsidRPr="00EE006E">
        <w:rPr>
          <w:b/>
        </w:rPr>
        <w:t xml:space="preserve"> provided for</w:t>
      </w:r>
      <w:r w:rsidRPr="00EE006E">
        <w:rPr>
          <w:b/>
        </w:rPr>
        <w:t>:</w:t>
      </w:r>
    </w:p>
    <w:p w14:paraId="2CB6DB69" w14:textId="0FF6C4E5" w:rsidR="00367459" w:rsidRPr="00EE006E" w:rsidRDefault="00F110A6" w:rsidP="00367459">
      <w:pPr>
        <w:pStyle w:val="ListParagraph"/>
        <w:numPr>
          <w:ilvl w:val="0"/>
          <w:numId w:val="44"/>
        </w:numPr>
        <w:ind w:leftChars="0"/>
        <w:rPr>
          <w:b/>
        </w:rPr>
      </w:pPr>
      <w:r w:rsidRPr="00EE006E">
        <w:rPr>
          <w:b/>
        </w:rPr>
        <w:t>The r</w:t>
      </w:r>
      <w:r w:rsidR="00367459" w:rsidRPr="00EE006E">
        <w:rPr>
          <w:b/>
        </w:rPr>
        <w:t>ate matching purpose if the slot mapping the SSB is outside the SMTC duration.</w:t>
      </w:r>
    </w:p>
    <w:p w14:paraId="25E3B3A7" w14:textId="08EC4F4D" w:rsidR="00367459" w:rsidRPr="00EE006E" w:rsidRDefault="00F110A6" w:rsidP="00367459">
      <w:pPr>
        <w:pStyle w:val="ListParagraph"/>
        <w:numPr>
          <w:ilvl w:val="0"/>
          <w:numId w:val="44"/>
        </w:numPr>
        <w:ind w:leftChars="0"/>
        <w:rPr>
          <w:b/>
        </w:rPr>
      </w:pPr>
      <w:r w:rsidRPr="00EE006E">
        <w:rPr>
          <w:b/>
        </w:rPr>
        <w:t xml:space="preserve">The mobility measurement purpose if the slot mapping the SSB is inside the SMTC duration. </w:t>
      </w:r>
    </w:p>
    <w:p w14:paraId="200E70F0" w14:textId="21594932" w:rsidR="008218D8" w:rsidRPr="00EE006E" w:rsidRDefault="008218D8" w:rsidP="008218D8">
      <w:pPr>
        <w:pStyle w:val="Heading2"/>
      </w:pPr>
      <w:r w:rsidRPr="00EE006E">
        <w:t>Non-cell-defining SSB indication for rate matching purpose</w:t>
      </w:r>
    </w:p>
    <w:p w14:paraId="1E1E6BB7" w14:textId="51C0559C" w:rsidR="00367459" w:rsidRPr="00EE006E" w:rsidRDefault="008218D8" w:rsidP="00530B88">
      <w:r w:rsidRPr="00EE006E">
        <w:t xml:space="preserve">Given that the SSB composition information can be best indicated by the bitmap signaling, it is proposed to use the bitmap signalling to indicate non-cell-defining SSBs for the rate matching purpose. The rate-matching resource (RMR) based signalling can be highly inefficient for these always-on signals. For the L=64 SSBs 64 individual RMR bitmaps comprising both time and frequency domain is likely to be necessary to be configured, if RMR framework is adopted. The bitmap RRC parameter for SSB set composition is already available, and it would be a simple matter to use it for indicating the non-cell-defining SSBs. </w:t>
      </w:r>
    </w:p>
    <w:p w14:paraId="15ED7579" w14:textId="5140CBD0" w:rsidR="008218D8" w:rsidRDefault="008218D8" w:rsidP="00530B88">
      <w:pPr>
        <w:rPr>
          <w:b/>
        </w:rPr>
      </w:pPr>
      <w:r w:rsidRPr="00EE006E">
        <w:rPr>
          <w:b/>
          <w:u w:val="single"/>
        </w:rPr>
        <w:t>Proposal</w:t>
      </w:r>
      <w:r w:rsidR="00EE006E" w:rsidRPr="00EE006E">
        <w:rPr>
          <w:b/>
          <w:u w:val="single"/>
        </w:rPr>
        <w:t xml:space="preserve"> 5</w:t>
      </w:r>
      <w:r w:rsidRPr="00EE006E">
        <w:rPr>
          <w:b/>
          <w:u w:val="single"/>
        </w:rPr>
        <w:t>:</w:t>
      </w:r>
      <w:r w:rsidRPr="00EE006E">
        <w:rPr>
          <w:b/>
        </w:rPr>
        <w:t xml:space="preserve"> Use the L-bit full bitmap signalling for indicating non-cell defining SSBs for rate matching purpose. </w:t>
      </w:r>
    </w:p>
    <w:p w14:paraId="51842EE7" w14:textId="1A1FC556" w:rsidR="002649E1" w:rsidRPr="00EE006E" w:rsidRDefault="00031EF0" w:rsidP="002649E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Conclusion</w:t>
      </w:r>
    </w:p>
    <w:p w14:paraId="3E2B376C" w14:textId="2DFC84A4" w:rsidR="00EE006E" w:rsidRPr="00031EF0" w:rsidRDefault="00031EF0" w:rsidP="00530B88">
      <w:r w:rsidRPr="00031EF0">
        <w:t xml:space="preserve">The </w:t>
      </w:r>
      <w:r>
        <w:t>proposals made in this contribution are summarized below:</w:t>
      </w:r>
    </w:p>
    <w:p w14:paraId="22333DF7" w14:textId="77777777" w:rsidR="00031EF0" w:rsidRPr="00031EF0" w:rsidRDefault="00031EF0" w:rsidP="00031EF0">
      <w:pPr>
        <w:spacing w:after="0"/>
        <w:jc w:val="both"/>
        <w:rPr>
          <w:b/>
        </w:rPr>
      </w:pPr>
      <w:r w:rsidRPr="00EE006E">
        <w:rPr>
          <w:b/>
          <w:u w:val="single"/>
        </w:rPr>
        <w:t xml:space="preserve">Proposal 1: </w:t>
      </w:r>
      <w:r w:rsidRPr="00031EF0">
        <w:rPr>
          <w:b/>
        </w:rPr>
        <w:t xml:space="preserve">Confirm the working assumptions from last meeting on the SS/PBCH block composition design: </w:t>
      </w:r>
    </w:p>
    <w:p w14:paraId="22DCFB1C" w14:textId="77777777" w:rsidR="00031EF0" w:rsidRPr="00031EF0" w:rsidRDefault="00031EF0" w:rsidP="00031EF0">
      <w:pPr>
        <w:pStyle w:val="ListParagraph"/>
        <w:numPr>
          <w:ilvl w:val="0"/>
          <w:numId w:val="42"/>
        </w:numPr>
        <w:spacing w:after="0"/>
        <w:ind w:leftChars="0" w:left="630" w:hanging="180"/>
        <w:jc w:val="both"/>
        <w:rPr>
          <w:b/>
        </w:rPr>
      </w:pPr>
      <w:r w:rsidRPr="00031EF0">
        <w:rPr>
          <w:b/>
        </w:rPr>
        <w:t>X = 20;</w:t>
      </w:r>
    </w:p>
    <w:p w14:paraId="129A1480" w14:textId="77777777" w:rsidR="00031EF0" w:rsidRPr="00031EF0" w:rsidRDefault="00031EF0" w:rsidP="00031EF0">
      <w:pPr>
        <w:pStyle w:val="ListParagraph"/>
        <w:numPr>
          <w:ilvl w:val="0"/>
          <w:numId w:val="42"/>
        </w:numPr>
        <w:spacing w:after="0"/>
        <w:ind w:leftChars="0" w:left="630" w:hanging="180"/>
        <w:jc w:val="both"/>
        <w:rPr>
          <w:b/>
        </w:rPr>
      </w:pPr>
      <w:r w:rsidRPr="00031EF0">
        <w:rPr>
          <w:b/>
        </w:rPr>
        <w:t>Y = 2*(24-X);</w:t>
      </w:r>
    </w:p>
    <w:p w14:paraId="3C11363C" w14:textId="77777777" w:rsidR="00031EF0" w:rsidRPr="00031EF0" w:rsidRDefault="00031EF0" w:rsidP="00031EF0">
      <w:pPr>
        <w:pStyle w:val="ListParagraph"/>
        <w:numPr>
          <w:ilvl w:val="0"/>
          <w:numId w:val="42"/>
        </w:numPr>
        <w:spacing w:after="0"/>
        <w:ind w:leftChars="0" w:left="630" w:hanging="180"/>
        <w:jc w:val="both"/>
        <w:rPr>
          <w:b/>
        </w:rPr>
      </w:pPr>
      <w:r w:rsidRPr="00031EF0">
        <w:rPr>
          <w:b/>
        </w:rPr>
        <w:t>The same DMRS density in the PBCH PRB in the SSS symbols;</w:t>
      </w:r>
    </w:p>
    <w:p w14:paraId="7B5A7D6D" w14:textId="77777777" w:rsidR="00031EF0" w:rsidRPr="00031EF0" w:rsidRDefault="00031EF0" w:rsidP="00031EF0">
      <w:pPr>
        <w:pStyle w:val="ListParagraph"/>
        <w:numPr>
          <w:ilvl w:val="0"/>
          <w:numId w:val="42"/>
        </w:numPr>
        <w:spacing w:after="0"/>
        <w:ind w:leftChars="0" w:left="630" w:hanging="180"/>
        <w:jc w:val="both"/>
        <w:rPr>
          <w:b/>
        </w:rPr>
      </w:pPr>
      <w:r w:rsidRPr="00031EF0">
        <w:rPr>
          <w:b/>
        </w:rPr>
        <w:t>The EPRE offset between SSS RE and PBCH DMRS RE is 0 dB.</w:t>
      </w:r>
    </w:p>
    <w:p w14:paraId="46835293" w14:textId="77777777" w:rsidR="00C40392" w:rsidRDefault="00C40392" w:rsidP="00AE41AF">
      <w:pPr>
        <w:jc w:val="both"/>
        <w:rPr>
          <w:b/>
          <w:u w:val="single"/>
        </w:rPr>
      </w:pPr>
    </w:p>
    <w:p w14:paraId="5735B909" w14:textId="4302A9C9" w:rsidR="00AE41AF" w:rsidRPr="003872BB" w:rsidRDefault="00AE41AF" w:rsidP="003872BB">
      <w:pPr>
        <w:rPr>
          <w:b/>
        </w:rPr>
      </w:pPr>
      <w:r w:rsidRPr="00EE006E">
        <w:rPr>
          <w:b/>
          <w:u w:val="single"/>
        </w:rPr>
        <w:t>Proposal 2:</w:t>
      </w:r>
      <w:r w:rsidRPr="00C40392">
        <w:rPr>
          <w:b/>
        </w:rPr>
        <w:t xml:space="preserve"> gNB compensates the phase rotation for SSB and RMSI transmission and UE does not require any signaling for the center frequency during initial access procedure.</w:t>
      </w:r>
    </w:p>
    <w:p w14:paraId="42C71D64" w14:textId="77777777" w:rsidR="00031EF0" w:rsidRPr="00EE006E" w:rsidRDefault="00031EF0" w:rsidP="003872BB">
      <w:pPr>
        <w:jc w:val="both"/>
        <w:rPr>
          <w:b/>
        </w:rPr>
      </w:pPr>
      <w:r w:rsidRPr="00031EF0">
        <w:rPr>
          <w:b/>
          <w:u w:val="single"/>
        </w:rPr>
        <w:t>Proposal 3:</w:t>
      </w:r>
      <w:r w:rsidRPr="00EE006E">
        <w:rPr>
          <w:b/>
        </w:rPr>
        <w:t xml:space="preserve"> </w:t>
      </w:r>
      <w:r w:rsidRPr="00EE006E">
        <w:rPr>
          <w:rFonts w:hint="eastAsia"/>
          <w:b/>
        </w:rPr>
        <w:t>H</w:t>
      </w:r>
      <w:r w:rsidRPr="00EE006E">
        <w:rPr>
          <w:b/>
        </w:rPr>
        <w:t xml:space="preserve">ow to rate match </w:t>
      </w:r>
      <w:r w:rsidRPr="00EE006E">
        <w:rPr>
          <w:rFonts w:hint="eastAsia"/>
          <w:b/>
        </w:rPr>
        <w:t>a</w:t>
      </w:r>
      <w:r w:rsidRPr="00EE006E">
        <w:rPr>
          <w:b/>
        </w:rPr>
        <w:t xml:space="preserve">round </w:t>
      </w:r>
      <w:r w:rsidRPr="00EE006E">
        <w:rPr>
          <w:rFonts w:hint="eastAsia"/>
          <w:b/>
        </w:rPr>
        <w:t xml:space="preserve">actual transmitted </w:t>
      </w:r>
      <w:r w:rsidRPr="00EE006E">
        <w:rPr>
          <w:b/>
        </w:rPr>
        <w:t>S</w:t>
      </w:r>
      <w:r w:rsidRPr="00EE006E">
        <w:rPr>
          <w:rFonts w:hint="eastAsia"/>
          <w:b/>
        </w:rPr>
        <w:t>S block</w:t>
      </w:r>
      <w:r w:rsidRPr="00EE006E">
        <w:rPr>
          <w:b/>
        </w:rPr>
        <w:t xml:space="preserve"> </w:t>
      </w:r>
      <w:r w:rsidRPr="00EE006E">
        <w:rPr>
          <w:rFonts w:hint="eastAsia"/>
          <w:b/>
        </w:rPr>
        <w:t xml:space="preserve">can be RRC configured to the UE </w:t>
      </w:r>
      <w:r w:rsidRPr="00EE006E">
        <w:rPr>
          <w:b/>
        </w:rPr>
        <w:t>between:</w:t>
      </w:r>
    </w:p>
    <w:p w14:paraId="6BBF5B6C" w14:textId="77777777" w:rsidR="00031EF0" w:rsidRPr="00EE006E" w:rsidRDefault="00031EF0" w:rsidP="00031EF0">
      <w:pPr>
        <w:pStyle w:val="Normalwithindent"/>
        <w:numPr>
          <w:ilvl w:val="0"/>
          <w:numId w:val="44"/>
        </w:numPr>
        <w:spacing w:before="0" w:after="0"/>
        <w:rPr>
          <w:b/>
        </w:rPr>
      </w:pPr>
      <w:r w:rsidRPr="00EE006E">
        <w:rPr>
          <w:rFonts w:hint="eastAsia"/>
          <w:b/>
        </w:rPr>
        <w:t>Opt</w:t>
      </w:r>
      <w:r w:rsidRPr="00EE006E">
        <w:rPr>
          <w:b/>
        </w:rPr>
        <w:t xml:space="preserve"> 1: Rate match at the data PRB boundaries around the PBCH BW in SS block OFDM symbols (Alt 3 in Figure </w:t>
      </w:r>
      <w:r>
        <w:rPr>
          <w:b/>
        </w:rPr>
        <w:t>3</w:t>
      </w:r>
      <w:r w:rsidRPr="00EE006E">
        <w:rPr>
          <w:b/>
        </w:rPr>
        <w:t>)</w:t>
      </w:r>
    </w:p>
    <w:p w14:paraId="272323C4" w14:textId="77777777" w:rsidR="00031EF0" w:rsidRPr="00EE006E" w:rsidRDefault="00031EF0" w:rsidP="00031EF0">
      <w:pPr>
        <w:pStyle w:val="Normalwithindent"/>
        <w:numPr>
          <w:ilvl w:val="0"/>
          <w:numId w:val="44"/>
        </w:numPr>
        <w:spacing w:before="0" w:after="0"/>
        <w:rPr>
          <w:b/>
        </w:rPr>
      </w:pPr>
      <w:r w:rsidRPr="00EE006E">
        <w:rPr>
          <w:rFonts w:hint="eastAsia"/>
          <w:b/>
        </w:rPr>
        <w:t>Opt</w:t>
      </w:r>
      <w:r w:rsidRPr="00EE006E">
        <w:rPr>
          <w:b/>
        </w:rPr>
        <w:t xml:space="preserve"> 2: Rate match around the SS block OFDM symbols (Alt 4 in Figure </w:t>
      </w:r>
      <w:r>
        <w:rPr>
          <w:b/>
        </w:rPr>
        <w:t>3</w:t>
      </w:r>
      <w:r w:rsidRPr="00EE006E">
        <w:rPr>
          <w:b/>
        </w:rPr>
        <w:t>)</w:t>
      </w:r>
    </w:p>
    <w:p w14:paraId="13DA28FB" w14:textId="77777777" w:rsidR="00031EF0" w:rsidRPr="00EE006E" w:rsidRDefault="00031EF0" w:rsidP="00031EF0">
      <w:pPr>
        <w:rPr>
          <w:b/>
        </w:rPr>
      </w:pPr>
      <w:r w:rsidRPr="00EE006E">
        <w:rPr>
          <w:b/>
          <w:u w:val="single"/>
        </w:rPr>
        <w:t>Proposal 4</w:t>
      </w:r>
      <w:r w:rsidRPr="00EE006E">
        <w:rPr>
          <w:b/>
        </w:rPr>
        <w:t>: UE shall rate match around SSBs according to SSB composition information provided for:</w:t>
      </w:r>
    </w:p>
    <w:p w14:paraId="3362DADF" w14:textId="77777777" w:rsidR="00031EF0" w:rsidRPr="00EE006E" w:rsidRDefault="00031EF0" w:rsidP="00031EF0">
      <w:pPr>
        <w:pStyle w:val="ListParagraph"/>
        <w:numPr>
          <w:ilvl w:val="0"/>
          <w:numId w:val="44"/>
        </w:numPr>
        <w:ind w:leftChars="0"/>
        <w:rPr>
          <w:b/>
        </w:rPr>
      </w:pPr>
      <w:r w:rsidRPr="00EE006E">
        <w:rPr>
          <w:b/>
        </w:rPr>
        <w:t>The rate matching purpose if the slot mapping the SSB is outside the SMTC duration.</w:t>
      </w:r>
    </w:p>
    <w:p w14:paraId="72736940" w14:textId="77777777" w:rsidR="00031EF0" w:rsidRPr="00EE006E" w:rsidRDefault="00031EF0" w:rsidP="00031EF0">
      <w:pPr>
        <w:pStyle w:val="ListParagraph"/>
        <w:numPr>
          <w:ilvl w:val="0"/>
          <w:numId w:val="44"/>
        </w:numPr>
        <w:ind w:leftChars="0"/>
        <w:rPr>
          <w:b/>
        </w:rPr>
      </w:pPr>
      <w:r w:rsidRPr="00EE006E">
        <w:rPr>
          <w:b/>
        </w:rPr>
        <w:t xml:space="preserve">The mobility measurement purpose if the slot mapping the SSB is inside the SMTC duration. </w:t>
      </w:r>
    </w:p>
    <w:p w14:paraId="30F5BCFF" w14:textId="77777777" w:rsidR="00031EF0" w:rsidRDefault="00031EF0" w:rsidP="00031EF0">
      <w:pPr>
        <w:rPr>
          <w:b/>
        </w:rPr>
      </w:pPr>
      <w:r w:rsidRPr="00031EF0">
        <w:rPr>
          <w:b/>
          <w:u w:val="single"/>
        </w:rPr>
        <w:t>Proposal 5:</w:t>
      </w:r>
      <w:r w:rsidRPr="00031EF0">
        <w:rPr>
          <w:b/>
        </w:rPr>
        <w:t xml:space="preserve"> Use the L-bit full bitmap signalling for indicating non-cell defining SSBs for rate matching purpose. </w:t>
      </w:r>
    </w:p>
    <w:p w14:paraId="61292D38" w14:textId="77777777" w:rsidR="00031EF0" w:rsidRPr="00031EF0" w:rsidRDefault="00031EF0" w:rsidP="00031EF0">
      <w:pPr>
        <w:rPr>
          <w:b/>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77777777" w:rsidR="003C3B35" w:rsidRPr="00EE006E" w:rsidRDefault="003C3B35" w:rsidP="003C3B35">
      <w:pPr>
        <w:spacing w:after="0"/>
        <w:jc w:val="both"/>
        <w:rPr>
          <w:rFonts w:eastAsia="MS Mincho"/>
          <w:lang w:eastAsia="ja-JP"/>
        </w:rPr>
      </w:pPr>
      <w:r w:rsidRPr="00EE006E">
        <w:rPr>
          <w:rFonts w:eastAsia="MS Mincho"/>
          <w:lang w:eastAsia="ja-JP"/>
        </w:rPr>
        <w:t>[1] RAN1 Chairman’s Note, 3GPP TSG RAN WG1 #90bis, October 2017.</w:t>
      </w:r>
    </w:p>
    <w:p w14:paraId="63A6CF96" w14:textId="37F5E348" w:rsidR="00A053C7" w:rsidRPr="00EE006E" w:rsidRDefault="00A053C7" w:rsidP="003C3B35">
      <w:pPr>
        <w:spacing w:after="0"/>
        <w:jc w:val="both"/>
        <w:rPr>
          <w:rFonts w:eastAsia="MS Mincho"/>
          <w:lang w:eastAsia="ja-JP"/>
        </w:rPr>
      </w:pPr>
      <w:r w:rsidRPr="00EE006E">
        <w:rPr>
          <w:rFonts w:eastAsia="MS Mincho"/>
          <w:lang w:eastAsia="ja-JP"/>
        </w:rPr>
        <w:t xml:space="preserve">[2] </w:t>
      </w:r>
      <w:r w:rsidR="0006699D" w:rsidRPr="00EE006E">
        <w:rPr>
          <w:rFonts w:eastAsia="MS Mincho"/>
          <w:lang w:eastAsia="ja-JP"/>
        </w:rPr>
        <w:t xml:space="preserve">R1-1718989, </w:t>
      </w:r>
      <w:r w:rsidR="0006699D" w:rsidRPr="00EE006E">
        <w:t>Summary on Number of SS Entries, Samsung</w:t>
      </w:r>
    </w:p>
    <w:p w14:paraId="2E050CED" w14:textId="75890A37" w:rsidR="00510D77" w:rsidRPr="00EE006E" w:rsidRDefault="00510D77" w:rsidP="00510D77">
      <w:pPr>
        <w:jc w:val="both"/>
        <w:rPr>
          <w:rFonts w:eastAsia="MS Mincho"/>
          <w:lang w:eastAsia="ja-JP"/>
        </w:rPr>
      </w:pPr>
      <w:r w:rsidRPr="00EE006E">
        <w:rPr>
          <w:rFonts w:eastAsia="MS Mincho"/>
          <w:lang w:eastAsia="ja-JP"/>
        </w:rPr>
        <w:t>[3] R1-1610959, WF on Updated Link Level Evaluation Assumptions for Initial Access in NR, Qualcomm</w:t>
      </w:r>
    </w:p>
    <w:p w14:paraId="4730FDB6" w14:textId="77777777" w:rsidR="00530B88" w:rsidRPr="00EE006E" w:rsidRDefault="00530B88">
      <w:pPr>
        <w:rPr>
          <w:b/>
        </w:rPr>
      </w:pPr>
    </w:p>
    <w:p w14:paraId="39725FCD" w14:textId="21DD4152" w:rsidR="00510D77" w:rsidRPr="00EE006E" w:rsidRDefault="00510D77"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Appendix</w:t>
      </w:r>
      <w:r w:rsidR="00EE006E">
        <w:rPr>
          <w:szCs w:val="20"/>
          <w:lang w:val="en-US"/>
        </w:rPr>
        <w:tab/>
      </w:r>
    </w:p>
    <w:p w14:paraId="73D2189B" w14:textId="77777777" w:rsidR="00510D77" w:rsidRPr="00EE006E" w:rsidRDefault="00510D77" w:rsidP="00510D77">
      <w:pPr>
        <w:pStyle w:val="Caption"/>
        <w:keepNext/>
      </w:pPr>
      <w:bookmarkStart w:id="10" w:name="_Ref490048934"/>
      <w:r w:rsidRPr="00EE006E">
        <w:t xml:space="preserve">TABLE </w:t>
      </w:r>
      <w:r w:rsidRPr="00EE006E">
        <w:fldChar w:fldCharType="begin"/>
      </w:r>
      <w:r w:rsidRPr="00EE006E">
        <w:instrText xml:space="preserve"> SEQ TABLE \* ARABIC </w:instrText>
      </w:r>
      <w:r w:rsidRPr="00EE006E">
        <w:fldChar w:fldCharType="separate"/>
      </w:r>
      <w:r w:rsidRPr="00EE006E">
        <w:rPr>
          <w:noProof/>
        </w:rPr>
        <w:t>1</w:t>
      </w:r>
      <w:r w:rsidRPr="00EE006E">
        <w:fldChar w:fldCharType="end"/>
      </w:r>
      <w:bookmarkEnd w:id="10"/>
      <w:r w:rsidRPr="00EE006E">
        <w:t xml:space="preserve"> </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309"/>
      </w:tblGrid>
      <w:tr w:rsidR="00510D77" w:rsidRPr="00EE006E" w14:paraId="1C01AED4" w14:textId="77777777" w:rsidTr="00EE1B80">
        <w:trPr>
          <w:jc w:val="center"/>
        </w:trPr>
        <w:tc>
          <w:tcPr>
            <w:tcW w:w="3028" w:type="dxa"/>
            <w:vAlign w:val="center"/>
          </w:tcPr>
          <w:p w14:paraId="5E06EA0B" w14:textId="77777777" w:rsidR="00510D77" w:rsidRPr="00EE006E" w:rsidRDefault="00510D77" w:rsidP="00EE1B80">
            <w:pPr>
              <w:pStyle w:val="TAH0"/>
              <w:rPr>
                <w:rFonts w:ascii="Times New Roman" w:eastAsiaTheme="minorEastAsia" w:hAnsi="Times New Roman"/>
                <w:noProof/>
                <w:sz w:val="20"/>
              </w:rPr>
            </w:pPr>
            <w:r w:rsidRPr="00EE006E">
              <w:rPr>
                <w:rFonts w:ascii="Times New Roman" w:eastAsiaTheme="minorEastAsia" w:hAnsi="Times New Roman"/>
                <w:noProof/>
                <w:sz w:val="20"/>
              </w:rPr>
              <w:t>Parameters</w:t>
            </w:r>
          </w:p>
        </w:tc>
        <w:tc>
          <w:tcPr>
            <w:tcW w:w="3309" w:type="dxa"/>
            <w:vAlign w:val="center"/>
          </w:tcPr>
          <w:p w14:paraId="4A4D8C06" w14:textId="77777777" w:rsidR="00510D77" w:rsidRPr="00EE006E" w:rsidRDefault="00510D77" w:rsidP="00EE1B80">
            <w:pPr>
              <w:pStyle w:val="TAH0"/>
              <w:rPr>
                <w:rFonts w:ascii="Times New Roman" w:eastAsiaTheme="minorEastAsia" w:hAnsi="Times New Roman"/>
                <w:noProof/>
                <w:sz w:val="20"/>
              </w:rPr>
            </w:pPr>
            <w:r w:rsidRPr="00EE006E">
              <w:rPr>
                <w:rFonts w:ascii="Times New Roman" w:eastAsiaTheme="minorEastAsia" w:hAnsi="Times New Roman"/>
                <w:noProof/>
                <w:sz w:val="20"/>
              </w:rPr>
              <w:t>Value</w:t>
            </w:r>
          </w:p>
        </w:tc>
      </w:tr>
      <w:tr w:rsidR="00510D77" w:rsidRPr="00EE006E" w14:paraId="6EB0BB80" w14:textId="77777777" w:rsidTr="00EE1B80">
        <w:trPr>
          <w:jc w:val="center"/>
        </w:trPr>
        <w:tc>
          <w:tcPr>
            <w:tcW w:w="3028" w:type="dxa"/>
            <w:vAlign w:val="center"/>
          </w:tcPr>
          <w:p w14:paraId="1E3DDB66"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Subcarrier spacing</w:t>
            </w:r>
          </w:p>
        </w:tc>
        <w:tc>
          <w:tcPr>
            <w:tcW w:w="3309" w:type="dxa"/>
            <w:vAlign w:val="center"/>
          </w:tcPr>
          <w:p w14:paraId="4616AB26"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30 kHz</w:t>
            </w:r>
          </w:p>
        </w:tc>
      </w:tr>
      <w:tr w:rsidR="00510D77" w:rsidRPr="00EE006E" w14:paraId="4D05D651" w14:textId="77777777" w:rsidTr="00EE1B80">
        <w:trPr>
          <w:jc w:val="center"/>
        </w:trPr>
        <w:tc>
          <w:tcPr>
            <w:tcW w:w="3028" w:type="dxa"/>
            <w:vAlign w:val="center"/>
          </w:tcPr>
          <w:p w14:paraId="0D161085"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Carrier frequency</w:t>
            </w:r>
          </w:p>
        </w:tc>
        <w:tc>
          <w:tcPr>
            <w:tcW w:w="3309" w:type="dxa"/>
            <w:vAlign w:val="center"/>
          </w:tcPr>
          <w:p w14:paraId="22846AE7"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4 GHz</w:t>
            </w:r>
          </w:p>
        </w:tc>
      </w:tr>
      <w:tr w:rsidR="00510D77" w:rsidRPr="00EE006E" w14:paraId="5D507C7B" w14:textId="77777777" w:rsidTr="00EE1B80">
        <w:trPr>
          <w:jc w:val="center"/>
        </w:trPr>
        <w:tc>
          <w:tcPr>
            <w:tcW w:w="3028" w:type="dxa"/>
            <w:vAlign w:val="center"/>
          </w:tcPr>
          <w:p w14:paraId="73FBB651"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Antenna configuration</w:t>
            </w:r>
          </w:p>
        </w:tc>
        <w:tc>
          <w:tcPr>
            <w:tcW w:w="3309" w:type="dxa"/>
            <w:vAlign w:val="center"/>
          </w:tcPr>
          <w:p w14:paraId="1A8E39EA"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2x2</w:t>
            </w:r>
          </w:p>
        </w:tc>
      </w:tr>
      <w:tr w:rsidR="00510D77" w:rsidRPr="00EE006E" w14:paraId="7CC90334" w14:textId="77777777" w:rsidTr="00EE1B80">
        <w:trPr>
          <w:jc w:val="center"/>
        </w:trPr>
        <w:tc>
          <w:tcPr>
            <w:tcW w:w="3028" w:type="dxa"/>
            <w:vAlign w:val="center"/>
          </w:tcPr>
          <w:p w14:paraId="73C4568B"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SS burst set periodicity</w:t>
            </w:r>
          </w:p>
        </w:tc>
        <w:tc>
          <w:tcPr>
            <w:tcW w:w="3309" w:type="dxa"/>
            <w:vAlign w:val="center"/>
          </w:tcPr>
          <w:p w14:paraId="4E3906DC"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20 ms</w:t>
            </w:r>
          </w:p>
        </w:tc>
      </w:tr>
      <w:tr w:rsidR="00510D77" w:rsidRPr="00EE006E" w14:paraId="5759FBBC" w14:textId="77777777" w:rsidTr="00EE1B80">
        <w:trPr>
          <w:jc w:val="center"/>
        </w:trPr>
        <w:tc>
          <w:tcPr>
            <w:tcW w:w="3028" w:type="dxa"/>
            <w:vAlign w:val="center"/>
          </w:tcPr>
          <w:p w14:paraId="468CE790"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Velocity</w:t>
            </w:r>
          </w:p>
        </w:tc>
        <w:tc>
          <w:tcPr>
            <w:tcW w:w="3309" w:type="dxa"/>
            <w:vAlign w:val="center"/>
          </w:tcPr>
          <w:p w14:paraId="269C5AF4"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3 km/h</w:t>
            </w:r>
          </w:p>
        </w:tc>
      </w:tr>
      <w:tr w:rsidR="00510D77" w:rsidRPr="00EE006E" w14:paraId="0D4BF966" w14:textId="77777777" w:rsidTr="00EE1B80">
        <w:trPr>
          <w:jc w:val="center"/>
        </w:trPr>
        <w:tc>
          <w:tcPr>
            <w:tcW w:w="3028" w:type="dxa"/>
            <w:vAlign w:val="center"/>
          </w:tcPr>
          <w:p w14:paraId="321B44DF"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Channel model</w:t>
            </w:r>
          </w:p>
        </w:tc>
        <w:tc>
          <w:tcPr>
            <w:tcW w:w="3309" w:type="dxa"/>
            <w:vAlign w:val="center"/>
          </w:tcPr>
          <w:p w14:paraId="5B2DF63A"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 xml:space="preserve">CDL-C </w:t>
            </w:r>
          </w:p>
        </w:tc>
      </w:tr>
      <w:tr w:rsidR="00510D77" w:rsidRPr="00EE006E" w14:paraId="203EBCC3" w14:textId="77777777" w:rsidTr="00EE1B80">
        <w:trPr>
          <w:jc w:val="center"/>
        </w:trPr>
        <w:tc>
          <w:tcPr>
            <w:tcW w:w="3028" w:type="dxa"/>
            <w:vAlign w:val="center"/>
          </w:tcPr>
          <w:p w14:paraId="36AB67DE"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Delay spread scaling</w:t>
            </w:r>
          </w:p>
        </w:tc>
        <w:tc>
          <w:tcPr>
            <w:tcW w:w="3309" w:type="dxa"/>
            <w:vAlign w:val="center"/>
          </w:tcPr>
          <w:p w14:paraId="68BC70C2"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100 ns</w:t>
            </w:r>
          </w:p>
        </w:tc>
      </w:tr>
      <w:tr w:rsidR="00510D77" w:rsidRPr="00EE006E" w14:paraId="185C38FC" w14:textId="77777777" w:rsidTr="00EE1B80">
        <w:trPr>
          <w:jc w:val="center"/>
        </w:trPr>
        <w:tc>
          <w:tcPr>
            <w:tcW w:w="3028" w:type="dxa"/>
            <w:vAlign w:val="center"/>
          </w:tcPr>
          <w:p w14:paraId="21DC491A"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Channel estimation</w:t>
            </w:r>
          </w:p>
        </w:tc>
        <w:tc>
          <w:tcPr>
            <w:tcW w:w="3309" w:type="dxa"/>
            <w:vAlign w:val="center"/>
          </w:tcPr>
          <w:p w14:paraId="1AED3022"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2D MMSE</w:t>
            </w:r>
          </w:p>
        </w:tc>
      </w:tr>
      <w:tr w:rsidR="00510D77" w:rsidRPr="00EE006E" w14:paraId="21201F0A" w14:textId="77777777" w:rsidTr="00EE1B80">
        <w:trPr>
          <w:jc w:val="center"/>
        </w:trPr>
        <w:tc>
          <w:tcPr>
            <w:tcW w:w="3028" w:type="dxa"/>
            <w:vAlign w:val="center"/>
          </w:tcPr>
          <w:p w14:paraId="2502CA9B"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CFO</w:t>
            </w:r>
          </w:p>
        </w:tc>
        <w:tc>
          <w:tcPr>
            <w:tcW w:w="3309" w:type="dxa"/>
            <w:vAlign w:val="center"/>
          </w:tcPr>
          <w:p w14:paraId="7723527B"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TRP: +/- 0.05 ppm, UE: +/- 0.1ppm</w:t>
            </w:r>
          </w:p>
        </w:tc>
      </w:tr>
      <w:tr w:rsidR="00510D77" w:rsidRPr="00515B83" w14:paraId="1A0D6DDD" w14:textId="77777777" w:rsidTr="00EE1B80">
        <w:trPr>
          <w:jc w:val="center"/>
        </w:trPr>
        <w:tc>
          <w:tcPr>
            <w:tcW w:w="3028" w:type="dxa"/>
            <w:vAlign w:val="center"/>
          </w:tcPr>
          <w:p w14:paraId="68537AE7"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Interference model</w:t>
            </w:r>
          </w:p>
        </w:tc>
        <w:tc>
          <w:tcPr>
            <w:tcW w:w="3309" w:type="dxa"/>
            <w:vAlign w:val="center"/>
          </w:tcPr>
          <w:p w14:paraId="659ED991" w14:textId="5EB61F52" w:rsidR="00510D77" w:rsidRPr="00CE2049" w:rsidRDefault="00510D77" w:rsidP="00510D77">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As in [3]</w:t>
            </w:r>
          </w:p>
        </w:tc>
      </w:tr>
    </w:tbl>
    <w:p w14:paraId="3F159142" w14:textId="77777777" w:rsidR="00510D77" w:rsidRPr="008E6CE3" w:rsidRDefault="00510D77">
      <w:pPr>
        <w:rPr>
          <w:b/>
        </w:rPr>
      </w:pPr>
    </w:p>
    <w:sectPr w:rsidR="00510D77" w:rsidRPr="008E6CE3"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B58BB" w14:textId="77777777" w:rsidR="00AC1E58" w:rsidRDefault="00AC1E58" w:rsidP="00083046">
      <w:r>
        <w:separator/>
      </w:r>
    </w:p>
  </w:endnote>
  <w:endnote w:type="continuationSeparator" w:id="0">
    <w:p w14:paraId="07CABCFC" w14:textId="77777777" w:rsidR="00AC1E58" w:rsidRDefault="00AC1E5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68216" w14:textId="77777777" w:rsidR="00AC1E58" w:rsidRDefault="00AC1E58" w:rsidP="00083046">
      <w:r>
        <w:separator/>
      </w:r>
    </w:p>
  </w:footnote>
  <w:footnote w:type="continuationSeparator" w:id="0">
    <w:p w14:paraId="6B14B215" w14:textId="77777777" w:rsidR="00AC1E58" w:rsidRDefault="00AC1E58"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B15E3"/>
    <w:multiLevelType w:val="hybridMultilevel"/>
    <w:tmpl w:val="CFFEFFE2"/>
    <w:lvl w:ilvl="0" w:tplc="819E0B6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787ADC"/>
    <w:multiLevelType w:val="multilevel"/>
    <w:tmpl w:val="457E7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51263E9"/>
    <w:multiLevelType w:val="hybridMultilevel"/>
    <w:tmpl w:val="96969772"/>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6C848350">
      <w:start w:val="2"/>
      <w:numFmt w:val="bullet"/>
      <w:lvlText w:val=""/>
      <w:lvlJc w:val="left"/>
      <w:pPr>
        <w:ind w:left="2160" w:hanging="360"/>
      </w:pPr>
      <w:rPr>
        <w:rFonts w:ascii="Symbol" w:eastAsia="Malgun Gothic" w:hAnsi="Symbol"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64434CC"/>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nsid w:val="2857492D"/>
    <w:multiLevelType w:val="hybridMultilevel"/>
    <w:tmpl w:val="13A6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1">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nsid w:val="2BFF0E9A"/>
    <w:multiLevelType w:val="hybridMultilevel"/>
    <w:tmpl w:val="B326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252F7A"/>
    <w:multiLevelType w:val="hybridMultilevel"/>
    <w:tmpl w:val="4E44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6">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7">
    <w:nsid w:val="38FF552B"/>
    <w:multiLevelType w:val="hybridMultilevel"/>
    <w:tmpl w:val="3F6EEFC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8">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ED0E54"/>
    <w:multiLevelType w:val="hybridMultilevel"/>
    <w:tmpl w:val="3162CF8E"/>
    <w:lvl w:ilvl="0" w:tplc="3F04CD3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4AF367A"/>
    <w:multiLevelType w:val="multilevel"/>
    <w:tmpl w:val="342E4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4">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5">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7">
    <w:nsid w:val="51462C01"/>
    <w:multiLevelType w:val="hybridMultilevel"/>
    <w:tmpl w:val="D0947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4C432AC"/>
    <w:multiLevelType w:val="multilevel"/>
    <w:tmpl w:val="5E7E6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2">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A5378F1"/>
    <w:multiLevelType w:val="hybridMultilevel"/>
    <w:tmpl w:val="C064333C"/>
    <w:lvl w:ilvl="0" w:tplc="913E9690">
      <w:start w:val="2"/>
      <w:numFmt w:val="bullet"/>
      <w:lvlText w:val=""/>
      <w:lvlJc w:val="left"/>
      <w:pPr>
        <w:ind w:left="720" w:hanging="360"/>
      </w:pPr>
      <w:rPr>
        <w:rFonts w:ascii="Symbol" w:eastAsia="Malgun Gothic"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A6648A"/>
    <w:multiLevelType w:val="hybridMultilevel"/>
    <w:tmpl w:val="D4FED4EA"/>
    <w:lvl w:ilvl="0" w:tplc="7472D8A6">
      <w:start w:val="3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5E0D51D1"/>
    <w:multiLevelType w:val="hybridMultilevel"/>
    <w:tmpl w:val="2346B59A"/>
    <w:lvl w:ilvl="0" w:tplc="71FC29CC">
      <w:start w:val="1"/>
      <w:numFmt w:val="bullet"/>
      <w:lvlText w:val="•"/>
      <w:lvlJc w:val="left"/>
      <w:pPr>
        <w:tabs>
          <w:tab w:val="num" w:pos="720"/>
        </w:tabs>
        <w:ind w:left="720" w:hanging="360"/>
      </w:pPr>
      <w:rPr>
        <w:rFonts w:ascii="Arial" w:hAnsi="Arial" w:hint="default"/>
      </w:rPr>
    </w:lvl>
    <w:lvl w:ilvl="1" w:tplc="F89AE1B0">
      <w:start w:val="1"/>
      <w:numFmt w:val="bullet"/>
      <w:lvlText w:val="•"/>
      <w:lvlJc w:val="left"/>
      <w:pPr>
        <w:tabs>
          <w:tab w:val="num" w:pos="1440"/>
        </w:tabs>
        <w:ind w:left="1440" w:hanging="360"/>
      </w:pPr>
      <w:rPr>
        <w:rFonts w:ascii="Arial" w:hAnsi="Arial" w:hint="default"/>
      </w:rPr>
    </w:lvl>
    <w:lvl w:ilvl="2" w:tplc="C700EFCC">
      <w:start w:val="182"/>
      <w:numFmt w:val="bullet"/>
      <w:lvlText w:val="•"/>
      <w:lvlJc w:val="left"/>
      <w:pPr>
        <w:tabs>
          <w:tab w:val="num" w:pos="2160"/>
        </w:tabs>
        <w:ind w:left="2160" w:hanging="360"/>
      </w:pPr>
      <w:rPr>
        <w:rFonts w:ascii="Arial" w:hAnsi="Arial" w:hint="default"/>
      </w:rPr>
    </w:lvl>
    <w:lvl w:ilvl="3" w:tplc="087E151E" w:tentative="1">
      <w:start w:val="1"/>
      <w:numFmt w:val="bullet"/>
      <w:lvlText w:val="•"/>
      <w:lvlJc w:val="left"/>
      <w:pPr>
        <w:tabs>
          <w:tab w:val="num" w:pos="2880"/>
        </w:tabs>
        <w:ind w:left="2880" w:hanging="360"/>
      </w:pPr>
      <w:rPr>
        <w:rFonts w:ascii="Arial" w:hAnsi="Arial" w:hint="default"/>
      </w:rPr>
    </w:lvl>
    <w:lvl w:ilvl="4" w:tplc="6C0EBBEE" w:tentative="1">
      <w:start w:val="1"/>
      <w:numFmt w:val="bullet"/>
      <w:lvlText w:val="•"/>
      <w:lvlJc w:val="left"/>
      <w:pPr>
        <w:tabs>
          <w:tab w:val="num" w:pos="3600"/>
        </w:tabs>
        <w:ind w:left="3600" w:hanging="360"/>
      </w:pPr>
      <w:rPr>
        <w:rFonts w:ascii="Arial" w:hAnsi="Arial" w:hint="default"/>
      </w:rPr>
    </w:lvl>
    <w:lvl w:ilvl="5" w:tplc="284AF24A" w:tentative="1">
      <w:start w:val="1"/>
      <w:numFmt w:val="bullet"/>
      <w:lvlText w:val="•"/>
      <w:lvlJc w:val="left"/>
      <w:pPr>
        <w:tabs>
          <w:tab w:val="num" w:pos="4320"/>
        </w:tabs>
        <w:ind w:left="4320" w:hanging="360"/>
      </w:pPr>
      <w:rPr>
        <w:rFonts w:ascii="Arial" w:hAnsi="Arial" w:hint="default"/>
      </w:rPr>
    </w:lvl>
    <w:lvl w:ilvl="6" w:tplc="B9603ED6" w:tentative="1">
      <w:start w:val="1"/>
      <w:numFmt w:val="bullet"/>
      <w:lvlText w:val="•"/>
      <w:lvlJc w:val="left"/>
      <w:pPr>
        <w:tabs>
          <w:tab w:val="num" w:pos="5040"/>
        </w:tabs>
        <w:ind w:left="5040" w:hanging="360"/>
      </w:pPr>
      <w:rPr>
        <w:rFonts w:ascii="Arial" w:hAnsi="Arial" w:hint="default"/>
      </w:rPr>
    </w:lvl>
    <w:lvl w:ilvl="7" w:tplc="0E1CC64A" w:tentative="1">
      <w:start w:val="1"/>
      <w:numFmt w:val="bullet"/>
      <w:lvlText w:val="•"/>
      <w:lvlJc w:val="left"/>
      <w:pPr>
        <w:tabs>
          <w:tab w:val="num" w:pos="5760"/>
        </w:tabs>
        <w:ind w:left="5760" w:hanging="360"/>
      </w:pPr>
      <w:rPr>
        <w:rFonts w:ascii="Arial" w:hAnsi="Arial" w:hint="default"/>
      </w:rPr>
    </w:lvl>
    <w:lvl w:ilvl="8" w:tplc="8DDCA260" w:tentative="1">
      <w:start w:val="1"/>
      <w:numFmt w:val="bullet"/>
      <w:lvlText w:val="•"/>
      <w:lvlJc w:val="left"/>
      <w:pPr>
        <w:tabs>
          <w:tab w:val="num" w:pos="6480"/>
        </w:tabs>
        <w:ind w:left="6480" w:hanging="360"/>
      </w:pPr>
      <w:rPr>
        <w:rFonts w:ascii="Arial" w:hAnsi="Arial" w:hint="default"/>
      </w:rPr>
    </w:lvl>
  </w:abstractNum>
  <w:abstractNum w:abstractNumId="36">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7">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8">
    <w:nsid w:val="622C0350"/>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1C1C60"/>
    <w:multiLevelType w:val="multilevel"/>
    <w:tmpl w:val="75000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2">
    <w:nsid w:val="70636044"/>
    <w:multiLevelType w:val="multilevel"/>
    <w:tmpl w:val="9AF42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nsid w:val="7ACF197D"/>
    <w:multiLevelType w:val="hybridMultilevel"/>
    <w:tmpl w:val="2040B2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1977A5"/>
    <w:multiLevelType w:val="hybridMultilevel"/>
    <w:tmpl w:val="9D789974"/>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46">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30"/>
  </w:num>
  <w:num w:numId="4">
    <w:abstractNumId w:val="43"/>
  </w:num>
  <w:num w:numId="5">
    <w:abstractNumId w:val="36"/>
  </w:num>
  <w:num w:numId="6">
    <w:abstractNumId w:val="31"/>
  </w:num>
  <w:num w:numId="7">
    <w:abstractNumId w:val="37"/>
  </w:num>
  <w:num w:numId="8">
    <w:abstractNumId w:val="32"/>
  </w:num>
  <w:num w:numId="9">
    <w:abstractNumId w:val="3"/>
  </w:num>
  <w:num w:numId="10">
    <w:abstractNumId w:val="29"/>
  </w:num>
  <w:num w:numId="11">
    <w:abstractNumId w:val="40"/>
  </w:num>
  <w:num w:numId="12">
    <w:abstractNumId w:val="0"/>
  </w:num>
  <w:num w:numId="13">
    <w:abstractNumId w:val="5"/>
  </w:num>
  <w:num w:numId="14">
    <w:abstractNumId w:val="41"/>
  </w:num>
  <w:num w:numId="15">
    <w:abstractNumId w:val="10"/>
  </w:num>
  <w:num w:numId="16">
    <w:abstractNumId w:val="34"/>
  </w:num>
  <w:num w:numId="17">
    <w:abstractNumId w:val="15"/>
  </w:num>
  <w:num w:numId="18">
    <w:abstractNumId w:val="26"/>
  </w:num>
  <w:num w:numId="19">
    <w:abstractNumId w:val="6"/>
  </w:num>
  <w:num w:numId="20">
    <w:abstractNumId w:val="11"/>
  </w:num>
  <w:num w:numId="21">
    <w:abstractNumId w:val="46"/>
  </w:num>
  <w:num w:numId="22">
    <w:abstractNumId w:val="8"/>
  </w:num>
  <w:num w:numId="23">
    <w:abstractNumId w:val="24"/>
  </w:num>
  <w:num w:numId="24">
    <w:abstractNumId w:val="18"/>
  </w:num>
  <w:num w:numId="25">
    <w:abstractNumId w:val="44"/>
  </w:num>
  <w:num w:numId="26">
    <w:abstractNumId w:val="7"/>
  </w:num>
  <w:num w:numId="27">
    <w:abstractNumId w:val="35"/>
  </w:num>
  <w:num w:numId="28">
    <w:abstractNumId w:val="13"/>
  </w:num>
  <w:num w:numId="29">
    <w:abstractNumId w:val="16"/>
  </w:num>
  <w:num w:numId="30">
    <w:abstractNumId w:val="33"/>
  </w:num>
  <w:num w:numId="31">
    <w:abstractNumId w:val="4"/>
  </w:num>
  <w:num w:numId="32">
    <w:abstractNumId w:val="38"/>
  </w:num>
  <w:num w:numId="33">
    <w:abstractNumId w:val="12"/>
  </w:num>
  <w:num w:numId="34">
    <w:abstractNumId w:val="2"/>
  </w:num>
  <w:num w:numId="35">
    <w:abstractNumId w:val="28"/>
  </w:num>
  <w:num w:numId="36">
    <w:abstractNumId w:val="21"/>
  </w:num>
  <w:num w:numId="37">
    <w:abstractNumId w:val="42"/>
  </w:num>
  <w:num w:numId="38">
    <w:abstractNumId w:val="39"/>
  </w:num>
  <w:num w:numId="39">
    <w:abstractNumId w:val="23"/>
  </w:num>
  <w:num w:numId="40">
    <w:abstractNumId w:val="19"/>
  </w:num>
  <w:num w:numId="41">
    <w:abstractNumId w:val="22"/>
  </w:num>
  <w:num w:numId="42">
    <w:abstractNumId w:val="45"/>
  </w:num>
  <w:num w:numId="43">
    <w:abstractNumId w:val="25"/>
  </w:num>
  <w:num w:numId="44">
    <w:abstractNumId w:val="27"/>
  </w:num>
  <w:num w:numId="45">
    <w:abstractNumId w:val="1"/>
  </w:num>
  <w:num w:numId="46">
    <w:abstractNumId w:val="20"/>
  </w:num>
  <w:num w:numId="47">
    <w:abstractNumId w:val="9"/>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oleObject" Target="embeddings/Microsoft_Visio_2003-2010_Drawing4.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58145-D053-4B47-9EF9-4FC6DBC5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10</cp:revision>
  <cp:lastPrinted>2012-03-15T10:36:00Z</cp:lastPrinted>
  <dcterms:created xsi:type="dcterms:W3CDTF">2017-11-18T02:50:00Z</dcterms:created>
  <dcterms:modified xsi:type="dcterms:W3CDTF">2017-11-27T17:49:00Z</dcterms:modified>
</cp:coreProperties>
</file>