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13720165" w:rsidR="00E90E49" w:rsidRPr="00CE0424" w:rsidRDefault="00180E99" w:rsidP="00E35559">
      <w:pPr>
        <w:pStyle w:val="3GPPHeader"/>
        <w:spacing w:after="60"/>
        <w:rPr>
          <w:sz w:val="32"/>
          <w:szCs w:val="32"/>
          <w:highlight w:val="yellow"/>
        </w:rPr>
      </w:pPr>
      <w:bookmarkStart w:id="0" w:name="_GoBack"/>
      <w:bookmarkEnd w:id="0"/>
      <w:r>
        <w:rPr>
          <w:lang w:val="en-US"/>
        </w:rPr>
        <w:t>3GPP TSG-RAN WG1 Meeting #91</w:t>
      </w:r>
      <w:r w:rsidR="00E90E49" w:rsidRPr="00CE0424">
        <w:tab/>
      </w:r>
      <w:r w:rsidR="001F1114" w:rsidRPr="001B5763">
        <w:rPr>
          <w:szCs w:val="24"/>
        </w:rPr>
        <w:t>R1-1721023</w:t>
      </w:r>
    </w:p>
    <w:p w14:paraId="05400B7D" w14:textId="36B9F898" w:rsidR="00B56F88" w:rsidRPr="00CE0424" w:rsidRDefault="00180E99" w:rsidP="00311702">
      <w:pPr>
        <w:pStyle w:val="3GPPHeader"/>
      </w:pPr>
      <w:r>
        <w:t>Reno</w:t>
      </w:r>
      <w:r w:rsidR="00AE2834" w:rsidRPr="000A1D33">
        <w:t xml:space="preserve">, </w:t>
      </w:r>
      <w:r w:rsidR="002C5BA4">
        <w:t>U.S.</w:t>
      </w:r>
      <w:r>
        <w:t>A.</w:t>
      </w:r>
      <w:r w:rsidR="002C5BA4">
        <w:t>,</w:t>
      </w:r>
      <w:r w:rsidR="00AE2834" w:rsidRPr="000A1D33">
        <w:t xml:space="preserve"> </w:t>
      </w:r>
      <w:r>
        <w:t>2</w:t>
      </w:r>
      <w:r w:rsidR="00AE2834" w:rsidRPr="000A1D33">
        <w:t>7</w:t>
      </w:r>
      <w:r w:rsidR="002C5BA4" w:rsidRPr="002C5BA4">
        <w:rPr>
          <w:vertAlign w:val="superscript"/>
        </w:rPr>
        <w:t>th</w:t>
      </w:r>
      <w:r w:rsidR="002C5BA4">
        <w:t xml:space="preserve"> </w:t>
      </w:r>
      <w:r>
        <w:t>Nov- 1</w:t>
      </w:r>
      <w:r w:rsidRPr="00180E99">
        <w:rPr>
          <w:vertAlign w:val="superscript"/>
        </w:rPr>
        <w:t>st</w:t>
      </w:r>
      <w:r>
        <w:t xml:space="preserve"> Dec</w:t>
      </w:r>
      <w:r w:rsidR="00AE2834" w:rsidRPr="000A1D33">
        <w:t xml:space="preserve"> 2017</w:t>
      </w:r>
    </w:p>
    <w:p w14:paraId="606D9DC9" w14:textId="3BBE5ADC" w:rsidR="00E90E49" w:rsidRPr="001F1114" w:rsidRDefault="00E90E49" w:rsidP="00311702">
      <w:pPr>
        <w:pStyle w:val="3GPPHeader"/>
        <w:rPr>
          <w:sz w:val="22"/>
          <w:szCs w:val="22"/>
          <w:lang w:val="en-US"/>
        </w:rPr>
      </w:pPr>
      <w:r w:rsidRPr="001F1114">
        <w:rPr>
          <w:sz w:val="22"/>
          <w:szCs w:val="22"/>
          <w:lang w:val="en-US"/>
        </w:rPr>
        <w:t>Agenda Item:</w:t>
      </w:r>
      <w:r w:rsidRPr="001F1114">
        <w:rPr>
          <w:sz w:val="22"/>
          <w:szCs w:val="22"/>
          <w:lang w:val="en-US"/>
        </w:rPr>
        <w:tab/>
      </w:r>
      <w:r w:rsidR="00030D92" w:rsidRPr="001F1114">
        <w:rPr>
          <w:sz w:val="22"/>
          <w:szCs w:val="22"/>
          <w:lang w:val="en-US"/>
        </w:rPr>
        <w:t>7.3.3.7</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40EA959"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966523" w:rsidRPr="00966523">
        <w:rPr>
          <w:sz w:val="22"/>
          <w:szCs w:val="22"/>
        </w:rPr>
        <w:t>HARQ ID for UL transmission without grant</w:t>
      </w:r>
    </w:p>
    <w:p w14:paraId="248031E0" w14:textId="5C4F520E"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Pr="00030D92">
        <w:rPr>
          <w:sz w:val="22"/>
          <w:szCs w:val="22"/>
        </w:rPr>
        <w:t>Discussion</w:t>
      </w:r>
      <w:r w:rsidR="00A801F1">
        <w:rPr>
          <w:sz w:val="22"/>
          <w:szCs w:val="22"/>
        </w:rPr>
        <w:t>, Decision</w:t>
      </w:r>
    </w:p>
    <w:p w14:paraId="65062EEC" w14:textId="0F7EFB7E" w:rsidR="00E90E49" w:rsidRDefault="00E90E49" w:rsidP="00CE0424">
      <w:pPr>
        <w:pStyle w:val="Heading1"/>
      </w:pPr>
      <w:r w:rsidRPr="00CE0424">
        <w:t>Introduction</w:t>
      </w:r>
    </w:p>
    <w:p w14:paraId="17780F6C" w14:textId="19281661" w:rsidR="00966523" w:rsidRDefault="00997CB0" w:rsidP="00B01567">
      <w:r>
        <w:t xml:space="preserve">In this paper, </w:t>
      </w:r>
      <w:r w:rsidR="008E2660">
        <w:t xml:space="preserve">we </w:t>
      </w:r>
      <w:r>
        <w:t>discuss</w:t>
      </w:r>
      <w:r w:rsidR="00A16387">
        <w:t xml:space="preserve"> </w:t>
      </w:r>
      <w:r w:rsidR="00966523">
        <w:t>HARQ ID for UL transmission without grant</w:t>
      </w:r>
      <w:r w:rsidR="00BD281A">
        <w:t xml:space="preserve">. </w:t>
      </w:r>
    </w:p>
    <w:p w14:paraId="3391E5D3" w14:textId="77777777" w:rsidR="00966523" w:rsidRDefault="00966523" w:rsidP="00B01567"/>
    <w:p w14:paraId="25A77F2C" w14:textId="761F8DDA" w:rsidR="00966523" w:rsidRDefault="00966523" w:rsidP="00B01567">
      <w:r>
        <w:t xml:space="preserve">It has been agreed in the email discussion </w:t>
      </w:r>
      <w:r w:rsidRPr="00966523">
        <w:t>[90b-NR-34]</w:t>
      </w:r>
      <w:r>
        <w:t xml:space="preserve"> that </w:t>
      </w:r>
    </w:p>
    <w:p w14:paraId="1105DC18" w14:textId="77777777" w:rsidR="00966523" w:rsidRDefault="00966523" w:rsidP="00966523">
      <w:pPr>
        <w:pStyle w:val="PlainText"/>
        <w:jc w:val="both"/>
      </w:pPr>
      <w:r>
        <w:rPr>
          <w:rStyle w:val="Strong"/>
          <w:highlight w:val="green"/>
        </w:rPr>
        <w:t>Agreements:</w:t>
      </w:r>
    </w:p>
    <w:p w14:paraId="28D9350D" w14:textId="77777777" w:rsidR="00966523" w:rsidRDefault="00966523" w:rsidP="00966523">
      <w:pPr>
        <w:ind w:left="720" w:hanging="360"/>
      </w:pPr>
      <w:r>
        <w:t xml:space="preserve">•        For UL transmission without UL grant, </w:t>
      </w:r>
    </w:p>
    <w:p w14:paraId="2FD4ED45" w14:textId="77777777" w:rsidR="00966523" w:rsidRDefault="00966523" w:rsidP="00966523">
      <w:pPr>
        <w:ind w:left="1440" w:hanging="360"/>
      </w:pPr>
      <w:r>
        <w:t>–       The HARQ ID for a TB should be the same during the repetitions and retransmissions if any.</w:t>
      </w:r>
    </w:p>
    <w:p w14:paraId="169F36BA" w14:textId="77777777" w:rsidR="00966523" w:rsidRDefault="00966523" w:rsidP="00966523">
      <w:pPr>
        <w:ind w:left="1440" w:hanging="360"/>
      </w:pPr>
      <w:r>
        <w:t xml:space="preserve">–       The HARQ ID is at least determined by </w:t>
      </w:r>
    </w:p>
    <w:p w14:paraId="75033C0F" w14:textId="77777777" w:rsidR="00966523" w:rsidRDefault="00966523" w:rsidP="00966523">
      <w:pPr>
        <w:ind w:left="2160" w:hanging="360"/>
      </w:pPr>
      <w:r>
        <w:t>•        the number of HARQ processes in the configuration</w:t>
      </w:r>
    </w:p>
    <w:p w14:paraId="1823F806" w14:textId="77777777" w:rsidR="00966523" w:rsidRDefault="00966523" w:rsidP="00966523">
      <w:pPr>
        <w:ind w:left="2160" w:hanging="360"/>
      </w:pPr>
      <w:r>
        <w:t>•        the time-domain resource for the UL data transmission</w:t>
      </w:r>
    </w:p>
    <w:p w14:paraId="36EEB94D" w14:textId="31F751EE" w:rsidR="00966523" w:rsidRDefault="00845B3F" w:rsidP="00966523">
      <w:pPr>
        <w:ind w:left="1134" w:firstLine="567"/>
      </w:pPr>
      <w:r>
        <w:t xml:space="preserve">  </w:t>
      </w:r>
      <w:r w:rsidR="00966523">
        <w:t>•</w:t>
      </w:r>
      <w:r>
        <w:t xml:space="preserve">   </w:t>
      </w:r>
      <w:r w:rsidR="00966523">
        <w:t>FFS: other factors such as frequency-domain resource, DMRS, repetition K dependency on initial transmission.</w:t>
      </w:r>
    </w:p>
    <w:p w14:paraId="63597503" w14:textId="5C96944F" w:rsidR="00AF130F" w:rsidRDefault="00966523" w:rsidP="00966523">
      <w:r>
        <w:t>At the same time, RAN2 also has an email discussion</w:t>
      </w:r>
      <w:r w:rsidR="006660FB">
        <w:t xml:space="preserve"> </w:t>
      </w:r>
      <w:r w:rsidR="00693E25">
        <w:fldChar w:fldCharType="begin"/>
      </w:r>
      <w:r w:rsidR="00693E25">
        <w:instrText xml:space="preserve"> REF _Ref498681143 \r \h </w:instrText>
      </w:r>
      <w:r w:rsidR="00693E25">
        <w:fldChar w:fldCharType="separate"/>
      </w:r>
      <w:r w:rsidR="00693E25">
        <w:t>[1]</w:t>
      </w:r>
      <w:r w:rsidR="00693E25">
        <w:fldChar w:fldCharType="end"/>
      </w:r>
      <w:r>
        <w:t xml:space="preserve"> </w:t>
      </w:r>
      <w:r w:rsidR="00845B3F">
        <w:t>on</w:t>
      </w:r>
      <w:r>
        <w:t xml:space="preserve"> the same topic</w:t>
      </w:r>
      <w:r w:rsidR="00AF130F">
        <w:t xml:space="preserve">. </w:t>
      </w:r>
    </w:p>
    <w:p w14:paraId="728D25C5" w14:textId="77777777" w:rsidR="00AF130F" w:rsidRDefault="00AF130F" w:rsidP="00966523"/>
    <w:p w14:paraId="41528F05" w14:textId="242D5EAA" w:rsidR="00966523" w:rsidRDefault="00AF130F" w:rsidP="00966523">
      <w:r>
        <w:t xml:space="preserve">In this paper, we address FFS in the HARQ ID calculation. </w:t>
      </w:r>
    </w:p>
    <w:p w14:paraId="7B88E7A8" w14:textId="5825C03A" w:rsidR="00B11E28" w:rsidRDefault="00411F44" w:rsidP="00CE0424">
      <w:pPr>
        <w:pStyle w:val="Heading1"/>
      </w:pPr>
      <w:r>
        <w:t>Discussion</w:t>
      </w:r>
    </w:p>
    <w:p w14:paraId="5EB98002" w14:textId="451AEB56" w:rsidR="00360962" w:rsidRDefault="00DE0636" w:rsidP="00360962">
      <w:pPr>
        <w:pStyle w:val="Heading2"/>
      </w:pPr>
      <w:r>
        <w:t>Baseline</w:t>
      </w:r>
    </w:p>
    <w:p w14:paraId="2F584427" w14:textId="572E7007" w:rsidR="000C5CF7" w:rsidRDefault="00AF130F" w:rsidP="00693E25">
      <w:r>
        <w:t xml:space="preserve">One remaining issue is on </w:t>
      </w:r>
      <w:r w:rsidR="000C5CF7">
        <w:t xml:space="preserve">whether to include </w:t>
      </w:r>
      <w:r>
        <w:t xml:space="preserve">the repetition </w:t>
      </w:r>
      <w:r w:rsidR="000C5CF7">
        <w:t xml:space="preserve">factor </w:t>
      </w:r>
      <w:r>
        <w:t>K in the HARQ ID calculation.</w:t>
      </w:r>
      <w:r w:rsidR="000C5CF7">
        <w:t xml:space="preserve"> This depends on how the resource configuration and the period are defined, but </w:t>
      </w:r>
      <w:r w:rsidR="00A45059">
        <w:t xml:space="preserve">in </w:t>
      </w:r>
      <w:r w:rsidR="000C5CF7">
        <w:t xml:space="preserve">general </w:t>
      </w:r>
      <w:r w:rsidR="00A45059">
        <w:t xml:space="preserve">we </w:t>
      </w:r>
      <w:r w:rsidR="000C5CF7">
        <w:t xml:space="preserve">should have a simple solution. </w:t>
      </w:r>
    </w:p>
    <w:p w14:paraId="2ABF03A3" w14:textId="276AF176" w:rsidR="00551E62" w:rsidRDefault="00551E62" w:rsidP="00693E25"/>
    <w:p w14:paraId="4CBE0DB0" w14:textId="40243330" w:rsidR="00F13B8E" w:rsidRDefault="00F13B8E" w:rsidP="00693E25">
      <w:r>
        <w:t xml:space="preserve">In LTE, the HARQ ID is calculated as follows </w:t>
      </w:r>
    </w:p>
    <w:p w14:paraId="47CC870A" w14:textId="46FA8B0C" w:rsidR="00F13B8E" w:rsidRDefault="00F13B8E" w:rsidP="00F13B8E">
      <w:pPr>
        <w:ind w:firstLine="567"/>
      </w:pPr>
      <w:r w:rsidRPr="00F13B8E">
        <w:rPr>
          <w:sz w:val="18"/>
        </w:rPr>
        <w:t>HARQ Process ID = [floor(CURRENT_TTI/</w:t>
      </w:r>
      <w:r w:rsidRPr="00F13B8E">
        <w:rPr>
          <w:i/>
          <w:iCs/>
          <w:sz w:val="18"/>
        </w:rPr>
        <w:t>semiPersistSchedIntervalUL</w:t>
      </w:r>
      <w:r w:rsidRPr="00F13B8E">
        <w:rPr>
          <w:sz w:val="18"/>
        </w:rPr>
        <w:t xml:space="preserve">)] modulo </w:t>
      </w:r>
      <w:r w:rsidRPr="00F13B8E">
        <w:rPr>
          <w:i/>
          <w:iCs/>
          <w:sz w:val="18"/>
        </w:rPr>
        <w:t>numberOfConfUlSPS-Processes</w:t>
      </w:r>
    </w:p>
    <w:p w14:paraId="3E295AEE" w14:textId="7C1AE26B" w:rsidR="00F13B8E" w:rsidRDefault="00F13B8E" w:rsidP="00693E25">
      <w:r>
        <w:t xml:space="preserve">As it can be observed, if the period (i.e., </w:t>
      </w:r>
      <w:r w:rsidRPr="00F13B8E">
        <w:rPr>
          <w:i/>
          <w:iCs/>
          <w:sz w:val="18"/>
        </w:rPr>
        <w:t>semiPersistSchedIntervalUL</w:t>
      </w:r>
      <w:r>
        <w:rPr>
          <w:i/>
          <w:iCs/>
          <w:sz w:val="18"/>
        </w:rPr>
        <w:t>)</w:t>
      </w:r>
      <w:r>
        <w:t xml:space="preserve"> is larger than t</w:t>
      </w:r>
      <w:r w:rsidRPr="00320467">
        <w:t>he total time duration of the repetition</w:t>
      </w:r>
      <w:r>
        <w:t xml:space="preserve">, we can </w:t>
      </w:r>
      <w:r w:rsidR="00A45059">
        <w:t xml:space="preserve">have </w:t>
      </w:r>
      <w:r>
        <w:t>that “</w:t>
      </w:r>
      <w:r w:rsidRPr="00F13B8E">
        <w:t>The HARQ ID for a TB should be the same during the repetitions</w:t>
      </w:r>
      <w:r>
        <w:t xml:space="preserve">” as per the agreement. </w:t>
      </w:r>
      <w:r w:rsidR="0027627E">
        <w:t>T</w:t>
      </w:r>
      <w:r>
        <w:t xml:space="preserve">his </w:t>
      </w:r>
      <w:r w:rsidR="0027627E">
        <w:t xml:space="preserve">also </w:t>
      </w:r>
      <w:r w:rsidR="006660FB">
        <w:t>simplifies</w:t>
      </w:r>
      <w:r>
        <w:t xml:space="preserve"> the discussion </w:t>
      </w:r>
      <w:r w:rsidR="00BF322E">
        <w:t xml:space="preserve">on </w:t>
      </w:r>
      <w:r w:rsidR="0027627E">
        <w:t>whether/how</w:t>
      </w:r>
      <w:r>
        <w:t xml:space="preserve"> to </w:t>
      </w:r>
      <w:r w:rsidR="00BF322E">
        <w:t xml:space="preserve">incorporate </w:t>
      </w:r>
      <w:r>
        <w:t>K in the</w:t>
      </w:r>
      <w:r w:rsidR="00BF322E">
        <w:t xml:space="preserve"> </w:t>
      </w:r>
      <w:r w:rsidR="006660FB">
        <w:t xml:space="preserve">HARQ ID </w:t>
      </w:r>
      <w:r w:rsidR="00217AB3">
        <w:t>determin</w:t>
      </w:r>
      <w:r w:rsidR="00BF322E">
        <w:t>ation</w:t>
      </w:r>
      <w:r>
        <w:t xml:space="preserve">. </w:t>
      </w:r>
    </w:p>
    <w:p w14:paraId="7A37B104" w14:textId="0DDC2F05" w:rsidR="00693E25" w:rsidRPr="00320467" w:rsidRDefault="00F13B8E" w:rsidP="00693E25">
      <w:r>
        <w:t xml:space="preserve">Thus, </w:t>
      </w:r>
      <w:r w:rsidR="00217AB3">
        <w:t>to</w:t>
      </w:r>
      <w:r w:rsidR="00551E62">
        <w:t xml:space="preserve"> have a simpler HARQ ID </w:t>
      </w:r>
      <w:r w:rsidR="00217AB3">
        <w:t>determination</w:t>
      </w:r>
      <w:r w:rsidR="00551E62">
        <w:t>, the period should be larger than t</w:t>
      </w:r>
      <w:r w:rsidR="00693E25" w:rsidRPr="00320467">
        <w:t>he total time duration of the repetition</w:t>
      </w:r>
      <w:r w:rsidR="00551E62">
        <w:t>, as shown below</w:t>
      </w:r>
      <w:r w:rsidR="00693E25" w:rsidRPr="00320467">
        <w:t xml:space="preserve">. </w:t>
      </w:r>
      <w:r>
        <w:t xml:space="preserve">In such a case, the HARQ ID calculation is independent from the repetition factor K. </w:t>
      </w:r>
    </w:p>
    <w:p w14:paraId="458EE0D0" w14:textId="77777777" w:rsidR="00693E25" w:rsidRPr="00320467" w:rsidRDefault="00693E25" w:rsidP="00693E25">
      <w:r w:rsidRPr="00320467">
        <w:rPr>
          <w:noProof/>
          <w:lang w:val="en-US" w:eastAsia="en-US"/>
        </w:rPr>
        <w:lastRenderedPageBreak/>
        <w:drawing>
          <wp:inline distT="0" distB="0" distL="0" distR="0" wp14:anchorId="6F3DFBB1" wp14:editId="37EDAF0F">
            <wp:extent cx="5771441" cy="895350"/>
            <wp:effectExtent l="0" t="0" r="1270" b="0"/>
            <wp:docPr id="8" name="Picture 7">
              <a:extLst xmlns:a="http://schemas.openxmlformats.org/drawingml/2006/main">
                <a:ext uri="{FF2B5EF4-FFF2-40B4-BE49-F238E27FC236}">
                  <a16:creationId xmlns:a16="http://schemas.microsoft.com/office/drawing/2014/main" id="{4F407CD0-C793-4405-8E8B-DA3FCE9A4B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4F407CD0-C793-4405-8E8B-DA3FCE9A4BC0}"/>
                        </a:ext>
                      </a:extLst>
                    </pic:cNvPr>
                    <pic:cNvPicPr>
                      <a:picLocks noChangeAspect="1"/>
                    </pic:cNvPicPr>
                  </pic:nvPicPr>
                  <pic:blipFill>
                    <a:blip r:embed="rId14"/>
                    <a:stretch>
                      <a:fillRect/>
                    </a:stretch>
                  </pic:blipFill>
                  <pic:spPr>
                    <a:xfrm>
                      <a:off x="0" y="0"/>
                      <a:ext cx="5771441" cy="895350"/>
                    </a:xfrm>
                    <a:prstGeom prst="rect">
                      <a:avLst/>
                    </a:prstGeom>
                  </pic:spPr>
                </pic:pic>
              </a:graphicData>
            </a:graphic>
          </wp:inline>
        </w:drawing>
      </w:r>
      <w:r w:rsidRPr="00320467">
        <w:t xml:space="preserve"> </w:t>
      </w:r>
    </w:p>
    <w:p w14:paraId="1DE38D8C" w14:textId="30B0CBDB" w:rsidR="00F13B8E" w:rsidRDefault="0027627E" w:rsidP="00A1580D">
      <w:pPr>
        <w:pStyle w:val="Observation"/>
      </w:pPr>
      <w:bookmarkStart w:id="1" w:name="_Toc492477013"/>
      <w:bookmarkStart w:id="2" w:name="_Toc493495313"/>
      <w:bookmarkStart w:id="3" w:name="_Toc493495658"/>
      <w:bookmarkStart w:id="4" w:name="_Toc493495666"/>
      <w:bookmarkStart w:id="5" w:name="_Toc494384719"/>
      <w:bookmarkStart w:id="6" w:name="_Toc494385030"/>
      <w:bookmarkEnd w:id="1"/>
      <w:bookmarkEnd w:id="2"/>
      <w:bookmarkEnd w:id="3"/>
      <w:bookmarkEnd w:id="4"/>
      <w:r>
        <w:t>For</w:t>
      </w:r>
      <w:r w:rsidR="00A1580D">
        <w:t xml:space="preserve"> simpl</w:t>
      </w:r>
      <w:r>
        <w:t>e</w:t>
      </w:r>
      <w:r w:rsidR="00A1580D">
        <w:t xml:space="preserve"> HARQ ID </w:t>
      </w:r>
      <w:r w:rsidR="00217AB3">
        <w:t>determination</w:t>
      </w:r>
      <w:r w:rsidR="00A1580D">
        <w:t>, the period should be larger than t</w:t>
      </w:r>
      <w:r w:rsidR="00A1580D" w:rsidRPr="00320467">
        <w:t>he total time duration of the repetition</w:t>
      </w:r>
      <w:r w:rsidR="00A1580D">
        <w:t>.</w:t>
      </w:r>
    </w:p>
    <w:p w14:paraId="7C547486" w14:textId="153DF4F0" w:rsidR="006958CA" w:rsidRDefault="006958CA" w:rsidP="006958CA">
      <w:pPr>
        <w:pStyle w:val="Proposal"/>
      </w:pPr>
      <w:r w:rsidRPr="001D62AA">
        <w:t>For UL transmission without UL grant,</w:t>
      </w:r>
      <w:r>
        <w:t xml:space="preserve"> HARQ ID is not determined by repetition K</w:t>
      </w:r>
    </w:p>
    <w:p w14:paraId="09894CA8" w14:textId="77777777" w:rsidR="006958CA" w:rsidRDefault="006958CA" w:rsidP="006958CA">
      <w:pPr>
        <w:pStyle w:val="Observation"/>
        <w:numPr>
          <w:ilvl w:val="0"/>
          <w:numId w:val="0"/>
        </w:numPr>
        <w:ind w:left="1701" w:hanging="1701"/>
      </w:pPr>
    </w:p>
    <w:p w14:paraId="0BD040B4" w14:textId="20AD710F" w:rsidR="00A1580D" w:rsidRDefault="005E0E91" w:rsidP="005E0E91">
      <w:r>
        <w:t xml:space="preserve">The above rule is sufficient for </w:t>
      </w:r>
      <w:r w:rsidRPr="005E0E91">
        <w:t xml:space="preserve">eMBB traffic. </w:t>
      </w:r>
      <w:r>
        <w:t xml:space="preserve">It is also sufficient </w:t>
      </w:r>
      <w:r w:rsidRPr="005E0E91">
        <w:t>for periodic UL URLLC traffic</w:t>
      </w:r>
      <w:r>
        <w:t>. As a simple rule, the period above can be set to the periodicity of the traffic and the total time duration for repetition is equal to the latency-requirement in URLLC. A</w:t>
      </w:r>
      <w:r w:rsidRPr="005E0E91">
        <w:t xml:space="preserve">n alignment of periodicity and offset can be achieved by network implementation or </w:t>
      </w:r>
      <w:r>
        <w:t>RRC s</w:t>
      </w:r>
      <w:r w:rsidRPr="005E0E91">
        <w:t>ignalling from UE</w:t>
      </w:r>
      <w:r w:rsidR="006660FB">
        <w:t xml:space="preserve"> similar to the SPS-</w:t>
      </w:r>
      <w:r w:rsidR="006660FB" w:rsidRPr="009726D3">
        <w:t>AssistanceInformation</w:t>
      </w:r>
      <w:r w:rsidR="006660FB">
        <w:t xml:space="preserve"> in LTE.</w:t>
      </w:r>
    </w:p>
    <w:p w14:paraId="23569811" w14:textId="11B90A1A" w:rsidR="00E77685" w:rsidRDefault="00E77685" w:rsidP="005E0E91"/>
    <w:p w14:paraId="1242D638" w14:textId="6008E489" w:rsidR="00B56F88" w:rsidRDefault="00E77685" w:rsidP="00E77685">
      <w:pPr>
        <w:rPr>
          <w:rFonts w:eastAsia="SimSun"/>
          <w:lang w:val="en-US"/>
        </w:rPr>
      </w:pPr>
      <w:r>
        <w:t xml:space="preserve">From </w:t>
      </w:r>
      <w:r w:rsidR="00015246">
        <w:t xml:space="preserve">the summary of </w:t>
      </w:r>
      <w:r>
        <w:t>the email discussion</w:t>
      </w:r>
      <w:r w:rsidR="00015246">
        <w:t xml:space="preserve"> </w:t>
      </w:r>
      <w:r w:rsidR="00015246">
        <w:fldChar w:fldCharType="begin"/>
      </w:r>
      <w:r w:rsidR="00015246">
        <w:instrText xml:space="preserve"> REF _Ref498681143 \r \h </w:instrText>
      </w:r>
      <w:r w:rsidR="00015246">
        <w:fldChar w:fldCharType="separate"/>
      </w:r>
      <w:r w:rsidR="00015246">
        <w:t>[1]</w:t>
      </w:r>
      <w:r w:rsidR="00015246">
        <w:fldChar w:fldCharType="end"/>
      </w:r>
      <w:r>
        <w:t>, one proposal with a majority of companies’ support is that</w:t>
      </w:r>
      <w:r w:rsidR="00015246">
        <w:t xml:space="preserve"> </w:t>
      </w:r>
      <w:r w:rsidRPr="00F4083D">
        <w:t>“</w:t>
      </w:r>
      <w:r w:rsidRPr="00F4083D">
        <w:rPr>
          <w:rFonts w:eastAsia="SimSun" w:hint="eastAsia"/>
          <w:lang w:val="en-US"/>
        </w:rPr>
        <w:t xml:space="preserve">From RAN2 perspective, a timer T is needed </w:t>
      </w:r>
      <w:r w:rsidRPr="00F4083D">
        <w:rPr>
          <w:rFonts w:eastAsia="SimSun"/>
          <w:lang w:val="en-US"/>
        </w:rPr>
        <w:t>for the UE to wait for any HARQ feedback after an UL transmission on a HARQ process</w:t>
      </w:r>
      <w:r w:rsidRPr="00F4083D">
        <w:rPr>
          <w:rFonts w:eastAsia="SimSun" w:hint="eastAsia"/>
          <w:lang w:val="en-US"/>
        </w:rPr>
        <w:t>.</w:t>
      </w:r>
      <w:r w:rsidRPr="00F4083D">
        <w:rPr>
          <w:rFonts w:eastAsia="SimSun"/>
          <w:lang w:val="en-US"/>
        </w:rPr>
        <w:t>”</w:t>
      </w:r>
      <w:r w:rsidR="00015246">
        <w:rPr>
          <w:rFonts w:eastAsia="SimSun"/>
          <w:lang w:val="en-US"/>
        </w:rPr>
        <w:t xml:space="preserve">  If a timer T is introduced, then some further handling of the misalignment between the timer value and the HARQ ID </w:t>
      </w:r>
      <w:r w:rsidR="00217AB3">
        <w:rPr>
          <w:rFonts w:eastAsia="SimSun"/>
          <w:lang w:val="en-US"/>
        </w:rPr>
        <w:t>determination</w:t>
      </w:r>
      <w:r w:rsidR="00015246">
        <w:rPr>
          <w:rFonts w:eastAsia="SimSun"/>
          <w:lang w:val="en-US"/>
        </w:rPr>
        <w:t xml:space="preserve"> should be studied.</w:t>
      </w:r>
      <w:r w:rsidR="00704E27">
        <w:rPr>
          <w:rFonts w:eastAsia="SimSun"/>
          <w:lang w:val="en-US"/>
        </w:rPr>
        <w:t xml:space="preserve"> </w:t>
      </w:r>
    </w:p>
    <w:p w14:paraId="0EEE5071" w14:textId="6730D2C6" w:rsidR="00015246" w:rsidRDefault="00B56F88" w:rsidP="00E77685">
      <w:pPr>
        <w:rPr>
          <w:rFonts w:eastAsia="SimSun"/>
          <w:lang w:val="en-US"/>
        </w:rPr>
      </w:pPr>
      <w:r>
        <w:rPr>
          <w:rFonts w:eastAsia="SimSun"/>
          <w:lang w:val="en-US"/>
        </w:rPr>
        <w:t xml:space="preserve">The </w:t>
      </w:r>
      <w:r w:rsidR="000C19F7">
        <w:rPr>
          <w:rFonts w:eastAsia="SimSun"/>
          <w:lang w:val="en-US"/>
        </w:rPr>
        <w:t>relevant</w:t>
      </w:r>
      <w:r>
        <w:rPr>
          <w:rFonts w:eastAsia="SimSun"/>
          <w:lang w:val="en-US"/>
        </w:rPr>
        <w:t xml:space="preserve"> scenario is</w:t>
      </w:r>
      <w:r w:rsidR="000C19F7">
        <w:rPr>
          <w:rFonts w:eastAsia="SimSun"/>
          <w:lang w:val="en-US"/>
        </w:rPr>
        <w:t xml:space="preserve"> what to do </w:t>
      </w:r>
      <w:r>
        <w:rPr>
          <w:rFonts w:eastAsia="SimSun"/>
          <w:lang w:val="en-US"/>
        </w:rPr>
        <w:t xml:space="preserve">at the time when the timer hasn’t expired, but the same HARQ ID </w:t>
      </w:r>
      <w:r w:rsidR="000C19F7">
        <w:rPr>
          <w:rFonts w:eastAsia="SimSun"/>
          <w:lang w:val="en-US"/>
        </w:rPr>
        <w:t xml:space="preserve">appears </w:t>
      </w:r>
      <w:r>
        <w:rPr>
          <w:rFonts w:eastAsia="SimSun"/>
          <w:lang w:val="en-US"/>
        </w:rPr>
        <w:t xml:space="preserve">according to the calculation rule. </w:t>
      </w:r>
      <w:r w:rsidR="003A722F">
        <w:rPr>
          <w:rFonts w:eastAsia="SimSun"/>
          <w:lang w:val="en-US"/>
        </w:rPr>
        <w:t xml:space="preserve">As one </w:t>
      </w:r>
      <w:r w:rsidR="00704E27">
        <w:rPr>
          <w:rFonts w:eastAsia="SimSun"/>
          <w:lang w:val="en-US"/>
        </w:rPr>
        <w:t>example,</w:t>
      </w:r>
      <w:r w:rsidR="000C19F7">
        <w:rPr>
          <w:rFonts w:eastAsia="SimSun"/>
          <w:lang w:val="en-US"/>
        </w:rPr>
        <w:t xml:space="preserve"> </w:t>
      </w:r>
      <w:r>
        <w:rPr>
          <w:rFonts w:eastAsia="SimSun"/>
          <w:lang w:val="en-US"/>
        </w:rPr>
        <w:t xml:space="preserve">if assuming ACK is used, then </w:t>
      </w:r>
      <w:r w:rsidR="00704E27">
        <w:rPr>
          <w:rFonts w:eastAsia="SimSun"/>
          <w:lang w:val="en-US"/>
        </w:rPr>
        <w:t xml:space="preserve">UE </w:t>
      </w:r>
      <w:r>
        <w:rPr>
          <w:rFonts w:eastAsia="SimSun"/>
          <w:lang w:val="en-US"/>
        </w:rPr>
        <w:t xml:space="preserve">should </w:t>
      </w:r>
      <w:r w:rsidR="00704E27">
        <w:rPr>
          <w:rFonts w:eastAsia="SimSun"/>
          <w:lang w:val="en-US"/>
        </w:rPr>
        <w:t xml:space="preserve">refrain from transmitting the new data </w:t>
      </w:r>
      <w:r>
        <w:rPr>
          <w:rFonts w:eastAsia="SimSun"/>
          <w:lang w:val="en-US"/>
        </w:rPr>
        <w:t>on the same HARQ ID</w:t>
      </w:r>
      <w:r w:rsidR="006660FB">
        <w:rPr>
          <w:rFonts w:eastAsia="SimSun"/>
          <w:lang w:val="en-US"/>
        </w:rPr>
        <w:t xml:space="preserve"> until the timer expires</w:t>
      </w:r>
      <w:r w:rsidR="000C19F7">
        <w:rPr>
          <w:rFonts w:eastAsia="SimSun"/>
          <w:lang w:val="en-US"/>
        </w:rPr>
        <w:t>. But if assuming NACK is used, then it might be better to re-transmit autonomously</w:t>
      </w:r>
      <w:r w:rsidR="006660FB">
        <w:rPr>
          <w:rFonts w:eastAsia="SimSun"/>
          <w:lang w:val="en-US"/>
        </w:rPr>
        <w:t xml:space="preserve"> on the allocated </w:t>
      </w:r>
      <w:r w:rsidR="004D41EF">
        <w:rPr>
          <w:rFonts w:eastAsia="SimSun"/>
          <w:lang w:val="en-US"/>
        </w:rPr>
        <w:t xml:space="preserve">resource with the same </w:t>
      </w:r>
      <w:r w:rsidR="006660FB">
        <w:rPr>
          <w:rFonts w:eastAsia="SimSun"/>
          <w:lang w:val="en-US"/>
        </w:rPr>
        <w:t>HARQ ID</w:t>
      </w:r>
      <w:r w:rsidR="000C19F7">
        <w:rPr>
          <w:rFonts w:eastAsia="SimSun"/>
          <w:lang w:val="en-US"/>
        </w:rPr>
        <w:t xml:space="preserve">. </w:t>
      </w:r>
    </w:p>
    <w:p w14:paraId="0684F50B" w14:textId="1090D15A" w:rsidR="005E0E91" w:rsidRDefault="005E0E91" w:rsidP="005E0E91">
      <w:pPr>
        <w:pStyle w:val="Heading2"/>
      </w:pPr>
      <w:r>
        <w:t>Further support for URLLC</w:t>
      </w:r>
      <w:r w:rsidR="00B23BE3">
        <w:t xml:space="preserve"> with aperiodic packet arrivals</w:t>
      </w:r>
    </w:p>
    <w:p w14:paraId="4C570CB9" w14:textId="3154E3B4" w:rsidR="0027627E" w:rsidRDefault="0027627E" w:rsidP="0027627E">
      <w:r>
        <w:t xml:space="preserve">Yet, </w:t>
      </w:r>
      <w:r w:rsidR="005E0E91">
        <w:t xml:space="preserve">the above approach </w:t>
      </w:r>
      <w:r>
        <w:t xml:space="preserve">does not prevent </w:t>
      </w:r>
      <w:r w:rsidR="00C869A6">
        <w:t xml:space="preserve">us to extend </w:t>
      </w:r>
      <w:r>
        <w:t xml:space="preserve">to </w:t>
      </w:r>
      <w:r w:rsidR="00C869A6">
        <w:t xml:space="preserve">support low latency </w:t>
      </w:r>
      <w:r w:rsidR="005E0E91">
        <w:t xml:space="preserve">requirement </w:t>
      </w:r>
      <w:r w:rsidR="006B3B62">
        <w:t xml:space="preserve">for </w:t>
      </w:r>
      <w:r w:rsidR="00C869A6">
        <w:t>URLLC</w:t>
      </w:r>
      <w:r w:rsidR="006B3B62">
        <w:t xml:space="preserve"> with aperiodic arrivals</w:t>
      </w:r>
      <w:r w:rsidR="005E0E91">
        <w:t>.</w:t>
      </w:r>
    </w:p>
    <w:p w14:paraId="52222C1A" w14:textId="7F378FD9" w:rsidR="005E0E91" w:rsidRDefault="006B3B62" w:rsidP="0027627E">
      <w:r>
        <w:t>In such a case, o</w:t>
      </w:r>
      <w:r w:rsidR="005E0E91">
        <w:t xml:space="preserve">ne </w:t>
      </w:r>
      <w:r>
        <w:t>should first try to reduce the period to equal to the time duration for repetition, as in the following.</w:t>
      </w:r>
    </w:p>
    <w:p w14:paraId="726AE832" w14:textId="468FD3B0" w:rsidR="006B3B62" w:rsidRDefault="006B3B62" w:rsidP="0027627E">
      <w:r>
        <w:object w:dxaOrig="12225" w:dyaOrig="1801" w14:anchorId="5ABCD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71.4pt" o:ole="">
            <v:imagedata r:id="rId15" o:title=""/>
          </v:shape>
          <o:OLEObject Type="Embed" ProgID="Visio.Drawing.15" ShapeID="_x0000_i1025" DrawAspect="Content" ObjectID="_1572465441" r:id="rId16"/>
        </w:object>
      </w:r>
    </w:p>
    <w:p w14:paraId="015C2D95" w14:textId="4DE63028" w:rsidR="00A1580D" w:rsidRDefault="00B23BE3" w:rsidP="00B23BE3">
      <w:r>
        <w:t>If this is not sufficient</w:t>
      </w:r>
      <w:r w:rsidR="004D41EF">
        <w:t xml:space="preserve"> for latency purpose</w:t>
      </w:r>
      <w:r>
        <w:t>, there</w:t>
      </w:r>
      <w:r w:rsidR="00A1580D" w:rsidRPr="00B23BE3">
        <w:t xml:space="preserve"> have been some discussions to support a flexible starting time which can be shown useful to further reduce the latency between the time the transport block is ready and the time that an UL resource is available. We would like to further stress that a flexible starting time makes sense only the period is equal to </w:t>
      </w:r>
      <w:r w:rsidR="00A1580D" w:rsidRPr="00A1580D">
        <w:t>the total time duration of the repetition</w:t>
      </w:r>
      <w:r w:rsidR="00A1580D" w:rsidRPr="00B23BE3">
        <w:t xml:space="preserve">. </w:t>
      </w:r>
    </w:p>
    <w:p w14:paraId="67B05E3C" w14:textId="3BA565C0" w:rsidR="004D41EF" w:rsidRDefault="004D41EF" w:rsidP="004D41EF">
      <w:pPr>
        <w:pStyle w:val="Observation"/>
        <w:overflowPunct/>
        <w:autoSpaceDE/>
        <w:autoSpaceDN/>
        <w:adjustRightInd/>
        <w:spacing w:after="160" w:line="259" w:lineRule="auto"/>
        <w:jc w:val="left"/>
        <w:textAlignment w:val="auto"/>
      </w:pPr>
      <w:r>
        <w:t>A flexible starting time is useful when</w:t>
      </w:r>
      <w:r w:rsidRPr="004D41EF">
        <w:t xml:space="preserve"> </w:t>
      </w:r>
      <w:r w:rsidRPr="00B23BE3">
        <w:t xml:space="preserve">the period is equal to </w:t>
      </w:r>
      <w:r w:rsidRPr="00A1580D">
        <w:t>the total time duration of the repetition</w:t>
      </w:r>
      <w:r>
        <w:t xml:space="preserve">. </w:t>
      </w:r>
    </w:p>
    <w:p w14:paraId="5FDB8954" w14:textId="77777777" w:rsidR="00B23BE3" w:rsidRPr="00B23BE3" w:rsidRDefault="00B23BE3" w:rsidP="00B23BE3"/>
    <w:p w14:paraId="3F023036" w14:textId="3F98043D" w:rsidR="00A1580D" w:rsidRDefault="00B23BE3" w:rsidP="00F13B8E">
      <w:pPr>
        <w:pStyle w:val="Proposal"/>
        <w:numPr>
          <w:ilvl w:val="0"/>
          <w:numId w:val="0"/>
        </w:numPr>
        <w:overflowPunct/>
        <w:autoSpaceDE/>
        <w:autoSpaceDN/>
        <w:adjustRightInd/>
        <w:spacing w:after="160" w:line="259" w:lineRule="auto"/>
        <w:jc w:val="left"/>
        <w:textAlignment w:val="auto"/>
      </w:pPr>
      <w:r>
        <w:object w:dxaOrig="11400" w:dyaOrig="1801" w14:anchorId="467060C9">
          <v:shape id="_x0000_i1026" type="#_x0000_t75" style="width:425.1pt;height:66.8pt" o:ole="">
            <v:imagedata r:id="rId17" o:title=""/>
          </v:shape>
          <o:OLEObject Type="Embed" ProgID="Visio.Drawing.15" ShapeID="_x0000_i1026" DrawAspect="Content" ObjectID="_1572465442" r:id="rId18"/>
        </w:object>
      </w:r>
    </w:p>
    <w:p w14:paraId="45E76DCE" w14:textId="66D6FF51" w:rsidR="00B23BE3" w:rsidRPr="00B23BE3" w:rsidRDefault="00B23BE3" w:rsidP="00F13B8E">
      <w:pPr>
        <w:pStyle w:val="Proposal"/>
        <w:numPr>
          <w:ilvl w:val="0"/>
          <w:numId w:val="0"/>
        </w:numPr>
        <w:overflowPunct/>
        <w:autoSpaceDE/>
        <w:autoSpaceDN/>
        <w:adjustRightInd/>
        <w:spacing w:after="160" w:line="259" w:lineRule="auto"/>
        <w:jc w:val="left"/>
        <w:textAlignment w:val="auto"/>
        <w:rPr>
          <w:b w:val="0"/>
        </w:rPr>
      </w:pPr>
      <w:r w:rsidRPr="00B23BE3">
        <w:rPr>
          <w:b w:val="0"/>
        </w:rPr>
        <w:t xml:space="preserve">Note that, </w:t>
      </w:r>
      <w:r w:rsidR="006958CA">
        <w:rPr>
          <w:b w:val="0"/>
        </w:rPr>
        <w:t>to</w:t>
      </w:r>
      <w:r w:rsidRPr="00B23BE3">
        <w:rPr>
          <w:b w:val="0"/>
        </w:rPr>
        <w:t xml:space="preserve"> support a flexible starting time, </w:t>
      </w:r>
      <w:r>
        <w:rPr>
          <w:b w:val="0"/>
        </w:rPr>
        <w:t xml:space="preserve">we need to cover the error cases </w:t>
      </w:r>
      <w:r w:rsidR="00AA0E6F">
        <w:rPr>
          <w:b w:val="0"/>
        </w:rPr>
        <w:t xml:space="preserve">in the above two figures that, for example, </w:t>
      </w:r>
      <w:r>
        <w:rPr>
          <w:b w:val="0"/>
        </w:rPr>
        <w:t xml:space="preserve">the initial transmission </w:t>
      </w:r>
      <w:r w:rsidR="00CF2553">
        <w:rPr>
          <w:b w:val="0"/>
        </w:rPr>
        <w:t>of the yellow TB is not confused with the last transmission of the blue TB. There have been proposals from companies on using</w:t>
      </w:r>
      <w:r w:rsidR="00AA0E6F">
        <w:rPr>
          <w:b w:val="0"/>
        </w:rPr>
        <w:t xml:space="preserve"> different</w:t>
      </w:r>
      <w:r w:rsidR="00CF2553">
        <w:rPr>
          <w:b w:val="0"/>
        </w:rPr>
        <w:t xml:space="preserve"> cyclic shifts in DMRS or different </w:t>
      </w:r>
      <w:r w:rsidR="00CF2553" w:rsidRPr="00CF2553">
        <w:rPr>
          <w:b w:val="0"/>
        </w:rPr>
        <w:t>frequency-domain resource</w:t>
      </w:r>
      <w:r w:rsidR="00CF2553">
        <w:rPr>
          <w:b w:val="0"/>
        </w:rPr>
        <w:t xml:space="preserve">s, which are also part of the FFS in the email discussion. In summary, </w:t>
      </w:r>
      <w:r w:rsidRPr="00B23BE3">
        <w:rPr>
          <w:b w:val="0"/>
        </w:rPr>
        <w:t xml:space="preserve">some </w:t>
      </w:r>
      <w:r w:rsidRPr="00B23BE3">
        <w:rPr>
          <w:b w:val="0"/>
        </w:rPr>
        <w:lastRenderedPageBreak/>
        <w:t>orthogonal resources, such as cyclic shifts in DMRS or different frequency locations, are needed</w:t>
      </w:r>
      <w:r w:rsidR="00CF2553">
        <w:rPr>
          <w:b w:val="0"/>
        </w:rPr>
        <w:t xml:space="preserve"> to support flexible starting time</w:t>
      </w:r>
      <w:r w:rsidRPr="00B23BE3">
        <w:rPr>
          <w:b w:val="0"/>
        </w:rPr>
        <w:t>.</w:t>
      </w:r>
    </w:p>
    <w:bookmarkEnd w:id="5"/>
    <w:bookmarkEnd w:id="6"/>
    <w:p w14:paraId="6FA6EE14" w14:textId="31791CD2" w:rsidR="00693E25" w:rsidRDefault="006958CA" w:rsidP="00693E25">
      <w:r>
        <w:t>To</w:t>
      </w:r>
      <w:r w:rsidR="001D62AA">
        <w:t xml:space="preserve"> support this, we </w:t>
      </w:r>
      <w:r w:rsidR="00AA0E6F">
        <w:t xml:space="preserve">might be able to </w:t>
      </w:r>
      <w:r w:rsidR="001D62AA">
        <w:t xml:space="preserve">configure a separate ‘configuration/resource’ with different frequency locations and/or cyclic shifts, pending on the definition of “configuration/resource”. </w:t>
      </w:r>
    </w:p>
    <w:p w14:paraId="0A39EB35" w14:textId="618AB09E" w:rsidR="001D62AA" w:rsidRDefault="001D62AA" w:rsidP="001D62AA">
      <w:pPr>
        <w:pStyle w:val="Observation"/>
        <w:overflowPunct/>
        <w:autoSpaceDE/>
        <w:autoSpaceDN/>
        <w:adjustRightInd/>
        <w:spacing w:after="160" w:line="259" w:lineRule="auto"/>
        <w:jc w:val="left"/>
        <w:textAlignment w:val="auto"/>
      </w:pPr>
      <w:r>
        <w:t xml:space="preserve">To support a flexible starting time, some orthogonal resources, such as cyclic shifts in DMRS or different frequency locations, can be allocated. </w:t>
      </w:r>
    </w:p>
    <w:p w14:paraId="20A67764" w14:textId="4E8FC84D" w:rsidR="00154A59" w:rsidRDefault="00154A59" w:rsidP="00154A59">
      <w:pPr>
        <w:pStyle w:val="Observation"/>
        <w:numPr>
          <w:ilvl w:val="0"/>
          <w:numId w:val="0"/>
        </w:numPr>
        <w:overflowPunct/>
        <w:autoSpaceDE/>
        <w:autoSpaceDN/>
        <w:adjustRightInd/>
        <w:spacing w:after="160" w:line="259" w:lineRule="auto"/>
        <w:ind w:left="1701" w:hanging="1701"/>
        <w:jc w:val="left"/>
        <w:textAlignment w:val="auto"/>
      </w:pPr>
    </w:p>
    <w:p w14:paraId="2C1B6BD4" w14:textId="3D22F239" w:rsidR="00C01F33" w:rsidRDefault="00C01F33" w:rsidP="007B1A8C">
      <w:pPr>
        <w:pStyle w:val="Heading1"/>
      </w:pPr>
      <w:r w:rsidRPr="00CE0424">
        <w:t>Conclusion</w:t>
      </w:r>
    </w:p>
    <w:p w14:paraId="00B3506C" w14:textId="321B28E1" w:rsidR="00FC71C0" w:rsidRDefault="00FC71C0" w:rsidP="00FC71C0">
      <w:r>
        <w:t xml:space="preserve">In Section </w:t>
      </w:r>
      <w:r>
        <w:fldChar w:fldCharType="begin"/>
      </w:r>
      <w:r>
        <w:instrText xml:space="preserve"> REF _Ref498327392 \r \h </w:instrText>
      </w:r>
      <w:r>
        <w:fldChar w:fldCharType="separate"/>
      </w:r>
      <w:r>
        <w:t>3</w:t>
      </w:r>
      <w:r>
        <w:fldChar w:fldCharType="end"/>
      </w:r>
      <w:r>
        <w:t xml:space="preserve"> we made to following </w:t>
      </w:r>
      <w:r w:rsidR="00A16387">
        <w:t>observation</w:t>
      </w:r>
      <w:r w:rsidR="00067B5A">
        <w:t>:</w:t>
      </w:r>
      <w:r>
        <w:t xml:space="preserve"> </w:t>
      </w:r>
    </w:p>
    <w:p w14:paraId="4592B14A" w14:textId="77777777" w:rsidR="00472CFB" w:rsidRDefault="00472CFB" w:rsidP="00472CFB">
      <w:pPr>
        <w:pStyle w:val="Proposal"/>
        <w:numPr>
          <w:ilvl w:val="0"/>
          <w:numId w:val="41"/>
        </w:numPr>
      </w:pPr>
      <w:r w:rsidRPr="001D62AA">
        <w:t>For UL transmission without UL grant,</w:t>
      </w:r>
      <w:r>
        <w:t xml:space="preserve"> HARQ ID is not determined by repetition K</w:t>
      </w:r>
    </w:p>
    <w:p w14:paraId="27A8461E" w14:textId="77777777" w:rsidR="00472CFB" w:rsidRDefault="00472CFB" w:rsidP="00472CFB">
      <w:pPr>
        <w:pStyle w:val="Observation"/>
        <w:numPr>
          <w:ilvl w:val="0"/>
          <w:numId w:val="0"/>
        </w:numPr>
        <w:ind w:left="1701" w:hanging="1701"/>
      </w:pPr>
    </w:p>
    <w:p w14:paraId="64070645" w14:textId="77777777" w:rsidR="00693E25" w:rsidRPr="000B7CFD" w:rsidRDefault="00693E25" w:rsidP="00693E25">
      <w:pPr>
        <w:pStyle w:val="Heading1"/>
      </w:pPr>
      <w:r w:rsidRPr="000B7CFD">
        <w:t>References</w:t>
      </w:r>
    </w:p>
    <w:p w14:paraId="7C887EF9" w14:textId="0F95A606" w:rsidR="00693E25" w:rsidRPr="00B25648" w:rsidRDefault="00693E25" w:rsidP="00693E25">
      <w:pPr>
        <w:pStyle w:val="Reference"/>
      </w:pPr>
      <w:bookmarkStart w:id="7" w:name="_Ref498681143"/>
      <w:bookmarkStart w:id="8" w:name="_Ref174151459"/>
      <w:bookmarkStart w:id="9" w:name="_Ref189809556"/>
      <w:r w:rsidRPr="00693E25">
        <w:t>R2-1713173</w:t>
      </w:r>
      <w:r>
        <w:t xml:space="preserve">, </w:t>
      </w:r>
      <w:r w:rsidRPr="00693E25">
        <w:t>Summary of [99bis#41]NR_UP_MAC Email discussion for SPS and GF</w:t>
      </w:r>
      <w:r>
        <w:t>, RAN2#100</w:t>
      </w:r>
      <w:bookmarkEnd w:id="7"/>
    </w:p>
    <w:bookmarkEnd w:id="8"/>
    <w:bookmarkEnd w:id="9"/>
    <w:p w14:paraId="09E086BC" w14:textId="37D5CCC2" w:rsidR="00693E25" w:rsidRPr="006018A8" w:rsidRDefault="00CB5D6F" w:rsidP="00CB5D6F">
      <w:pPr>
        <w:pStyle w:val="Observation"/>
        <w:numPr>
          <w:ilvl w:val="0"/>
          <w:numId w:val="0"/>
        </w:numPr>
        <w:tabs>
          <w:tab w:val="clear" w:pos="1701"/>
          <w:tab w:val="left" w:pos="1674"/>
        </w:tabs>
        <w:overflowPunct/>
        <w:autoSpaceDE/>
        <w:autoSpaceDN/>
        <w:adjustRightInd/>
        <w:spacing w:after="160" w:line="259" w:lineRule="auto"/>
        <w:ind w:left="1701" w:hanging="1701"/>
        <w:jc w:val="left"/>
        <w:textAlignment w:val="auto"/>
        <w:rPr>
          <w:rFonts w:eastAsiaTheme="minorEastAsia"/>
        </w:rPr>
      </w:pPr>
      <w:r>
        <w:rPr>
          <w:rFonts w:eastAsiaTheme="minorEastAsia"/>
        </w:rPr>
        <w:tab/>
      </w:r>
    </w:p>
    <w:sectPr w:rsidR="00693E25" w:rsidRPr="006018A8">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7BCEF" w14:textId="77777777" w:rsidR="00EF2639" w:rsidRDefault="00EF2639">
      <w:r>
        <w:separator/>
      </w:r>
    </w:p>
  </w:endnote>
  <w:endnote w:type="continuationSeparator" w:id="0">
    <w:p w14:paraId="4DA681F2" w14:textId="77777777" w:rsidR="00EF2639" w:rsidRDefault="00EF2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F357615" w:rsidR="00D206AB" w:rsidRDefault="00D206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576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576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D7387" w14:textId="77777777" w:rsidR="00EF2639" w:rsidRDefault="00EF2639">
      <w:r>
        <w:separator/>
      </w:r>
    </w:p>
  </w:footnote>
  <w:footnote w:type="continuationSeparator" w:id="0">
    <w:p w14:paraId="1AFBB6D9" w14:textId="77777777" w:rsidR="00EF2639" w:rsidRDefault="00EF2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D206AB" w:rsidRDefault="00D206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9475F"/>
    <w:multiLevelType w:val="hybridMultilevel"/>
    <w:tmpl w:val="2B1E9AE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4536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6A7583"/>
    <w:multiLevelType w:val="hybridMultilevel"/>
    <w:tmpl w:val="8956142E"/>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14343829"/>
    <w:multiLevelType w:val="hybridMultilevel"/>
    <w:tmpl w:val="93CECC7C"/>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E0E68"/>
    <w:multiLevelType w:val="hybridMultilevel"/>
    <w:tmpl w:val="9C9A6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22" w15:restartNumberingAfterBreak="0">
    <w:nsid w:val="3861181F"/>
    <w:multiLevelType w:val="hybridMultilevel"/>
    <w:tmpl w:val="A8ECD2F2"/>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4934B068"/>
    <w:lvl w:ilvl="0" w:tplc="F7B46DF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D0A4E"/>
    <w:multiLevelType w:val="hybridMultilevel"/>
    <w:tmpl w:val="2C02AAF4"/>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E0EDA"/>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9F5D5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732FCF"/>
    <w:multiLevelType w:val="hybridMultilevel"/>
    <w:tmpl w:val="BE5A20F2"/>
    <w:lvl w:ilvl="0" w:tplc="2EF86082">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7"/>
  </w:num>
  <w:num w:numId="3">
    <w:abstractNumId w:val="24"/>
  </w:num>
  <w:num w:numId="4">
    <w:abstractNumId w:val="25"/>
  </w:num>
  <w:num w:numId="5">
    <w:abstractNumId w:val="18"/>
  </w:num>
  <w:num w:numId="6">
    <w:abstractNumId w:val="26"/>
  </w:num>
  <w:num w:numId="7">
    <w:abstractNumId w:val="30"/>
  </w:num>
  <w:num w:numId="8">
    <w:abstractNumId w:val="20"/>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19"/>
  </w:num>
  <w:num w:numId="19">
    <w:abstractNumId w:val="16"/>
  </w:num>
  <w:num w:numId="20">
    <w:abstractNumId w:val="14"/>
  </w:num>
  <w:num w:numId="21">
    <w:abstractNumId w:val="32"/>
  </w:num>
  <w:num w:numId="22">
    <w:abstractNumId w:val="7"/>
  </w:num>
  <w:num w:numId="23">
    <w:abstractNumId w:val="23"/>
    <w:lvlOverride w:ilvl="0">
      <w:startOverride w:val="1"/>
    </w:lvlOverride>
  </w:num>
  <w:num w:numId="24">
    <w:abstractNumId w:val="8"/>
  </w:num>
  <w:num w:numId="25">
    <w:abstractNumId w:val="21"/>
  </w:num>
  <w:num w:numId="26">
    <w:abstractNumId w:val="1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8"/>
  </w:num>
  <w:num w:numId="30">
    <w:abstractNumId w:val="6"/>
  </w:num>
  <w:num w:numId="31">
    <w:abstractNumId w:val="34"/>
  </w:num>
  <w:num w:numId="32">
    <w:abstractNumId w:val="11"/>
  </w:num>
  <w:num w:numId="33">
    <w:abstractNumId w:val="22"/>
  </w:num>
  <w:num w:numId="34">
    <w:abstractNumId w:val="33"/>
  </w:num>
  <w:num w:numId="35">
    <w:abstractNumId w:val="31"/>
  </w:num>
  <w:num w:numId="36">
    <w:abstractNumId w:val="9"/>
  </w:num>
  <w:num w:numId="37">
    <w:abstractNumId w:val="17"/>
  </w:num>
  <w:num w:numId="38">
    <w:abstractNumId w:val="24"/>
    <w:lvlOverride w:ilvl="0">
      <w:startOverride w:val="1"/>
    </w:lvlOverride>
  </w:num>
  <w:num w:numId="39">
    <w:abstractNumId w:val="29"/>
    <w:lvlOverride w:ilvl="0">
      <w:startOverride w:val="1"/>
    </w:lvlOverride>
  </w:num>
  <w:num w:numId="40">
    <w:abstractNumId w:val="24"/>
    <w:lvlOverride w:ilvl="0">
      <w:startOverride w:val="1"/>
    </w:lvlOverride>
  </w:num>
  <w:num w:numId="41">
    <w:abstractNumId w:val="2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260"/>
    <w:rsid w:val="00004FD0"/>
    <w:rsid w:val="00006446"/>
    <w:rsid w:val="00006896"/>
    <w:rsid w:val="00007CDC"/>
    <w:rsid w:val="00011B28"/>
    <w:rsid w:val="00015246"/>
    <w:rsid w:val="00015D15"/>
    <w:rsid w:val="0001731A"/>
    <w:rsid w:val="00023885"/>
    <w:rsid w:val="0002531D"/>
    <w:rsid w:val="000254A7"/>
    <w:rsid w:val="0002564D"/>
    <w:rsid w:val="00025ECA"/>
    <w:rsid w:val="00030D92"/>
    <w:rsid w:val="000325B8"/>
    <w:rsid w:val="00034C15"/>
    <w:rsid w:val="00036BA1"/>
    <w:rsid w:val="000422E2"/>
    <w:rsid w:val="00042F22"/>
    <w:rsid w:val="000444EF"/>
    <w:rsid w:val="00052A07"/>
    <w:rsid w:val="000534E3"/>
    <w:rsid w:val="0005606A"/>
    <w:rsid w:val="00057117"/>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9F7"/>
    <w:rsid w:val="000C2E19"/>
    <w:rsid w:val="000C5CF7"/>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4A59"/>
    <w:rsid w:val="001551B5"/>
    <w:rsid w:val="001659C1"/>
    <w:rsid w:val="00170E99"/>
    <w:rsid w:val="00173A8E"/>
    <w:rsid w:val="00173D8D"/>
    <w:rsid w:val="00177795"/>
    <w:rsid w:val="00180E99"/>
    <w:rsid w:val="0018143F"/>
    <w:rsid w:val="00190AC1"/>
    <w:rsid w:val="0019341A"/>
    <w:rsid w:val="00197DF9"/>
    <w:rsid w:val="001A1987"/>
    <w:rsid w:val="001A2564"/>
    <w:rsid w:val="001A6173"/>
    <w:rsid w:val="001A6CBA"/>
    <w:rsid w:val="001B0D97"/>
    <w:rsid w:val="001B5763"/>
    <w:rsid w:val="001B5A5D"/>
    <w:rsid w:val="001C1CE5"/>
    <w:rsid w:val="001C3D2A"/>
    <w:rsid w:val="001C452D"/>
    <w:rsid w:val="001D0364"/>
    <w:rsid w:val="001D51BA"/>
    <w:rsid w:val="001D62AA"/>
    <w:rsid w:val="001D6342"/>
    <w:rsid w:val="001D6D53"/>
    <w:rsid w:val="001D7228"/>
    <w:rsid w:val="001E39A4"/>
    <w:rsid w:val="001E58E2"/>
    <w:rsid w:val="001E7AED"/>
    <w:rsid w:val="001F1114"/>
    <w:rsid w:val="001F3916"/>
    <w:rsid w:val="001F54C5"/>
    <w:rsid w:val="001F662C"/>
    <w:rsid w:val="001F7074"/>
    <w:rsid w:val="00200490"/>
    <w:rsid w:val="00201F3A"/>
    <w:rsid w:val="00203F96"/>
    <w:rsid w:val="002069B2"/>
    <w:rsid w:val="00207FA3"/>
    <w:rsid w:val="00212CDD"/>
    <w:rsid w:val="00214DA8"/>
    <w:rsid w:val="00215423"/>
    <w:rsid w:val="002158FA"/>
    <w:rsid w:val="00217AB3"/>
    <w:rsid w:val="00220600"/>
    <w:rsid w:val="002224DB"/>
    <w:rsid w:val="00223FCB"/>
    <w:rsid w:val="002252C3"/>
    <w:rsid w:val="00225C54"/>
    <w:rsid w:val="00230765"/>
    <w:rsid w:val="0023126D"/>
    <w:rsid w:val="002319E4"/>
    <w:rsid w:val="00235632"/>
    <w:rsid w:val="00235872"/>
    <w:rsid w:val="00241559"/>
    <w:rsid w:val="002423B1"/>
    <w:rsid w:val="002435B3"/>
    <w:rsid w:val="002458EB"/>
    <w:rsid w:val="002500C8"/>
    <w:rsid w:val="0025307F"/>
    <w:rsid w:val="00257543"/>
    <w:rsid w:val="00260304"/>
    <w:rsid w:val="002617E7"/>
    <w:rsid w:val="00264228"/>
    <w:rsid w:val="00264334"/>
    <w:rsid w:val="0026473E"/>
    <w:rsid w:val="00266214"/>
    <w:rsid w:val="00267C83"/>
    <w:rsid w:val="0027144F"/>
    <w:rsid w:val="00271F3A"/>
    <w:rsid w:val="00273278"/>
    <w:rsid w:val="002737F4"/>
    <w:rsid w:val="0027627E"/>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7637"/>
    <w:rsid w:val="002E0E6C"/>
    <w:rsid w:val="002E17F2"/>
    <w:rsid w:val="002E5A34"/>
    <w:rsid w:val="002E7CAE"/>
    <w:rsid w:val="002F2771"/>
    <w:rsid w:val="002F37A9"/>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4579"/>
    <w:rsid w:val="00335858"/>
    <w:rsid w:val="00336BDA"/>
    <w:rsid w:val="00342BD7"/>
    <w:rsid w:val="00343A07"/>
    <w:rsid w:val="00346DB5"/>
    <w:rsid w:val="003477B1"/>
    <w:rsid w:val="00357380"/>
    <w:rsid w:val="003602D9"/>
    <w:rsid w:val="003604CE"/>
    <w:rsid w:val="00360962"/>
    <w:rsid w:val="00360EFC"/>
    <w:rsid w:val="0036343E"/>
    <w:rsid w:val="00364B46"/>
    <w:rsid w:val="00370E47"/>
    <w:rsid w:val="003742AC"/>
    <w:rsid w:val="00377CE1"/>
    <w:rsid w:val="00385BF0"/>
    <w:rsid w:val="003916D2"/>
    <w:rsid w:val="003939FF"/>
    <w:rsid w:val="00396105"/>
    <w:rsid w:val="003A2223"/>
    <w:rsid w:val="003A2A0F"/>
    <w:rsid w:val="003A45A1"/>
    <w:rsid w:val="003A5B0A"/>
    <w:rsid w:val="003A6BAC"/>
    <w:rsid w:val="003A722F"/>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1105"/>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2CFB"/>
    <w:rsid w:val="004734D0"/>
    <w:rsid w:val="0047556B"/>
    <w:rsid w:val="00477768"/>
    <w:rsid w:val="00492BC5"/>
    <w:rsid w:val="004964F1"/>
    <w:rsid w:val="004A16BC"/>
    <w:rsid w:val="004A248D"/>
    <w:rsid w:val="004A2B94"/>
    <w:rsid w:val="004B7C0C"/>
    <w:rsid w:val="004C3898"/>
    <w:rsid w:val="004D36B1"/>
    <w:rsid w:val="004D41EF"/>
    <w:rsid w:val="004D4C7D"/>
    <w:rsid w:val="004D7EBD"/>
    <w:rsid w:val="004E2680"/>
    <w:rsid w:val="004E28F9"/>
    <w:rsid w:val="004E462E"/>
    <w:rsid w:val="004E56DC"/>
    <w:rsid w:val="004E76F4"/>
    <w:rsid w:val="004F0B4E"/>
    <w:rsid w:val="004F0B6C"/>
    <w:rsid w:val="004F2078"/>
    <w:rsid w:val="004F4DA3"/>
    <w:rsid w:val="004F5195"/>
    <w:rsid w:val="00506557"/>
    <w:rsid w:val="0050677A"/>
    <w:rsid w:val="005108D8"/>
    <w:rsid w:val="005116F9"/>
    <w:rsid w:val="005153A7"/>
    <w:rsid w:val="005219CF"/>
    <w:rsid w:val="00534B59"/>
    <w:rsid w:val="00536759"/>
    <w:rsid w:val="00537C62"/>
    <w:rsid w:val="00546970"/>
    <w:rsid w:val="00547F4D"/>
    <w:rsid w:val="00550419"/>
    <w:rsid w:val="00551E62"/>
    <w:rsid w:val="0055252A"/>
    <w:rsid w:val="00554E19"/>
    <w:rsid w:val="005552E0"/>
    <w:rsid w:val="0056121F"/>
    <w:rsid w:val="00567E10"/>
    <w:rsid w:val="00572505"/>
    <w:rsid w:val="00574771"/>
    <w:rsid w:val="00582809"/>
    <w:rsid w:val="0058798C"/>
    <w:rsid w:val="005900FA"/>
    <w:rsid w:val="00590489"/>
    <w:rsid w:val="005935A4"/>
    <w:rsid w:val="005948C2"/>
    <w:rsid w:val="00595DCA"/>
    <w:rsid w:val="0059779B"/>
    <w:rsid w:val="0059786D"/>
    <w:rsid w:val="005A209A"/>
    <w:rsid w:val="005A662D"/>
    <w:rsid w:val="005B35D7"/>
    <w:rsid w:val="005B392A"/>
    <w:rsid w:val="005B3AA3"/>
    <w:rsid w:val="005B592F"/>
    <w:rsid w:val="005B6F83"/>
    <w:rsid w:val="005C74FB"/>
    <w:rsid w:val="005D1602"/>
    <w:rsid w:val="005E0E91"/>
    <w:rsid w:val="005E385F"/>
    <w:rsid w:val="005E5B81"/>
    <w:rsid w:val="005F2CB1"/>
    <w:rsid w:val="005F3025"/>
    <w:rsid w:val="005F618C"/>
    <w:rsid w:val="005F6A6B"/>
    <w:rsid w:val="005F70BD"/>
    <w:rsid w:val="006018A8"/>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0FB"/>
    <w:rsid w:val="00667563"/>
    <w:rsid w:val="00667EE7"/>
    <w:rsid w:val="00670922"/>
    <w:rsid w:val="00670BE1"/>
    <w:rsid w:val="0067218F"/>
    <w:rsid w:val="00673690"/>
    <w:rsid w:val="006741F2"/>
    <w:rsid w:val="00674CC3"/>
    <w:rsid w:val="00675C72"/>
    <w:rsid w:val="006771F9"/>
    <w:rsid w:val="006776D7"/>
    <w:rsid w:val="0068022F"/>
    <w:rsid w:val="00681003"/>
    <w:rsid w:val="006817C9"/>
    <w:rsid w:val="00683ECE"/>
    <w:rsid w:val="00686F36"/>
    <w:rsid w:val="00693E25"/>
    <w:rsid w:val="006958CA"/>
    <w:rsid w:val="00695FC2"/>
    <w:rsid w:val="006962DF"/>
    <w:rsid w:val="00696949"/>
    <w:rsid w:val="00697052"/>
    <w:rsid w:val="006A3180"/>
    <w:rsid w:val="006A46FB"/>
    <w:rsid w:val="006A5E28"/>
    <w:rsid w:val="006A697B"/>
    <w:rsid w:val="006A7AFF"/>
    <w:rsid w:val="006B1816"/>
    <w:rsid w:val="006B2099"/>
    <w:rsid w:val="006B3B62"/>
    <w:rsid w:val="006B50CF"/>
    <w:rsid w:val="006B5B0F"/>
    <w:rsid w:val="006C03B8"/>
    <w:rsid w:val="006C5EC9"/>
    <w:rsid w:val="006C6059"/>
    <w:rsid w:val="006C716E"/>
    <w:rsid w:val="006C7522"/>
    <w:rsid w:val="006D6E43"/>
    <w:rsid w:val="006D6F08"/>
    <w:rsid w:val="006E062C"/>
    <w:rsid w:val="006E28B7"/>
    <w:rsid w:val="006E3310"/>
    <w:rsid w:val="006E4E39"/>
    <w:rsid w:val="006E565E"/>
    <w:rsid w:val="006E673D"/>
    <w:rsid w:val="006E7D3B"/>
    <w:rsid w:val="006F1B70"/>
    <w:rsid w:val="006F341D"/>
    <w:rsid w:val="006F354B"/>
    <w:rsid w:val="006F3CDE"/>
    <w:rsid w:val="006F58D4"/>
    <w:rsid w:val="0070346E"/>
    <w:rsid w:val="00704E27"/>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48B1"/>
    <w:rsid w:val="007362A6"/>
    <w:rsid w:val="00736D7D"/>
    <w:rsid w:val="00740E58"/>
    <w:rsid w:val="00743EA6"/>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34B"/>
    <w:rsid w:val="00793CD8"/>
    <w:rsid w:val="00795C92"/>
    <w:rsid w:val="00796231"/>
    <w:rsid w:val="007A1CB3"/>
    <w:rsid w:val="007A306F"/>
    <w:rsid w:val="007A43A6"/>
    <w:rsid w:val="007A58A6"/>
    <w:rsid w:val="007A6A06"/>
    <w:rsid w:val="007B1A8C"/>
    <w:rsid w:val="007B3D2D"/>
    <w:rsid w:val="007B50AE"/>
    <w:rsid w:val="007B51DF"/>
    <w:rsid w:val="007C05DD"/>
    <w:rsid w:val="007C3D18"/>
    <w:rsid w:val="007C60BF"/>
    <w:rsid w:val="007C67FA"/>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B3F"/>
    <w:rsid w:val="00846FE7"/>
    <w:rsid w:val="00856911"/>
    <w:rsid w:val="00857947"/>
    <w:rsid w:val="008677FD"/>
    <w:rsid w:val="008706D4"/>
    <w:rsid w:val="00870F8A"/>
    <w:rsid w:val="008719A4"/>
    <w:rsid w:val="00871D23"/>
    <w:rsid w:val="00874312"/>
    <w:rsid w:val="0087437C"/>
    <w:rsid w:val="00875CD7"/>
    <w:rsid w:val="00876B4D"/>
    <w:rsid w:val="00877F18"/>
    <w:rsid w:val="00884C6F"/>
    <w:rsid w:val="00894A88"/>
    <w:rsid w:val="00895386"/>
    <w:rsid w:val="008A1052"/>
    <w:rsid w:val="008A21FF"/>
    <w:rsid w:val="008A2CE2"/>
    <w:rsid w:val="008A30AC"/>
    <w:rsid w:val="008A44B8"/>
    <w:rsid w:val="008A4D59"/>
    <w:rsid w:val="008A51A8"/>
    <w:rsid w:val="008A54C7"/>
    <w:rsid w:val="008A77D8"/>
    <w:rsid w:val="008B0483"/>
    <w:rsid w:val="008B120C"/>
    <w:rsid w:val="008B51A0"/>
    <w:rsid w:val="008B592A"/>
    <w:rsid w:val="008B77AE"/>
    <w:rsid w:val="008B7B5C"/>
    <w:rsid w:val="008C0C99"/>
    <w:rsid w:val="008C2017"/>
    <w:rsid w:val="008C4958"/>
    <w:rsid w:val="008C4BAA"/>
    <w:rsid w:val="008C6AE8"/>
    <w:rsid w:val="008C7573"/>
    <w:rsid w:val="008D34F1"/>
    <w:rsid w:val="008D39D8"/>
    <w:rsid w:val="008D6D1A"/>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EA0"/>
    <w:rsid w:val="00943742"/>
    <w:rsid w:val="00945C05"/>
    <w:rsid w:val="00946945"/>
    <w:rsid w:val="00947713"/>
    <w:rsid w:val="00950DE7"/>
    <w:rsid w:val="00953023"/>
    <w:rsid w:val="00953920"/>
    <w:rsid w:val="00953D47"/>
    <w:rsid w:val="0095681E"/>
    <w:rsid w:val="009572D4"/>
    <w:rsid w:val="00961921"/>
    <w:rsid w:val="0096430A"/>
    <w:rsid w:val="0096554B"/>
    <w:rsid w:val="0096584A"/>
    <w:rsid w:val="00966523"/>
    <w:rsid w:val="00971F08"/>
    <w:rsid w:val="009735E6"/>
    <w:rsid w:val="00975C2D"/>
    <w:rsid w:val="0097603D"/>
    <w:rsid w:val="00976949"/>
    <w:rsid w:val="00980477"/>
    <w:rsid w:val="00985253"/>
    <w:rsid w:val="009853B3"/>
    <w:rsid w:val="00987690"/>
    <w:rsid w:val="00990630"/>
    <w:rsid w:val="00991761"/>
    <w:rsid w:val="00994DCA"/>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36D3"/>
    <w:rsid w:val="009C403E"/>
    <w:rsid w:val="009C7A48"/>
    <w:rsid w:val="009D4FF0"/>
    <w:rsid w:val="009D703C"/>
    <w:rsid w:val="009D718F"/>
    <w:rsid w:val="009E068F"/>
    <w:rsid w:val="009E14E0"/>
    <w:rsid w:val="009E35DB"/>
    <w:rsid w:val="009E47A3"/>
    <w:rsid w:val="009E5053"/>
    <w:rsid w:val="009E52F2"/>
    <w:rsid w:val="009E78AB"/>
    <w:rsid w:val="009F08F3"/>
    <w:rsid w:val="009F344F"/>
    <w:rsid w:val="00A048A8"/>
    <w:rsid w:val="00A04F49"/>
    <w:rsid w:val="00A13E54"/>
    <w:rsid w:val="00A1580D"/>
    <w:rsid w:val="00A16387"/>
    <w:rsid w:val="00A17F63"/>
    <w:rsid w:val="00A2193B"/>
    <w:rsid w:val="00A2351A"/>
    <w:rsid w:val="00A23D4D"/>
    <w:rsid w:val="00A264A9"/>
    <w:rsid w:val="00A27785"/>
    <w:rsid w:val="00A30187"/>
    <w:rsid w:val="00A3448A"/>
    <w:rsid w:val="00A36297"/>
    <w:rsid w:val="00A41E2B"/>
    <w:rsid w:val="00A41F64"/>
    <w:rsid w:val="00A42768"/>
    <w:rsid w:val="00A45059"/>
    <w:rsid w:val="00A45B74"/>
    <w:rsid w:val="00A52E1D"/>
    <w:rsid w:val="00A61499"/>
    <w:rsid w:val="00A62A77"/>
    <w:rsid w:val="00A63483"/>
    <w:rsid w:val="00A657D7"/>
    <w:rsid w:val="00A660AC"/>
    <w:rsid w:val="00A67E6C"/>
    <w:rsid w:val="00A71B99"/>
    <w:rsid w:val="00A739D0"/>
    <w:rsid w:val="00A761D4"/>
    <w:rsid w:val="00A77EC4"/>
    <w:rsid w:val="00A801F1"/>
    <w:rsid w:val="00A92879"/>
    <w:rsid w:val="00A9442A"/>
    <w:rsid w:val="00AA016F"/>
    <w:rsid w:val="00AA0E6F"/>
    <w:rsid w:val="00AA1ED6"/>
    <w:rsid w:val="00AA374D"/>
    <w:rsid w:val="00AA51D6"/>
    <w:rsid w:val="00AB0A4E"/>
    <w:rsid w:val="00AB0BC8"/>
    <w:rsid w:val="00AB11CA"/>
    <w:rsid w:val="00AB14D9"/>
    <w:rsid w:val="00AB2BB1"/>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30F"/>
    <w:rsid w:val="00AF1C5D"/>
    <w:rsid w:val="00AF42D7"/>
    <w:rsid w:val="00B006FE"/>
    <w:rsid w:val="00B007CB"/>
    <w:rsid w:val="00B01567"/>
    <w:rsid w:val="00B02AA9"/>
    <w:rsid w:val="00B02FA3"/>
    <w:rsid w:val="00B05084"/>
    <w:rsid w:val="00B11E28"/>
    <w:rsid w:val="00B157F9"/>
    <w:rsid w:val="00B20256"/>
    <w:rsid w:val="00B20D09"/>
    <w:rsid w:val="00B23BE3"/>
    <w:rsid w:val="00B2763F"/>
    <w:rsid w:val="00B27AAC"/>
    <w:rsid w:val="00B304F3"/>
    <w:rsid w:val="00B30929"/>
    <w:rsid w:val="00B34C69"/>
    <w:rsid w:val="00B372AA"/>
    <w:rsid w:val="00B40445"/>
    <w:rsid w:val="00B40BEF"/>
    <w:rsid w:val="00B41888"/>
    <w:rsid w:val="00B45A52"/>
    <w:rsid w:val="00B46175"/>
    <w:rsid w:val="00B56F88"/>
    <w:rsid w:val="00B6188F"/>
    <w:rsid w:val="00B664C7"/>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F322E"/>
    <w:rsid w:val="00BF3279"/>
    <w:rsid w:val="00BF6566"/>
    <w:rsid w:val="00BF74C7"/>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CB7"/>
    <w:rsid w:val="00C54995"/>
    <w:rsid w:val="00C54D41"/>
    <w:rsid w:val="00C60783"/>
    <w:rsid w:val="00C64672"/>
    <w:rsid w:val="00C70697"/>
    <w:rsid w:val="00C72EF4"/>
    <w:rsid w:val="00C75059"/>
    <w:rsid w:val="00C75D2F"/>
    <w:rsid w:val="00C767BE"/>
    <w:rsid w:val="00C76E3C"/>
    <w:rsid w:val="00C81568"/>
    <w:rsid w:val="00C869A6"/>
    <w:rsid w:val="00C9027A"/>
    <w:rsid w:val="00C9068E"/>
    <w:rsid w:val="00C93C4B"/>
    <w:rsid w:val="00C944AB"/>
    <w:rsid w:val="00C95B40"/>
    <w:rsid w:val="00CA1ED8"/>
    <w:rsid w:val="00CB1F63"/>
    <w:rsid w:val="00CB5D6F"/>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2553"/>
    <w:rsid w:val="00CF3B1F"/>
    <w:rsid w:val="00CF3BF6"/>
    <w:rsid w:val="00CF625B"/>
    <w:rsid w:val="00CF687E"/>
    <w:rsid w:val="00D0349B"/>
    <w:rsid w:val="00D10249"/>
    <w:rsid w:val="00D115C3"/>
    <w:rsid w:val="00D11897"/>
    <w:rsid w:val="00D11945"/>
    <w:rsid w:val="00D13135"/>
    <w:rsid w:val="00D13E4E"/>
    <w:rsid w:val="00D1537C"/>
    <w:rsid w:val="00D206AB"/>
    <w:rsid w:val="00D22B48"/>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7FC"/>
    <w:rsid w:val="00D708B0"/>
    <w:rsid w:val="00D77B1D"/>
    <w:rsid w:val="00D8021F"/>
    <w:rsid w:val="00D80383"/>
    <w:rsid w:val="00D823C6"/>
    <w:rsid w:val="00D86CA3"/>
    <w:rsid w:val="00D871CE"/>
    <w:rsid w:val="00D9196D"/>
    <w:rsid w:val="00D92982"/>
    <w:rsid w:val="00D95CA9"/>
    <w:rsid w:val="00DA305E"/>
    <w:rsid w:val="00DA5417"/>
    <w:rsid w:val="00DA56E8"/>
    <w:rsid w:val="00DB0A9F"/>
    <w:rsid w:val="00DB377D"/>
    <w:rsid w:val="00DC2D36"/>
    <w:rsid w:val="00DC53EF"/>
    <w:rsid w:val="00DC7AC9"/>
    <w:rsid w:val="00DD48F8"/>
    <w:rsid w:val="00DE0636"/>
    <w:rsid w:val="00DE5608"/>
    <w:rsid w:val="00DE58D0"/>
    <w:rsid w:val="00DE654F"/>
    <w:rsid w:val="00DF07CB"/>
    <w:rsid w:val="00DF0B6E"/>
    <w:rsid w:val="00DF15E0"/>
    <w:rsid w:val="00DF37A0"/>
    <w:rsid w:val="00DF71A0"/>
    <w:rsid w:val="00E110E7"/>
    <w:rsid w:val="00E11B20"/>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1568"/>
    <w:rsid w:val="00E446F1"/>
    <w:rsid w:val="00E45E40"/>
    <w:rsid w:val="00E46886"/>
    <w:rsid w:val="00E47AEF"/>
    <w:rsid w:val="00E53B75"/>
    <w:rsid w:val="00E54E3B"/>
    <w:rsid w:val="00E57565"/>
    <w:rsid w:val="00E63838"/>
    <w:rsid w:val="00E64434"/>
    <w:rsid w:val="00E660D3"/>
    <w:rsid w:val="00E67C51"/>
    <w:rsid w:val="00E72EFC"/>
    <w:rsid w:val="00E758EC"/>
    <w:rsid w:val="00E77685"/>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2639"/>
    <w:rsid w:val="00EF5787"/>
    <w:rsid w:val="00EF60D0"/>
    <w:rsid w:val="00F01760"/>
    <w:rsid w:val="00F0528D"/>
    <w:rsid w:val="00F06C67"/>
    <w:rsid w:val="00F06DFD"/>
    <w:rsid w:val="00F070E8"/>
    <w:rsid w:val="00F071D1"/>
    <w:rsid w:val="00F07533"/>
    <w:rsid w:val="00F10629"/>
    <w:rsid w:val="00F13B8E"/>
    <w:rsid w:val="00F14320"/>
    <w:rsid w:val="00F154BD"/>
    <w:rsid w:val="00F15FA5"/>
    <w:rsid w:val="00F209B7"/>
    <w:rsid w:val="00F2376F"/>
    <w:rsid w:val="00F243D8"/>
    <w:rsid w:val="00F30828"/>
    <w:rsid w:val="00F313D6"/>
    <w:rsid w:val="00F330D4"/>
    <w:rsid w:val="00F4083D"/>
    <w:rsid w:val="00F40F0C"/>
    <w:rsid w:val="00F4766C"/>
    <w:rsid w:val="00F507D1"/>
    <w:rsid w:val="00F519CE"/>
    <w:rsid w:val="00F51ADA"/>
    <w:rsid w:val="00F54487"/>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C0"/>
    <w:rsid w:val="00FC7429"/>
    <w:rsid w:val="00FD07F6"/>
    <w:rsid w:val="00FD1EC8"/>
    <w:rsid w:val="00FD47ED"/>
    <w:rsid w:val="00FD5D7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paragraph" w:customStyle="1" w:styleId="References">
    <w:name w:val="References"/>
    <w:basedOn w:val="Normal"/>
    <w:rsid w:val="00732437"/>
    <w:pPr>
      <w:numPr>
        <w:numId w:val="23"/>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 w:type="paragraph" w:styleId="PlainText">
    <w:name w:val="Plain Text"/>
    <w:basedOn w:val="Normal"/>
    <w:link w:val="PlainTextChar"/>
    <w:uiPriority w:val="99"/>
    <w:unhideWhenUsed/>
    <w:rsid w:val="00966523"/>
    <w:pPr>
      <w:overflowPunct/>
      <w:autoSpaceDE/>
      <w:autoSpaceDN/>
      <w:adjustRightInd/>
      <w:spacing w:after="0"/>
      <w:jc w:val="left"/>
      <w:textAlignment w:val="auto"/>
    </w:pPr>
    <w:rPr>
      <w:rFonts w:ascii="Calibri" w:eastAsiaTheme="minorEastAsia" w:hAnsi="Calibri" w:cs="Calibri"/>
      <w:sz w:val="22"/>
      <w:szCs w:val="22"/>
      <w:lang w:val="en-US"/>
    </w:rPr>
  </w:style>
  <w:style w:type="character" w:customStyle="1" w:styleId="PlainTextChar">
    <w:name w:val="Plain Text Char"/>
    <w:basedOn w:val="DefaultParagraphFont"/>
    <w:link w:val="PlainText"/>
    <w:uiPriority w:val="99"/>
    <w:rsid w:val="00966523"/>
    <w:rPr>
      <w:rFonts w:ascii="Calibri" w:eastAsiaTheme="minorEastAsia" w:hAnsi="Calibri" w:cs="Calibri"/>
      <w:sz w:val="22"/>
      <w:szCs w:val="22"/>
      <w:lang w:eastAsia="zh-CN"/>
    </w:rPr>
  </w:style>
  <w:style w:type="character" w:styleId="Strong">
    <w:name w:val="Strong"/>
    <w:basedOn w:val="DefaultParagraphFont"/>
    <w:uiPriority w:val="22"/>
    <w:qFormat/>
    <w:rsid w:val="00966523"/>
    <w:rPr>
      <w:b/>
      <w:bCs/>
    </w:rPr>
  </w:style>
  <w:style w:type="paragraph" w:customStyle="1" w:styleId="IvDbodytext">
    <w:name w:val="IvD bodytext"/>
    <w:basedOn w:val="BodyText"/>
    <w:link w:val="IvDbodytextChar"/>
    <w:qFormat/>
    <w:rsid w:val="006660F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rPr>
  </w:style>
  <w:style w:type="character" w:customStyle="1" w:styleId="IvDbodytextChar">
    <w:name w:val="IvD bodytext Char"/>
    <w:basedOn w:val="BodyTextChar"/>
    <w:link w:val="IvDbodytext"/>
    <w:rsid w:val="006660FB"/>
    <w:rPr>
      <w:rFonts w:ascii="Arial" w:eastAsia="SimSun"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879705541">
      <w:bodyDiv w:val="1"/>
      <w:marLeft w:val="0"/>
      <w:marRight w:val="0"/>
      <w:marTop w:val="0"/>
      <w:marBottom w:val="0"/>
      <w:divBdr>
        <w:top w:val="none" w:sz="0" w:space="0" w:color="auto"/>
        <w:left w:val="none" w:sz="0" w:space="0" w:color="auto"/>
        <w:bottom w:val="none" w:sz="0" w:space="0" w:color="auto"/>
        <w:right w:val="none" w:sz="0" w:space="0" w:color="auto"/>
      </w:divBdr>
    </w:div>
    <w:div w:id="920528612">
      <w:bodyDiv w:val="1"/>
      <w:marLeft w:val="0"/>
      <w:marRight w:val="0"/>
      <w:marTop w:val="0"/>
      <w:marBottom w:val="0"/>
      <w:divBdr>
        <w:top w:val="none" w:sz="0" w:space="0" w:color="auto"/>
        <w:left w:val="none" w:sz="0" w:space="0" w:color="auto"/>
        <w:bottom w:val="none" w:sz="0" w:space="0" w:color="auto"/>
        <w:right w:val="none" w:sz="0" w:space="0" w:color="auto"/>
      </w:divBdr>
    </w:div>
    <w:div w:id="927348386">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5NUHHDQN7SK2-1-186266</_dlc_DocId>
    <_dlc_DocIdUrl xmlns="08b2df90-05d3-4030-90d4-c9feeb4a1cd9">
      <Url>https://ericoll.internal.ericsson.com/sites/star/_layouts/DocIdRedir.aspx?ID=5NUHHDQN7SK2-1-186266</Url>
      <Description>5NUHHDQN7SK2-1-186266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E55D9B52-B6D0-4FB3-A857-1534845D9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155</TotalTime>
  <Pages>1</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5387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Ericsson; TDoc; 3GPP</cp:keywords>
  <cp:lastModifiedBy>Ali Behravan</cp:lastModifiedBy>
  <cp:revision>36</cp:revision>
  <cp:lastPrinted>2008-01-31T16:09:00Z</cp:lastPrinted>
  <dcterms:created xsi:type="dcterms:W3CDTF">2017-11-17T09:39:00Z</dcterms:created>
  <dcterms:modified xsi:type="dcterms:W3CDTF">2017-11-17T22:11:00Z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0a91697c-9b45-4b8c-bd95-f8038844d382</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