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7423" w:rsidRPr="00D63788" w:rsidRDefault="00CD7423" w:rsidP="00CD7423">
      <w:pPr>
        <w:tabs>
          <w:tab w:val="left" w:pos="1701"/>
          <w:tab w:val="right" w:pos="9072"/>
          <w:tab w:val="right" w:pos="10206"/>
        </w:tabs>
        <w:spacing w:after="80"/>
        <w:jc w:val="both"/>
        <w:rPr>
          <w:rFonts w:ascii="Arial" w:hAnsi="Arial"/>
          <w:b/>
          <w:sz w:val="24"/>
          <w:szCs w:val="24"/>
        </w:rPr>
      </w:pPr>
      <w:r w:rsidRPr="00D63788">
        <w:rPr>
          <w:rFonts w:ascii="Arial" w:hAnsi="Arial"/>
          <w:b/>
          <w:sz w:val="24"/>
          <w:szCs w:val="24"/>
        </w:rPr>
        <w:t>3GPP TSG RAN WG1 Meeting 9</w:t>
      </w:r>
      <w:r>
        <w:rPr>
          <w:rFonts w:ascii="Arial" w:hAnsi="Arial"/>
          <w:b/>
          <w:sz w:val="24"/>
          <w:szCs w:val="24"/>
        </w:rPr>
        <w:t>1</w:t>
      </w:r>
      <w:r w:rsidRPr="00D63788">
        <w:rPr>
          <w:rFonts w:ascii="Arial" w:hAnsi="Arial"/>
          <w:b/>
          <w:sz w:val="24"/>
          <w:szCs w:val="24"/>
        </w:rPr>
        <w:t xml:space="preserve"> </w:t>
      </w:r>
      <w:r w:rsidRPr="00D63788">
        <w:rPr>
          <w:rFonts w:ascii="Arial" w:hAnsi="Arial"/>
          <w:b/>
          <w:sz w:val="24"/>
          <w:szCs w:val="24"/>
        </w:rPr>
        <w:tab/>
        <w:t>R1-17</w:t>
      </w:r>
      <w:r>
        <w:rPr>
          <w:rFonts w:ascii="Arial" w:hAnsi="Arial"/>
          <w:b/>
          <w:sz w:val="24"/>
          <w:szCs w:val="24"/>
        </w:rPr>
        <w:t>20108</w:t>
      </w:r>
    </w:p>
    <w:p w:rsidR="00CD7423" w:rsidRPr="00D63788" w:rsidRDefault="00CD7423" w:rsidP="00CD7423">
      <w:pPr>
        <w:tabs>
          <w:tab w:val="left" w:pos="1701"/>
          <w:tab w:val="right" w:pos="9072"/>
          <w:tab w:val="right" w:pos="10206"/>
        </w:tabs>
        <w:spacing w:after="80"/>
        <w:jc w:val="both"/>
        <w:rPr>
          <w:rFonts w:ascii="Arial" w:hAnsi="Arial"/>
          <w:b/>
          <w:sz w:val="24"/>
          <w:szCs w:val="24"/>
        </w:rPr>
      </w:pPr>
      <w:r>
        <w:rPr>
          <w:rFonts w:ascii="Arial" w:hAnsi="Arial"/>
          <w:b/>
          <w:sz w:val="24"/>
          <w:szCs w:val="24"/>
        </w:rPr>
        <w:t>Reno, USA</w:t>
      </w:r>
      <w:r w:rsidRPr="00D63788">
        <w:rPr>
          <w:rFonts w:ascii="Arial" w:hAnsi="Arial"/>
          <w:b/>
          <w:sz w:val="24"/>
          <w:szCs w:val="24"/>
        </w:rPr>
        <w:t xml:space="preserve">, </w:t>
      </w:r>
      <w:r>
        <w:rPr>
          <w:rFonts w:ascii="Arial" w:hAnsi="Arial"/>
          <w:b/>
          <w:sz w:val="24"/>
          <w:szCs w:val="24"/>
        </w:rPr>
        <w:t>Nov 27 – Dec 1</w:t>
      </w:r>
      <w:r w:rsidRPr="00D63788">
        <w:rPr>
          <w:rFonts w:ascii="Arial" w:hAnsi="Arial"/>
          <w:b/>
          <w:sz w:val="24"/>
          <w:szCs w:val="24"/>
        </w:rPr>
        <w:t xml:space="preserve"> 201</w:t>
      </w:r>
      <w:r w:rsidRPr="00D63788">
        <w:rPr>
          <w:rFonts w:ascii="Arial" w:hAnsi="Arial" w:hint="eastAsia"/>
          <w:b/>
          <w:sz w:val="24"/>
          <w:szCs w:val="24"/>
        </w:rPr>
        <w:t>7</w:t>
      </w:r>
    </w:p>
    <w:p w:rsidR="00CD7423" w:rsidRPr="009C718A" w:rsidRDefault="00CD7423" w:rsidP="00CD7423">
      <w:pPr>
        <w:tabs>
          <w:tab w:val="left" w:pos="1701"/>
          <w:tab w:val="right" w:pos="9072"/>
          <w:tab w:val="right" w:pos="10206"/>
        </w:tabs>
        <w:spacing w:after="80"/>
        <w:jc w:val="both"/>
        <w:rPr>
          <w:rFonts w:ascii="Arial" w:hAnsi="Arial"/>
          <w:b/>
          <w:sz w:val="24"/>
          <w:szCs w:val="24"/>
        </w:rPr>
      </w:pPr>
      <w:r>
        <w:rPr>
          <w:rFonts w:ascii="Arial" w:hAnsi="Arial"/>
          <w:b/>
          <w:sz w:val="24"/>
          <w:szCs w:val="24"/>
        </w:rPr>
        <w:t>Agenda Item:</w:t>
      </w:r>
      <w:r>
        <w:rPr>
          <w:rFonts w:ascii="Arial" w:hAnsi="Arial"/>
          <w:b/>
          <w:sz w:val="24"/>
          <w:szCs w:val="24"/>
        </w:rPr>
        <w:tab/>
        <w:t>7.8</w:t>
      </w:r>
    </w:p>
    <w:p w:rsidR="00CD7423" w:rsidRPr="009C718A" w:rsidRDefault="00CD7423" w:rsidP="00CD7423">
      <w:pPr>
        <w:tabs>
          <w:tab w:val="left" w:pos="1701"/>
          <w:tab w:val="right" w:pos="9072"/>
          <w:tab w:val="right" w:pos="10206"/>
        </w:tabs>
        <w:spacing w:after="80"/>
        <w:jc w:val="both"/>
        <w:rPr>
          <w:rFonts w:ascii="Arial" w:hAnsi="Arial"/>
          <w:b/>
          <w:sz w:val="24"/>
          <w:szCs w:val="24"/>
        </w:rPr>
      </w:pPr>
      <w:r w:rsidRPr="009C718A">
        <w:rPr>
          <w:rFonts w:ascii="Arial" w:hAnsi="Arial"/>
          <w:b/>
          <w:sz w:val="24"/>
          <w:szCs w:val="24"/>
        </w:rPr>
        <w:t xml:space="preserve">Source: </w:t>
      </w:r>
      <w:r w:rsidRPr="009C718A">
        <w:rPr>
          <w:rFonts w:ascii="Arial" w:hAnsi="Arial"/>
          <w:b/>
          <w:sz w:val="24"/>
          <w:szCs w:val="24"/>
        </w:rPr>
        <w:tab/>
        <w:t>Intel Corporation</w:t>
      </w:r>
    </w:p>
    <w:p w:rsidR="00CD7423" w:rsidRPr="009C718A" w:rsidRDefault="00CD7423" w:rsidP="00CD7423">
      <w:pPr>
        <w:tabs>
          <w:tab w:val="left" w:pos="1701"/>
          <w:tab w:val="right" w:pos="9072"/>
          <w:tab w:val="right" w:pos="10206"/>
        </w:tabs>
        <w:spacing w:after="80"/>
        <w:jc w:val="both"/>
        <w:rPr>
          <w:rFonts w:ascii="Arial" w:hAnsi="Arial"/>
          <w:b/>
          <w:sz w:val="24"/>
          <w:szCs w:val="24"/>
        </w:rPr>
      </w:pPr>
      <w:r w:rsidRPr="009C718A">
        <w:rPr>
          <w:rFonts w:ascii="Arial" w:hAnsi="Arial"/>
          <w:b/>
          <w:sz w:val="24"/>
          <w:szCs w:val="24"/>
        </w:rPr>
        <w:t>Title:</w:t>
      </w:r>
      <w:bookmarkStart w:id="0" w:name="Title"/>
      <w:bookmarkEnd w:id="0"/>
      <w:r w:rsidRPr="009C718A">
        <w:rPr>
          <w:rFonts w:ascii="Arial" w:hAnsi="Arial"/>
          <w:b/>
          <w:sz w:val="24"/>
          <w:szCs w:val="24"/>
        </w:rPr>
        <w:tab/>
      </w:r>
      <w:r w:rsidRPr="008D0FC4">
        <w:rPr>
          <w:rFonts w:ascii="Arial" w:hAnsi="Arial"/>
          <w:b/>
          <w:sz w:val="24"/>
          <w:szCs w:val="24"/>
        </w:rPr>
        <w:t>On UE capabilities</w:t>
      </w:r>
      <w:r>
        <w:rPr>
          <w:rFonts w:ascii="Arial" w:hAnsi="Arial"/>
          <w:b/>
          <w:sz w:val="24"/>
          <w:szCs w:val="24"/>
        </w:rPr>
        <w:t xml:space="preserve"> and peak rates</w:t>
      </w:r>
    </w:p>
    <w:p w:rsidR="00CD7423" w:rsidRPr="009C718A" w:rsidRDefault="00CD7423" w:rsidP="00CD7423">
      <w:pPr>
        <w:tabs>
          <w:tab w:val="left" w:pos="1701"/>
          <w:tab w:val="right" w:pos="9072"/>
          <w:tab w:val="right" w:pos="10206"/>
        </w:tabs>
        <w:spacing w:after="80"/>
        <w:jc w:val="both"/>
        <w:rPr>
          <w:rFonts w:ascii="Arial" w:hAnsi="Arial"/>
          <w:b/>
          <w:sz w:val="24"/>
          <w:szCs w:val="24"/>
        </w:rPr>
      </w:pPr>
      <w:r w:rsidRPr="009C718A">
        <w:rPr>
          <w:rFonts w:ascii="Arial" w:hAnsi="Arial"/>
          <w:b/>
          <w:sz w:val="24"/>
          <w:szCs w:val="24"/>
        </w:rPr>
        <w:t>Document for:</w:t>
      </w:r>
      <w:r w:rsidRPr="009C718A">
        <w:rPr>
          <w:rFonts w:ascii="Arial" w:hAnsi="Arial"/>
          <w:b/>
          <w:sz w:val="24"/>
          <w:szCs w:val="24"/>
        </w:rPr>
        <w:tab/>
        <w:t>Discussion/Decision</w:t>
      </w:r>
    </w:p>
    <w:p w:rsidR="00CD7423" w:rsidRPr="002B5BBB" w:rsidRDefault="00CD7423" w:rsidP="00CD7423">
      <w:pPr>
        <w:pStyle w:val="Heading1"/>
        <w:numPr>
          <w:ilvl w:val="0"/>
          <w:numId w:val="1"/>
        </w:numPr>
        <w:ind w:left="360"/>
        <w:jc w:val="both"/>
        <w:textAlignment w:val="auto"/>
        <w:rPr>
          <w:sz w:val="32"/>
        </w:rPr>
      </w:pPr>
      <w:r w:rsidRPr="002B5BBB">
        <w:rPr>
          <w:sz w:val="32"/>
        </w:rPr>
        <w:t>Introduction</w:t>
      </w:r>
    </w:p>
    <w:p w:rsidR="00CD7423" w:rsidRDefault="00CD7423" w:rsidP="00CD7423">
      <w:pPr>
        <w:jc w:val="both"/>
      </w:pPr>
      <w:r>
        <w:t xml:space="preserve"> In RAN1#AH3, RAN1 sent an LS reply to RAN2’s LS on UE categories and capabilities [4]. We discuss some related aspects in this document with respect to the RAN LS to RAN1 [2]. In last RAN1 meeting, the following decisions were made with respect to the UE categories and capabilities discussion. </w:t>
      </w:r>
    </w:p>
    <w:p w:rsidR="00CD7423" w:rsidRDefault="00CD7423" w:rsidP="00CD7423">
      <w:pPr>
        <w:jc w:val="both"/>
      </w:pPr>
    </w:p>
    <w:p w:rsidR="00CD7423" w:rsidRDefault="00CD7423" w:rsidP="00CD7423">
      <w:pPr>
        <w:jc w:val="both"/>
      </w:pPr>
      <w:r>
        <w:rPr>
          <w:noProof/>
        </w:rPr>
        <mc:AlternateContent>
          <mc:Choice Requires="wps">
            <w:drawing>
              <wp:inline distT="0" distB="0" distL="0" distR="0" wp14:anchorId="30C7F801" wp14:editId="02821D3A">
                <wp:extent cx="6052457" cy="795528"/>
                <wp:effectExtent l="0" t="0" r="24765"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2457" cy="795528"/>
                        </a:xfrm>
                        <a:prstGeom prst="rect">
                          <a:avLst/>
                        </a:prstGeom>
                        <a:solidFill>
                          <a:srgbClr val="FFFFFF"/>
                        </a:solidFill>
                        <a:ln w="9525">
                          <a:solidFill>
                            <a:srgbClr val="000000"/>
                          </a:solidFill>
                          <a:miter lim="800000"/>
                          <a:headEnd/>
                          <a:tailEnd/>
                        </a:ln>
                      </wps:spPr>
                      <wps:txbx>
                        <w:txbxContent>
                          <w:p w:rsidR="00CD7423" w:rsidRPr="007B0982" w:rsidRDefault="00CD7423" w:rsidP="00CD7423">
                            <w:pPr>
                              <w:rPr>
                                <w:b/>
                                <w:u w:val="single"/>
                              </w:rPr>
                            </w:pPr>
                            <w:r w:rsidRPr="00BA7E73">
                              <w:rPr>
                                <w:b/>
                                <w:highlight w:val="green"/>
                                <w:u w:val="single"/>
                              </w:rPr>
                              <w:t xml:space="preserve">Agreement: </w:t>
                            </w:r>
                          </w:p>
                          <w:p w:rsidR="00CD7423" w:rsidRDefault="00CD7423" w:rsidP="00CD7423">
                            <w:pPr>
                              <w:numPr>
                                <w:ilvl w:val="0"/>
                                <w:numId w:val="2"/>
                              </w:numPr>
                              <w:overflowPunct/>
                              <w:autoSpaceDE/>
                              <w:autoSpaceDN/>
                              <w:adjustRightInd/>
                              <w:spacing w:after="0"/>
                              <w:textAlignment w:val="auto"/>
                            </w:pPr>
                            <w:r w:rsidRPr="007B0982">
                              <w:t>Agree in principle to define a simple formula to send to RAN plenary to derive approximate maximum data rates, based on at least max TBS (</w:t>
                            </w:r>
                            <w:proofErr w:type="spellStart"/>
                            <w:r w:rsidRPr="007B0982">
                              <w:t>normalised</w:t>
                            </w:r>
                            <w:proofErr w:type="spellEnd"/>
                            <w:r w:rsidRPr="007B0982">
                              <w:t xml:space="preserve"> to a particular unit of time). Check details until RAN1#91, including identifying</w:t>
                            </w:r>
                            <w:r>
                              <w:t xml:space="preserve"> exactly which parameters should be included in the formula. </w:t>
                            </w:r>
                          </w:p>
                          <w:p w:rsidR="00CD7423" w:rsidRPr="00B908ED" w:rsidRDefault="00CD7423" w:rsidP="00CD7423">
                            <w:pPr>
                              <w:rPr>
                                <w:u w:val="single"/>
                                <w:lang w:eastAsia="x-none"/>
                              </w:rPr>
                            </w:pPr>
                            <w:r w:rsidRPr="00B908ED">
                              <w:rPr>
                                <w:u w:val="single"/>
                                <w:lang w:eastAsia="x-none"/>
                              </w:rPr>
                              <w:t xml:space="preserve">Conclusions: </w:t>
                            </w:r>
                          </w:p>
                          <w:p w:rsidR="00CD7423" w:rsidRDefault="00CD7423" w:rsidP="00CD7423">
                            <w:pPr>
                              <w:numPr>
                                <w:ilvl w:val="0"/>
                                <w:numId w:val="2"/>
                              </w:numPr>
                              <w:overflowPunct/>
                              <w:autoSpaceDE/>
                              <w:autoSpaceDN/>
                              <w:adjustRightInd/>
                              <w:spacing w:after="0"/>
                              <w:textAlignment w:val="auto"/>
                              <w:rPr>
                                <w:lang w:eastAsia="x-none"/>
                              </w:rPr>
                            </w:pPr>
                            <w:r>
                              <w:rPr>
                                <w:lang w:eastAsia="x-none"/>
                              </w:rPr>
                              <w:t xml:space="preserve">Continue discussion on any RAN1-specific aspects (e.g. where UE’s peak rate may be lower than the calculated peak rate, and any relation to soft buffer sizes) at RAN1#91. </w:t>
                            </w:r>
                          </w:p>
                          <w:p w:rsidR="00CD7423" w:rsidRDefault="00CD7423" w:rsidP="00CD7423">
                            <w:pPr>
                              <w:numPr>
                                <w:ilvl w:val="0"/>
                                <w:numId w:val="2"/>
                              </w:numPr>
                              <w:overflowPunct/>
                              <w:autoSpaceDE/>
                              <w:autoSpaceDN/>
                              <w:adjustRightInd/>
                              <w:spacing w:after="0"/>
                              <w:textAlignment w:val="auto"/>
                              <w:rPr>
                                <w:lang w:eastAsia="x-none"/>
                              </w:rPr>
                            </w:pPr>
                            <w:r>
                              <w:rPr>
                                <w:lang w:eastAsia="x-none"/>
                              </w:rPr>
                              <w:t xml:space="preserve">Other aspects should be left to RAN2. </w:t>
                            </w:r>
                          </w:p>
                        </w:txbxContent>
                      </wps:txbx>
                      <wps:bodyPr rot="0" vert="horz" wrap="square" lIns="91440" tIns="45720" rIns="91440" bIns="45720" anchor="t" anchorCtr="0">
                        <a:spAutoFit/>
                      </wps:bodyPr>
                    </wps:wsp>
                  </a:graphicData>
                </a:graphic>
              </wp:inline>
            </w:drawing>
          </mc:Choice>
          <mc:Fallback>
            <w:pict>
              <v:shapetype w14:anchorId="30C7F801" id="_x0000_t202" coordsize="21600,21600" o:spt="202" path="m,l,21600r21600,l21600,xe">
                <v:stroke joinstyle="miter"/>
                <v:path gradientshapeok="t" o:connecttype="rect"/>
              </v:shapetype>
              <v:shape id="Text Box 2" o:spid="_x0000_s1026" type="#_x0000_t202" style="width:476.55pt;height:6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">
                <v:textbox style="mso-fit-shape-to-text:t">
                  <w:txbxContent>
                    <w:p w:rsidR="00CD7423" w:rsidRPr="007B0982" w:rsidRDefault="00CD7423" w:rsidP="00CD7423">
                      <w:pPr>
                        <w:rPr>
                          <w:b/>
                          <w:u w:val="single"/>
                        </w:rPr>
                      </w:pPr>
                      <w:r w:rsidRPr="00BA7E73">
                        <w:rPr>
                          <w:b/>
                          <w:highlight w:val="green"/>
                          <w:u w:val="single"/>
                        </w:rPr>
                        <w:t xml:space="preserve">Agreement: </w:t>
                      </w:r>
                    </w:p>
                    <w:p w:rsidR="00CD7423" w:rsidRDefault="00CD7423" w:rsidP="00CD7423">
                      <w:pPr>
                        <w:numPr>
                          <w:ilvl w:val="0"/>
                          <w:numId w:val="2"/>
                        </w:numPr>
                        <w:overflowPunct/>
                        <w:autoSpaceDE/>
                        <w:autoSpaceDN/>
                        <w:adjustRightInd/>
                        <w:spacing w:after="0"/>
                        <w:textAlignment w:val="auto"/>
                      </w:pPr>
                      <w:r w:rsidRPr="007B0982">
                        <w:t>Agree in principle to define a simple formula to send to RAN plenary to derive approximate maximum data rates, based on at least max TBS (</w:t>
                      </w:r>
                      <w:proofErr w:type="spellStart"/>
                      <w:r w:rsidRPr="007B0982">
                        <w:t>normalised</w:t>
                      </w:r>
                      <w:proofErr w:type="spellEnd"/>
                      <w:r w:rsidRPr="007B0982">
                        <w:t xml:space="preserve"> to a particular unit of time). Check details until RAN1#91, including identifying</w:t>
                      </w:r>
                      <w:r>
                        <w:t xml:space="preserve"> exactly which parameters should be included in the formula. </w:t>
                      </w:r>
                    </w:p>
                    <w:p w:rsidR="00CD7423" w:rsidRPr="00B908ED" w:rsidRDefault="00CD7423" w:rsidP="00CD7423">
                      <w:pPr>
                        <w:rPr>
                          <w:u w:val="single"/>
                          <w:lang w:eastAsia="x-none"/>
                        </w:rPr>
                      </w:pPr>
                      <w:r w:rsidRPr="00B908ED">
                        <w:rPr>
                          <w:u w:val="single"/>
                          <w:lang w:eastAsia="x-none"/>
                        </w:rPr>
                        <w:t xml:space="preserve">Conclusions: </w:t>
                      </w:r>
                    </w:p>
                    <w:p w:rsidR="00CD7423" w:rsidRDefault="00CD7423" w:rsidP="00CD7423">
                      <w:pPr>
                        <w:numPr>
                          <w:ilvl w:val="0"/>
                          <w:numId w:val="2"/>
                        </w:numPr>
                        <w:overflowPunct/>
                        <w:autoSpaceDE/>
                        <w:autoSpaceDN/>
                        <w:adjustRightInd/>
                        <w:spacing w:after="0"/>
                        <w:textAlignment w:val="auto"/>
                        <w:rPr>
                          <w:lang w:eastAsia="x-none"/>
                        </w:rPr>
                      </w:pPr>
                      <w:r>
                        <w:rPr>
                          <w:lang w:eastAsia="x-none"/>
                        </w:rPr>
                        <w:t xml:space="preserve">Continue discussion on any RAN1-specific aspects (e.g. where UE’s peak rate may be lower than the calculated peak rate, and any relation to soft buffer sizes) at RAN1#91. </w:t>
                      </w:r>
                    </w:p>
                    <w:p w:rsidR="00CD7423" w:rsidRDefault="00CD7423" w:rsidP="00CD7423">
                      <w:pPr>
                        <w:numPr>
                          <w:ilvl w:val="0"/>
                          <w:numId w:val="2"/>
                        </w:numPr>
                        <w:overflowPunct/>
                        <w:autoSpaceDE/>
                        <w:autoSpaceDN/>
                        <w:adjustRightInd/>
                        <w:spacing w:after="0"/>
                        <w:textAlignment w:val="auto"/>
                        <w:rPr>
                          <w:lang w:eastAsia="x-none"/>
                        </w:rPr>
                      </w:pPr>
                      <w:r>
                        <w:rPr>
                          <w:lang w:eastAsia="x-none"/>
                        </w:rPr>
                        <w:t xml:space="preserve">Other aspects should be left to RAN2. </w:t>
                      </w:r>
                    </w:p>
                  </w:txbxContent>
                </v:textbox>
                <w10:anchorlock/>
              </v:shape>
            </w:pict>
          </mc:Fallback>
        </mc:AlternateContent>
      </w:r>
    </w:p>
    <w:p w:rsidR="00CD7423" w:rsidRDefault="00CD7423" w:rsidP="00CD7423">
      <w:pPr>
        <w:jc w:val="both"/>
      </w:pPr>
    </w:p>
    <w:p w:rsidR="00CD7423" w:rsidRDefault="00CD7423" w:rsidP="00CD7423">
      <w:pPr>
        <w:jc w:val="both"/>
      </w:pPr>
      <w:r>
        <w:t xml:space="preserve">Then, the following three </w:t>
      </w:r>
      <w:proofErr w:type="spellStart"/>
      <w:r>
        <w:t>LSes</w:t>
      </w:r>
      <w:proofErr w:type="spellEnd"/>
      <w:r>
        <w:t xml:space="preserve"> were </w:t>
      </w:r>
      <w:proofErr w:type="gramStart"/>
      <w:r>
        <w:t>received :</w:t>
      </w:r>
      <w:proofErr w:type="gramEnd"/>
      <w:r>
        <w:t xml:space="preserve"> </w:t>
      </w:r>
    </w:p>
    <w:p w:rsidR="00CD7423" w:rsidRDefault="00CD7423" w:rsidP="00CD7423">
      <w:pPr>
        <w:spacing w:after="0"/>
        <w:jc w:val="both"/>
      </w:pPr>
      <w:r>
        <w:t>R1-1719460 LS on UE baseband processing capability</w:t>
      </w:r>
      <w:r>
        <w:tab/>
        <w:t>RAN2, NTT DOCOMO</w:t>
      </w:r>
      <w:r>
        <w:tab/>
        <w:t>LS in</w:t>
      </w:r>
    </w:p>
    <w:p w:rsidR="00CD7423" w:rsidRDefault="00CD7423" w:rsidP="00CD7423">
      <w:pPr>
        <w:spacing w:after="0"/>
        <w:jc w:val="both"/>
      </w:pPr>
      <w:r>
        <w:t>R1-1719307 LS on formula or table for L1 data rate</w:t>
      </w:r>
      <w:r>
        <w:tab/>
        <w:t>RAN2, Ericsson</w:t>
      </w:r>
      <w:r>
        <w:tab/>
        <w:t>LS in</w:t>
      </w:r>
    </w:p>
    <w:p w:rsidR="00CD7423" w:rsidRDefault="00CD7423" w:rsidP="00CD7423">
      <w:pPr>
        <w:spacing w:after="0"/>
        <w:jc w:val="both"/>
      </w:pPr>
      <w:r>
        <w:t>R1-1719309 LS on UE RF related parameters, capabilities and features for NR</w:t>
      </w:r>
      <w:r>
        <w:tab/>
        <w:t>RAN2, NTT DOCOMO</w:t>
      </w:r>
      <w:r>
        <w:tab/>
        <w:t>LS in</w:t>
      </w:r>
    </w:p>
    <w:p w:rsidR="00CD7423" w:rsidRDefault="00CD7423" w:rsidP="00CD7423">
      <w:pPr>
        <w:spacing w:after="0"/>
        <w:jc w:val="both"/>
      </w:pPr>
      <w:r>
        <w:t xml:space="preserve">R1-1719332 LS reply on NR UE baseband capabilities </w:t>
      </w:r>
      <w:proofErr w:type="spellStart"/>
      <w:r>
        <w:t>signalling</w:t>
      </w:r>
      <w:proofErr w:type="spellEnd"/>
      <w:r>
        <w:tab/>
        <w:t>RAN4, Intel</w:t>
      </w:r>
      <w:r>
        <w:tab/>
        <w:t>LS in</w:t>
      </w:r>
    </w:p>
    <w:p w:rsidR="00CD7423" w:rsidRDefault="00CD7423" w:rsidP="00CD7423">
      <w:pPr>
        <w:jc w:val="both"/>
      </w:pPr>
    </w:p>
    <w:p w:rsidR="00CD7423" w:rsidRPr="00955CB8" w:rsidRDefault="00CD7423" w:rsidP="00CD7423">
      <w:pPr>
        <w:pStyle w:val="Heading1"/>
        <w:numPr>
          <w:ilvl w:val="0"/>
          <w:numId w:val="1"/>
        </w:numPr>
        <w:ind w:left="360"/>
        <w:jc w:val="both"/>
        <w:textAlignment w:val="auto"/>
        <w:rPr>
          <w:sz w:val="32"/>
        </w:rPr>
      </w:pPr>
      <w:r>
        <w:rPr>
          <w:sz w:val="32"/>
        </w:rPr>
        <w:t>Discussion on peak rate</w:t>
      </w:r>
    </w:p>
    <w:p w:rsidR="00CD7423" w:rsidRDefault="00CD7423" w:rsidP="00CD7423">
      <w:pPr>
        <w:jc w:val="both"/>
        <w:rPr>
          <w:lang w:val="en-GB"/>
        </w:rPr>
      </w:pPr>
      <w:r>
        <w:rPr>
          <w:lang w:val="en-GB"/>
        </w:rPr>
        <w:t xml:space="preserve">Peak rate can be derived based on peak TBS, which in itself may be based on the TBS determination procedure, which occurs in two step: estimated number of information bits calculation, followed by final TBS determination. </w:t>
      </w:r>
    </w:p>
    <w:p w:rsidR="00CD7423" w:rsidRPr="003473BA" w:rsidRDefault="00CD7423" w:rsidP="00CD7423">
      <w:pPr>
        <w:pStyle w:val="ListParagraph"/>
        <w:numPr>
          <w:ilvl w:val="0"/>
          <w:numId w:val="4"/>
        </w:numPr>
        <w:ind w:leftChars="0"/>
        <w:jc w:val="both"/>
      </w:pPr>
      <w:r w:rsidRPr="003473BA">
        <w:t xml:space="preserve">Estimated number of information bits calculation is shown in the following formula (form RAN1#90bis) : </w:t>
      </w:r>
    </w:p>
    <w:p w:rsidR="00CD7423" w:rsidRDefault="00CD7423" w:rsidP="00CD7423">
      <w:pPr>
        <w:jc w:val="center"/>
      </w:pPr>
      <w:r w:rsidRPr="00B55324">
        <w:rPr>
          <w:position w:val="-12"/>
        </w:rPr>
        <w:object w:dxaOrig="21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3pt;height:18.4pt" o:ole="">
            <v:imagedata r:id="rId7" o:title=""/>
          </v:shape>
          <o:OLEObject Type="Embed" ProgID="Equation.3" ShapeID="_x0000_i1025" DrawAspect="Content" ObjectID="_1572462158" r:id="rId8"/>
        </w:object>
      </w:r>
    </w:p>
    <w:p w:rsidR="00CD7423" w:rsidRPr="00284530" w:rsidRDefault="00CD7423" w:rsidP="00CD7423">
      <w:pPr>
        <w:pStyle w:val="ListParagraph"/>
        <w:numPr>
          <w:ilvl w:val="1"/>
          <w:numId w:val="3"/>
        </w:numPr>
        <w:ind w:leftChars="0"/>
        <w:contextualSpacing/>
      </w:pPr>
      <m:oMath>
        <m:r>
          <w:rPr>
            <w:rFonts w:ascii="Cambria Math" w:hAnsi="Cambria Math"/>
            <w:lang w:eastAsia="zh-CN"/>
          </w:rPr>
          <m:t>υ</m:t>
        </m:r>
      </m:oMath>
      <w:r w:rsidRPr="0015554B">
        <w:rPr>
          <w:lang w:eastAsia="zh-CN"/>
        </w:rPr>
        <w:t xml:space="preserve"> i</w:t>
      </w:r>
      <w:proofErr w:type="spellStart"/>
      <w:r w:rsidRPr="007C690E">
        <w:rPr>
          <w:lang w:eastAsia="zh-CN"/>
        </w:rPr>
        <w:t>s</w:t>
      </w:r>
      <w:proofErr w:type="spellEnd"/>
      <w:r w:rsidRPr="007C690E">
        <w:rPr>
          <w:lang w:eastAsia="zh-CN"/>
        </w:rPr>
        <w:t xml:space="preserve"> the number of layers, </w:t>
      </w:r>
    </w:p>
    <w:p w:rsidR="00CD7423" w:rsidRPr="00284530" w:rsidRDefault="000D30A6" w:rsidP="00CD7423">
      <w:pPr>
        <w:pStyle w:val="ListParagraph"/>
        <w:numPr>
          <w:ilvl w:val="1"/>
          <w:numId w:val="3"/>
        </w:numPr>
        <w:ind w:leftChars="0"/>
        <w:contextualSpacing/>
      </w:pPr>
      <m:oMath>
        <m:sSub>
          <m:sSubPr>
            <m:ctrlPr>
              <w:rPr>
                <w:rFonts w:ascii="Cambria Math" w:hAnsi="Cambria Math"/>
                <w:i/>
                <w:iCs/>
                <w:lang w:eastAsia="zh-CN"/>
              </w:rPr>
            </m:ctrlPr>
          </m:sSubPr>
          <m:e>
            <m:r>
              <w:rPr>
                <w:rFonts w:ascii="Cambria Math" w:hAnsi="Cambria Math"/>
                <w:lang w:eastAsia="zh-CN"/>
              </w:rPr>
              <m:t>Q</m:t>
            </m:r>
          </m:e>
          <m:sub>
            <m:r>
              <w:rPr>
                <w:rFonts w:ascii="Cambria Math" w:hAnsi="Cambria Math"/>
                <w:lang w:eastAsia="zh-CN"/>
              </w:rPr>
              <m:t>m</m:t>
            </m:r>
          </m:sub>
        </m:sSub>
      </m:oMath>
      <w:r w:rsidR="00CD7423" w:rsidRPr="007C690E">
        <w:rPr>
          <w:iCs/>
          <w:lang w:eastAsia="zh-CN"/>
        </w:rPr>
        <w:t xml:space="preserve"> is the modulation order, </w:t>
      </w:r>
      <w:r w:rsidR="00CD7423">
        <w:rPr>
          <w:lang w:eastAsia="zh-CN"/>
        </w:rPr>
        <w:t>obtained from the MCS index</w:t>
      </w:r>
    </w:p>
    <w:p w:rsidR="00CD7423" w:rsidRPr="00284530" w:rsidRDefault="00CD7423" w:rsidP="00CD7423">
      <w:pPr>
        <w:pStyle w:val="ListParagraph"/>
        <w:numPr>
          <w:ilvl w:val="1"/>
          <w:numId w:val="3"/>
        </w:numPr>
        <w:ind w:leftChars="0"/>
        <w:contextualSpacing/>
      </w:pPr>
      <m:oMath>
        <m:r>
          <w:rPr>
            <w:rFonts w:ascii="Cambria Math" w:hAnsi="Cambria Math"/>
            <w:lang w:eastAsia="zh-CN"/>
          </w:rPr>
          <m:t>R</m:t>
        </m:r>
      </m:oMath>
      <w:r>
        <w:rPr>
          <w:lang w:eastAsia="zh-CN"/>
        </w:rPr>
        <w:t xml:space="preserve"> is the code rate, obtained from the MCS index</w:t>
      </w:r>
    </w:p>
    <w:p w:rsidR="00CD7423" w:rsidRDefault="000D30A6" w:rsidP="00CD7423">
      <w:pPr>
        <w:pStyle w:val="ListParagraph"/>
        <w:numPr>
          <w:ilvl w:val="1"/>
          <w:numId w:val="3"/>
        </w:numPr>
        <w:ind w:leftChars="0"/>
        <w:contextualSpacing/>
      </w:pP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RE</m:t>
            </m:r>
          </m:sub>
          <m:sup/>
        </m:sSubSup>
      </m:oMath>
      <w:r w:rsidR="00CD7423" w:rsidRPr="007C690E">
        <w:rPr>
          <w:iCs/>
          <w:lang w:eastAsia="zh-CN"/>
        </w:rPr>
        <w:t xml:space="preserve"> is </w:t>
      </w:r>
      <w:r w:rsidR="00CD7423">
        <w:t>number of resource elements</w:t>
      </w:r>
    </w:p>
    <w:p w:rsidR="00CD7423" w:rsidRPr="00D922C8" w:rsidRDefault="000D30A6" w:rsidP="00CD7423">
      <w:pPr>
        <w:pStyle w:val="BodyText"/>
        <w:numPr>
          <w:ilvl w:val="1"/>
          <w:numId w:val="3"/>
        </w:numPr>
        <w:rPr>
          <w:szCs w:val="20"/>
        </w:rPr>
      </w:pP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RE</m:t>
            </m:r>
          </m:sub>
          <m:sup/>
        </m:sSubSup>
      </m:oMath>
      <w:r w:rsidR="00CD7423" w:rsidRPr="007C690E">
        <w:rPr>
          <w:iCs/>
          <w:lang w:eastAsia="zh-CN"/>
        </w:rPr>
        <w:t xml:space="preserve"> </w:t>
      </w:r>
      <w:r w:rsidR="00CD7423">
        <w:rPr>
          <w:szCs w:val="20"/>
        </w:rPr>
        <w:t>= Y * #</w:t>
      </w:r>
      <w:proofErr w:type="spellStart"/>
      <w:r w:rsidR="00CD7423">
        <w:rPr>
          <w:szCs w:val="20"/>
        </w:rPr>
        <w:t>PRBs_scheduled</w:t>
      </w:r>
      <w:proofErr w:type="spellEnd"/>
      <w:r w:rsidR="00CD7423">
        <w:rPr>
          <w:szCs w:val="20"/>
        </w:rPr>
        <w:t xml:space="preserve"> </w:t>
      </w:r>
    </w:p>
    <w:p w:rsidR="00CD7423" w:rsidRDefault="00CD7423" w:rsidP="00CD7423">
      <w:pPr>
        <w:pStyle w:val="ListParagraph"/>
        <w:numPr>
          <w:ilvl w:val="0"/>
          <w:numId w:val="3"/>
        </w:numPr>
        <w:ind w:leftChars="0"/>
        <w:jc w:val="both"/>
      </w:pPr>
      <w:r>
        <w:t xml:space="preserve">Final TBS determination </w:t>
      </w:r>
    </w:p>
    <w:p w:rsidR="00CD7423" w:rsidRDefault="00CD7423" w:rsidP="00CD7423">
      <w:pPr>
        <w:pStyle w:val="ListParagraph"/>
        <w:numPr>
          <w:ilvl w:val="1"/>
          <w:numId w:val="3"/>
        </w:numPr>
        <w:ind w:leftChars="0"/>
        <w:jc w:val="both"/>
      </w:pPr>
      <w:r>
        <w:lastRenderedPageBreak/>
        <w:t>This estimated value (</w:t>
      </w:r>
      <w:proofErr w:type="spellStart"/>
      <w:r>
        <w:t>I</w:t>
      </w:r>
      <w:r w:rsidRPr="003473BA">
        <w:rPr>
          <w:vertAlign w:val="subscript"/>
        </w:rPr>
        <w:t>est</w:t>
      </w:r>
      <w:proofErr w:type="spellEnd"/>
      <w:r>
        <w:t xml:space="preserve">) is further adjusted to obtain the final TBS, which are described below. The number of code blocks would be given by </w:t>
      </w:r>
      <w:r w:rsidRPr="00B63C53">
        <w:rPr>
          <w:position w:val="-28"/>
        </w:rPr>
        <w:object w:dxaOrig="1200" w:dyaOrig="680">
          <v:shape id="_x0000_i1026" type="#_x0000_t75" style="width:41pt;height:23.45pt" o:ole="">
            <v:imagedata r:id="rId9" o:title=""/>
          </v:shape>
          <o:OLEObject Type="Embed" ProgID="Equation.3" ShapeID="_x0000_i1026" DrawAspect="Content" ObjectID="_1572462159" r:id="rId10"/>
        </w:object>
      </w:r>
      <w:r>
        <w:t>, and with byte alignment the total transport block size together with all CRC (code block and transport block) included will be given by :</w:t>
      </w:r>
    </w:p>
    <w:p w:rsidR="00CD7423" w:rsidRDefault="00CD7423" w:rsidP="00CD7423">
      <w:pPr>
        <w:pStyle w:val="ListParagraph"/>
        <w:ind w:leftChars="0" w:left="1440" w:firstLine="0"/>
        <w:jc w:val="center"/>
      </w:pPr>
      <w:r w:rsidRPr="00E82F03">
        <w:rPr>
          <w:position w:val="-28"/>
        </w:rPr>
        <w:object w:dxaOrig="3240" w:dyaOrig="680">
          <v:shape id="_x0000_i1027" type="#_x0000_t75" style="width:109.65pt;height:23.45pt" o:ole="">
            <v:imagedata r:id="rId11" o:title=""/>
          </v:shape>
          <o:OLEObject Type="Embed" ProgID="Equation.3" ShapeID="_x0000_i1027" DrawAspect="Content" ObjectID="_1572462160" r:id="rId12"/>
        </w:object>
      </w:r>
      <w:r>
        <w:t>.</w:t>
      </w:r>
    </w:p>
    <w:p w:rsidR="00CD7423" w:rsidRDefault="00CD7423" w:rsidP="00CD7423">
      <w:pPr>
        <w:pStyle w:val="ListParagraph"/>
        <w:numPr>
          <w:ilvl w:val="1"/>
          <w:numId w:val="3"/>
        </w:numPr>
        <w:ind w:leftChars="0"/>
        <w:jc w:val="both"/>
      </w:pPr>
      <w:r>
        <w:t>Note that in this case we are assuming the peak TBS corresponds to the case where there is more than 1 code block and for LDPC base graph 1.</w:t>
      </w:r>
    </w:p>
    <w:p w:rsidR="00CD7423" w:rsidRDefault="00CD7423" w:rsidP="00CD7423">
      <w:pPr>
        <w:jc w:val="both"/>
        <w:rPr>
          <w:b/>
          <w:u w:val="single"/>
        </w:rPr>
      </w:pPr>
    </w:p>
    <w:p w:rsidR="00CD7423" w:rsidRPr="003473BA" w:rsidRDefault="00CD7423" w:rsidP="00CD7423">
      <w:pPr>
        <w:jc w:val="both"/>
        <w:rPr>
          <w:b/>
          <w:u w:val="single"/>
        </w:rPr>
      </w:pPr>
      <w:r w:rsidRPr="003473BA">
        <w:rPr>
          <w:b/>
          <w:u w:val="single"/>
        </w:rPr>
        <w:t>Peak data ra</w:t>
      </w:r>
      <w:r>
        <w:rPr>
          <w:b/>
          <w:u w:val="single"/>
        </w:rPr>
        <w:t>te based on detailed assumptions including max PRBs</w:t>
      </w:r>
    </w:p>
    <w:p w:rsidR="00CD7423" w:rsidRDefault="00CD7423" w:rsidP="00CD7423">
      <w:pPr>
        <w:jc w:val="both"/>
      </w:pPr>
      <w:r>
        <w:t xml:space="preserve">Peak data rate can be derived from peak TBS for a given configuration (CC BW, SCS, modulation, rate). The maximum </w:t>
      </w:r>
      <w:proofErr w:type="spellStart"/>
      <w:r>
        <w:t>allocable</w:t>
      </w:r>
      <w:proofErr w:type="spellEnd"/>
      <w:r>
        <w:t xml:space="preserve"> values for each of the parameters are to be determined based on signaled configuration parameters from BPC and band/band combination signaling (such as modulation order, maximum PRBs scheduled, number of layers) and assumptions on the control/DMRS overhead (i.e. to obtain </w:t>
      </w:r>
      <w:proofErr w:type="spellStart"/>
      <w:r>
        <w:t>Ymax</w:t>
      </w:r>
      <w:proofErr w:type="spellEnd"/>
      <w:r>
        <w:t xml:space="preserve">) and maximum rate supported at the modulation order (reflected in rate R). </w:t>
      </w:r>
    </w:p>
    <w:p w:rsidR="00CD7423" w:rsidRDefault="00CD7423" w:rsidP="00CD7423">
      <w:pPr>
        <w:jc w:val="both"/>
      </w:pPr>
      <w:r>
        <w:t>For Type 1 DMRS, the following table shows the possible value for Y (number of REs per PRB).</w:t>
      </w:r>
    </w:p>
    <w:tbl>
      <w:tblPr>
        <w:tblpPr w:leftFromText="180" w:rightFromText="180" w:vertAnchor="text" w:horzAnchor="page" w:tblpX="2117" w:tblpY="215"/>
        <w:tblW w:w="6120" w:type="dxa"/>
        <w:tblLook w:val="04A0" w:firstRow="1" w:lastRow="0" w:firstColumn="1" w:lastColumn="0" w:noHBand="0" w:noVBand="1"/>
      </w:tblPr>
      <w:tblGrid>
        <w:gridCol w:w="2887"/>
        <w:gridCol w:w="696"/>
        <w:gridCol w:w="934"/>
        <w:gridCol w:w="934"/>
        <w:gridCol w:w="669"/>
      </w:tblGrid>
      <w:tr w:rsidR="00CD7423" w:rsidRPr="00F1345A" w:rsidTr="000322A3">
        <w:trPr>
          <w:trHeight w:val="275"/>
        </w:trPr>
        <w:tc>
          <w:tcPr>
            <w:tcW w:w="28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7423" w:rsidRPr="00F1345A" w:rsidRDefault="00CD7423" w:rsidP="000322A3">
            <w:pPr>
              <w:overflowPunct/>
              <w:autoSpaceDE/>
              <w:autoSpaceDN/>
              <w:adjustRightInd/>
              <w:spacing w:after="0"/>
              <w:textAlignment w:val="auto"/>
              <w:rPr>
                <w:rFonts w:eastAsia="Times New Roman"/>
                <w:color w:val="000000"/>
              </w:rPr>
            </w:pPr>
            <w:r w:rsidRPr="00F1345A">
              <w:rPr>
                <w:rFonts w:eastAsia="Times New Roman"/>
                <w:color w:val="000000"/>
              </w:rPr>
              <w:t>Layers</w:t>
            </w:r>
          </w:p>
        </w:tc>
        <w:tc>
          <w:tcPr>
            <w:tcW w:w="696" w:type="dxa"/>
            <w:tcBorders>
              <w:top w:val="single" w:sz="4" w:space="0" w:color="auto"/>
              <w:left w:val="nil"/>
              <w:bottom w:val="single" w:sz="4" w:space="0" w:color="auto"/>
              <w:right w:val="single" w:sz="4" w:space="0" w:color="auto"/>
            </w:tcBorders>
            <w:shd w:val="clear" w:color="auto" w:fill="auto"/>
            <w:noWrap/>
            <w:vAlign w:val="bottom"/>
            <w:hideMark/>
          </w:tcPr>
          <w:p w:rsidR="00CD7423" w:rsidRPr="00F1345A" w:rsidRDefault="00CD7423" w:rsidP="000322A3">
            <w:pPr>
              <w:overflowPunct/>
              <w:autoSpaceDE/>
              <w:autoSpaceDN/>
              <w:adjustRightInd/>
              <w:spacing w:after="0"/>
              <w:jc w:val="right"/>
              <w:textAlignment w:val="auto"/>
              <w:rPr>
                <w:rFonts w:eastAsia="Times New Roman"/>
                <w:color w:val="000000"/>
              </w:rPr>
            </w:pPr>
            <w:r w:rsidRPr="00F1345A">
              <w:rPr>
                <w:rFonts w:eastAsia="Times New Roman"/>
                <w:color w:val="000000"/>
              </w:rPr>
              <w:t>1</w:t>
            </w:r>
          </w:p>
        </w:tc>
        <w:tc>
          <w:tcPr>
            <w:tcW w:w="934" w:type="dxa"/>
            <w:tcBorders>
              <w:top w:val="single" w:sz="4" w:space="0" w:color="auto"/>
              <w:left w:val="nil"/>
              <w:bottom w:val="single" w:sz="4" w:space="0" w:color="auto"/>
              <w:right w:val="single" w:sz="4" w:space="0" w:color="auto"/>
            </w:tcBorders>
            <w:shd w:val="clear" w:color="auto" w:fill="auto"/>
            <w:noWrap/>
            <w:vAlign w:val="bottom"/>
            <w:hideMark/>
          </w:tcPr>
          <w:p w:rsidR="00CD7423" w:rsidRPr="00F1345A" w:rsidRDefault="00CD7423" w:rsidP="000322A3">
            <w:pPr>
              <w:overflowPunct/>
              <w:autoSpaceDE/>
              <w:autoSpaceDN/>
              <w:adjustRightInd/>
              <w:spacing w:after="0"/>
              <w:jc w:val="right"/>
              <w:textAlignment w:val="auto"/>
              <w:rPr>
                <w:rFonts w:eastAsia="Times New Roman"/>
                <w:color w:val="000000"/>
              </w:rPr>
            </w:pPr>
            <w:r w:rsidRPr="00F1345A">
              <w:rPr>
                <w:rFonts w:eastAsia="Times New Roman"/>
                <w:color w:val="000000"/>
              </w:rPr>
              <w:t>2</w:t>
            </w:r>
          </w:p>
        </w:tc>
        <w:tc>
          <w:tcPr>
            <w:tcW w:w="934" w:type="dxa"/>
            <w:tcBorders>
              <w:top w:val="single" w:sz="4" w:space="0" w:color="auto"/>
              <w:left w:val="nil"/>
              <w:bottom w:val="single" w:sz="4" w:space="0" w:color="auto"/>
              <w:right w:val="single" w:sz="4" w:space="0" w:color="auto"/>
            </w:tcBorders>
            <w:shd w:val="clear" w:color="auto" w:fill="auto"/>
            <w:noWrap/>
            <w:vAlign w:val="bottom"/>
            <w:hideMark/>
          </w:tcPr>
          <w:p w:rsidR="00CD7423" w:rsidRPr="00F1345A" w:rsidRDefault="00CD7423" w:rsidP="000322A3">
            <w:pPr>
              <w:overflowPunct/>
              <w:autoSpaceDE/>
              <w:autoSpaceDN/>
              <w:adjustRightInd/>
              <w:spacing w:after="0"/>
              <w:jc w:val="right"/>
              <w:textAlignment w:val="auto"/>
              <w:rPr>
                <w:rFonts w:eastAsia="Times New Roman"/>
                <w:color w:val="000000"/>
              </w:rPr>
            </w:pPr>
            <w:r w:rsidRPr="00F1345A">
              <w:rPr>
                <w:rFonts w:eastAsia="Times New Roman"/>
                <w:color w:val="000000"/>
              </w:rPr>
              <w:t>4</w:t>
            </w:r>
          </w:p>
        </w:tc>
        <w:tc>
          <w:tcPr>
            <w:tcW w:w="669" w:type="dxa"/>
            <w:tcBorders>
              <w:top w:val="single" w:sz="4" w:space="0" w:color="auto"/>
              <w:left w:val="nil"/>
              <w:bottom w:val="single" w:sz="4" w:space="0" w:color="auto"/>
              <w:right w:val="single" w:sz="4" w:space="0" w:color="auto"/>
            </w:tcBorders>
            <w:shd w:val="clear" w:color="auto" w:fill="auto"/>
            <w:noWrap/>
            <w:vAlign w:val="bottom"/>
            <w:hideMark/>
          </w:tcPr>
          <w:p w:rsidR="00CD7423" w:rsidRPr="00F1345A" w:rsidRDefault="00CD7423" w:rsidP="000322A3">
            <w:pPr>
              <w:overflowPunct/>
              <w:autoSpaceDE/>
              <w:autoSpaceDN/>
              <w:adjustRightInd/>
              <w:spacing w:after="0"/>
              <w:jc w:val="right"/>
              <w:textAlignment w:val="auto"/>
              <w:rPr>
                <w:rFonts w:eastAsia="Times New Roman"/>
                <w:color w:val="000000"/>
              </w:rPr>
            </w:pPr>
            <w:r w:rsidRPr="00F1345A">
              <w:rPr>
                <w:rFonts w:eastAsia="Times New Roman"/>
                <w:color w:val="000000"/>
              </w:rPr>
              <w:t>8</w:t>
            </w:r>
          </w:p>
        </w:tc>
      </w:tr>
      <w:tr w:rsidR="00CD7423" w:rsidRPr="00F1345A" w:rsidTr="000322A3">
        <w:trPr>
          <w:trHeight w:val="275"/>
        </w:trPr>
        <w:tc>
          <w:tcPr>
            <w:tcW w:w="2887" w:type="dxa"/>
            <w:tcBorders>
              <w:top w:val="nil"/>
              <w:left w:val="single" w:sz="4" w:space="0" w:color="auto"/>
              <w:bottom w:val="single" w:sz="4" w:space="0" w:color="auto"/>
              <w:right w:val="single" w:sz="4" w:space="0" w:color="auto"/>
            </w:tcBorders>
            <w:shd w:val="clear" w:color="auto" w:fill="auto"/>
            <w:noWrap/>
            <w:vAlign w:val="bottom"/>
            <w:hideMark/>
          </w:tcPr>
          <w:p w:rsidR="00CD7423" w:rsidRPr="00F1345A" w:rsidRDefault="00CD7423" w:rsidP="000322A3">
            <w:pPr>
              <w:overflowPunct/>
              <w:autoSpaceDE/>
              <w:autoSpaceDN/>
              <w:adjustRightInd/>
              <w:spacing w:after="0"/>
              <w:textAlignment w:val="auto"/>
              <w:rPr>
                <w:rFonts w:eastAsia="Times New Roman"/>
                <w:color w:val="000000"/>
              </w:rPr>
            </w:pPr>
            <w:r w:rsidRPr="00F1345A">
              <w:rPr>
                <w:rFonts w:eastAsia="Times New Roman"/>
                <w:color w:val="000000"/>
              </w:rPr>
              <w:t>DMRS overhead per  PRB</w:t>
            </w:r>
          </w:p>
        </w:tc>
        <w:tc>
          <w:tcPr>
            <w:tcW w:w="696" w:type="dxa"/>
            <w:tcBorders>
              <w:top w:val="nil"/>
              <w:left w:val="nil"/>
              <w:bottom w:val="single" w:sz="4" w:space="0" w:color="auto"/>
              <w:right w:val="single" w:sz="4" w:space="0" w:color="auto"/>
            </w:tcBorders>
            <w:shd w:val="clear" w:color="auto" w:fill="auto"/>
            <w:noWrap/>
            <w:vAlign w:val="bottom"/>
            <w:hideMark/>
          </w:tcPr>
          <w:p w:rsidR="00CD7423" w:rsidRPr="00F1345A" w:rsidRDefault="00CD7423" w:rsidP="000322A3">
            <w:pPr>
              <w:overflowPunct/>
              <w:autoSpaceDE/>
              <w:autoSpaceDN/>
              <w:adjustRightInd/>
              <w:spacing w:after="0"/>
              <w:jc w:val="right"/>
              <w:textAlignment w:val="auto"/>
              <w:rPr>
                <w:rFonts w:eastAsia="Times New Roman"/>
                <w:color w:val="000000"/>
              </w:rPr>
            </w:pPr>
            <w:r w:rsidRPr="00F1345A">
              <w:rPr>
                <w:rFonts w:eastAsia="Times New Roman"/>
                <w:color w:val="000000"/>
              </w:rPr>
              <w:t>6</w:t>
            </w:r>
          </w:p>
        </w:tc>
        <w:tc>
          <w:tcPr>
            <w:tcW w:w="934" w:type="dxa"/>
            <w:tcBorders>
              <w:top w:val="nil"/>
              <w:left w:val="nil"/>
              <w:bottom w:val="single" w:sz="4" w:space="0" w:color="auto"/>
              <w:right w:val="single" w:sz="4" w:space="0" w:color="auto"/>
            </w:tcBorders>
            <w:shd w:val="clear" w:color="auto" w:fill="auto"/>
            <w:noWrap/>
            <w:vAlign w:val="bottom"/>
            <w:hideMark/>
          </w:tcPr>
          <w:p w:rsidR="00CD7423" w:rsidRPr="00F1345A" w:rsidRDefault="00CD7423" w:rsidP="000322A3">
            <w:pPr>
              <w:overflowPunct/>
              <w:autoSpaceDE/>
              <w:autoSpaceDN/>
              <w:adjustRightInd/>
              <w:spacing w:after="0"/>
              <w:jc w:val="right"/>
              <w:textAlignment w:val="auto"/>
              <w:rPr>
                <w:rFonts w:eastAsia="Times New Roman"/>
                <w:color w:val="000000"/>
              </w:rPr>
            </w:pPr>
            <w:r w:rsidRPr="00F1345A">
              <w:rPr>
                <w:rFonts w:eastAsia="Times New Roman"/>
                <w:color w:val="000000"/>
              </w:rPr>
              <w:t>6</w:t>
            </w:r>
          </w:p>
        </w:tc>
        <w:tc>
          <w:tcPr>
            <w:tcW w:w="934" w:type="dxa"/>
            <w:tcBorders>
              <w:top w:val="nil"/>
              <w:left w:val="nil"/>
              <w:bottom w:val="single" w:sz="4" w:space="0" w:color="auto"/>
              <w:right w:val="single" w:sz="4" w:space="0" w:color="auto"/>
            </w:tcBorders>
            <w:shd w:val="clear" w:color="auto" w:fill="auto"/>
            <w:noWrap/>
            <w:vAlign w:val="bottom"/>
            <w:hideMark/>
          </w:tcPr>
          <w:p w:rsidR="00CD7423" w:rsidRPr="00F1345A" w:rsidRDefault="00CD7423" w:rsidP="000322A3">
            <w:pPr>
              <w:overflowPunct/>
              <w:autoSpaceDE/>
              <w:autoSpaceDN/>
              <w:adjustRightInd/>
              <w:spacing w:after="0"/>
              <w:jc w:val="right"/>
              <w:textAlignment w:val="auto"/>
              <w:rPr>
                <w:rFonts w:eastAsia="Times New Roman"/>
                <w:color w:val="000000"/>
              </w:rPr>
            </w:pPr>
            <w:r w:rsidRPr="00F1345A">
              <w:rPr>
                <w:rFonts w:eastAsia="Times New Roman"/>
                <w:color w:val="000000"/>
              </w:rPr>
              <w:t>12</w:t>
            </w:r>
          </w:p>
        </w:tc>
        <w:tc>
          <w:tcPr>
            <w:tcW w:w="669" w:type="dxa"/>
            <w:tcBorders>
              <w:top w:val="nil"/>
              <w:left w:val="nil"/>
              <w:bottom w:val="single" w:sz="4" w:space="0" w:color="auto"/>
              <w:right w:val="single" w:sz="4" w:space="0" w:color="auto"/>
            </w:tcBorders>
            <w:shd w:val="clear" w:color="auto" w:fill="auto"/>
            <w:noWrap/>
            <w:vAlign w:val="bottom"/>
            <w:hideMark/>
          </w:tcPr>
          <w:p w:rsidR="00CD7423" w:rsidRPr="00F1345A" w:rsidRDefault="00CD7423" w:rsidP="000322A3">
            <w:pPr>
              <w:overflowPunct/>
              <w:autoSpaceDE/>
              <w:autoSpaceDN/>
              <w:adjustRightInd/>
              <w:spacing w:after="0"/>
              <w:jc w:val="right"/>
              <w:textAlignment w:val="auto"/>
              <w:rPr>
                <w:rFonts w:eastAsia="Times New Roman"/>
                <w:color w:val="000000"/>
              </w:rPr>
            </w:pPr>
            <w:r w:rsidRPr="00F1345A">
              <w:rPr>
                <w:rFonts w:eastAsia="Times New Roman"/>
                <w:color w:val="000000"/>
              </w:rPr>
              <w:t>24</w:t>
            </w:r>
          </w:p>
        </w:tc>
      </w:tr>
      <w:tr w:rsidR="00CD7423" w:rsidRPr="00F1345A" w:rsidTr="000322A3">
        <w:trPr>
          <w:trHeight w:val="234"/>
        </w:trPr>
        <w:tc>
          <w:tcPr>
            <w:tcW w:w="2887" w:type="dxa"/>
            <w:tcBorders>
              <w:top w:val="nil"/>
              <w:left w:val="single" w:sz="4" w:space="0" w:color="auto"/>
              <w:bottom w:val="single" w:sz="4" w:space="0" w:color="auto"/>
              <w:right w:val="single" w:sz="4" w:space="0" w:color="auto"/>
            </w:tcBorders>
            <w:shd w:val="clear" w:color="auto" w:fill="auto"/>
            <w:vAlign w:val="bottom"/>
            <w:hideMark/>
          </w:tcPr>
          <w:p w:rsidR="00CD7423" w:rsidRPr="00F1345A" w:rsidRDefault="00CD7423" w:rsidP="000322A3">
            <w:pPr>
              <w:overflowPunct/>
              <w:autoSpaceDE/>
              <w:autoSpaceDN/>
              <w:adjustRightInd/>
              <w:spacing w:after="0"/>
              <w:textAlignment w:val="auto"/>
              <w:rPr>
                <w:rFonts w:eastAsia="Times New Roman"/>
                <w:color w:val="000000"/>
              </w:rPr>
            </w:pPr>
            <w:r w:rsidRPr="00F1345A">
              <w:rPr>
                <w:rFonts w:eastAsia="Times New Roman"/>
                <w:color w:val="000000"/>
              </w:rPr>
              <w:t xml:space="preserve">PDSCH </w:t>
            </w:r>
            <w:r>
              <w:rPr>
                <w:rFonts w:eastAsia="Times New Roman"/>
                <w:color w:val="000000"/>
              </w:rPr>
              <w:t>occupies</w:t>
            </w:r>
            <w:r w:rsidRPr="00F1345A">
              <w:rPr>
                <w:rFonts w:eastAsia="Times New Roman"/>
                <w:color w:val="000000"/>
              </w:rPr>
              <w:t xml:space="preserve"> </w:t>
            </w:r>
            <w:r>
              <w:rPr>
                <w:rFonts w:eastAsia="Times New Roman"/>
                <w:color w:val="000000"/>
              </w:rPr>
              <w:t>l</w:t>
            </w:r>
            <w:r w:rsidRPr="00F1345A">
              <w:rPr>
                <w:rFonts w:eastAsia="Times New Roman"/>
                <w:color w:val="000000"/>
              </w:rPr>
              <w:t>=14</w:t>
            </w:r>
            <w:r>
              <w:rPr>
                <w:rFonts w:eastAsia="Times New Roman"/>
                <w:color w:val="000000"/>
              </w:rPr>
              <w:t xml:space="preserve"> symbols</w:t>
            </w:r>
          </w:p>
        </w:tc>
        <w:tc>
          <w:tcPr>
            <w:tcW w:w="696" w:type="dxa"/>
            <w:tcBorders>
              <w:top w:val="nil"/>
              <w:left w:val="nil"/>
              <w:bottom w:val="single" w:sz="4" w:space="0" w:color="auto"/>
              <w:right w:val="single" w:sz="4" w:space="0" w:color="auto"/>
            </w:tcBorders>
            <w:shd w:val="clear" w:color="auto" w:fill="auto"/>
            <w:noWrap/>
            <w:vAlign w:val="bottom"/>
            <w:hideMark/>
          </w:tcPr>
          <w:p w:rsidR="00CD7423" w:rsidRPr="00F1345A" w:rsidRDefault="00CD7423" w:rsidP="000322A3">
            <w:pPr>
              <w:overflowPunct/>
              <w:autoSpaceDE/>
              <w:autoSpaceDN/>
              <w:adjustRightInd/>
              <w:spacing w:after="0"/>
              <w:jc w:val="right"/>
              <w:textAlignment w:val="auto"/>
              <w:rPr>
                <w:rFonts w:eastAsia="Times New Roman"/>
                <w:color w:val="000000"/>
              </w:rPr>
            </w:pPr>
            <w:r w:rsidRPr="00F1345A">
              <w:rPr>
                <w:rFonts w:eastAsia="Times New Roman"/>
                <w:color w:val="000000"/>
              </w:rPr>
              <w:t>162</w:t>
            </w:r>
          </w:p>
        </w:tc>
        <w:tc>
          <w:tcPr>
            <w:tcW w:w="934" w:type="dxa"/>
            <w:tcBorders>
              <w:top w:val="nil"/>
              <w:left w:val="nil"/>
              <w:bottom w:val="single" w:sz="4" w:space="0" w:color="auto"/>
              <w:right w:val="single" w:sz="4" w:space="0" w:color="auto"/>
            </w:tcBorders>
            <w:shd w:val="clear" w:color="auto" w:fill="auto"/>
            <w:noWrap/>
            <w:vAlign w:val="bottom"/>
            <w:hideMark/>
          </w:tcPr>
          <w:p w:rsidR="00CD7423" w:rsidRPr="00F1345A" w:rsidRDefault="00CD7423" w:rsidP="000322A3">
            <w:pPr>
              <w:overflowPunct/>
              <w:autoSpaceDE/>
              <w:autoSpaceDN/>
              <w:adjustRightInd/>
              <w:spacing w:after="0"/>
              <w:jc w:val="right"/>
              <w:textAlignment w:val="auto"/>
              <w:rPr>
                <w:rFonts w:eastAsia="Times New Roman"/>
                <w:color w:val="000000"/>
              </w:rPr>
            </w:pPr>
            <w:r w:rsidRPr="00F1345A">
              <w:rPr>
                <w:rFonts w:eastAsia="Times New Roman"/>
                <w:color w:val="000000"/>
              </w:rPr>
              <w:t>162</w:t>
            </w:r>
          </w:p>
        </w:tc>
        <w:tc>
          <w:tcPr>
            <w:tcW w:w="934" w:type="dxa"/>
            <w:tcBorders>
              <w:top w:val="nil"/>
              <w:left w:val="nil"/>
              <w:bottom w:val="single" w:sz="4" w:space="0" w:color="auto"/>
              <w:right w:val="single" w:sz="4" w:space="0" w:color="auto"/>
            </w:tcBorders>
            <w:shd w:val="clear" w:color="auto" w:fill="auto"/>
            <w:noWrap/>
            <w:vAlign w:val="bottom"/>
            <w:hideMark/>
          </w:tcPr>
          <w:p w:rsidR="00CD7423" w:rsidRPr="00F1345A" w:rsidRDefault="00CD7423" w:rsidP="000322A3">
            <w:pPr>
              <w:overflowPunct/>
              <w:autoSpaceDE/>
              <w:autoSpaceDN/>
              <w:adjustRightInd/>
              <w:spacing w:after="0"/>
              <w:jc w:val="right"/>
              <w:textAlignment w:val="auto"/>
              <w:rPr>
                <w:rFonts w:eastAsia="Times New Roman"/>
                <w:color w:val="000000"/>
              </w:rPr>
            </w:pPr>
            <w:r w:rsidRPr="005102C5">
              <w:rPr>
                <w:rFonts w:eastAsia="Times New Roman"/>
                <w:color w:val="000000"/>
              </w:rPr>
              <w:t>156</w:t>
            </w:r>
          </w:p>
        </w:tc>
        <w:tc>
          <w:tcPr>
            <w:tcW w:w="669" w:type="dxa"/>
            <w:tcBorders>
              <w:top w:val="nil"/>
              <w:left w:val="nil"/>
              <w:bottom w:val="single" w:sz="4" w:space="0" w:color="auto"/>
              <w:right w:val="single" w:sz="4" w:space="0" w:color="auto"/>
            </w:tcBorders>
            <w:shd w:val="clear" w:color="auto" w:fill="auto"/>
            <w:noWrap/>
            <w:vAlign w:val="bottom"/>
            <w:hideMark/>
          </w:tcPr>
          <w:p w:rsidR="00CD7423" w:rsidRPr="00F1345A" w:rsidRDefault="00CD7423" w:rsidP="000322A3">
            <w:pPr>
              <w:overflowPunct/>
              <w:autoSpaceDE/>
              <w:autoSpaceDN/>
              <w:adjustRightInd/>
              <w:spacing w:after="0"/>
              <w:jc w:val="right"/>
              <w:textAlignment w:val="auto"/>
              <w:rPr>
                <w:rFonts w:eastAsia="Times New Roman"/>
                <w:color w:val="000000"/>
              </w:rPr>
            </w:pPr>
            <w:r w:rsidRPr="00F1345A">
              <w:rPr>
                <w:rFonts w:eastAsia="Times New Roman"/>
                <w:color w:val="000000"/>
              </w:rPr>
              <w:t>144</w:t>
            </w:r>
          </w:p>
        </w:tc>
      </w:tr>
      <w:tr w:rsidR="00CD7423" w:rsidRPr="00F1345A" w:rsidTr="000322A3">
        <w:trPr>
          <w:trHeight w:val="234"/>
        </w:trPr>
        <w:tc>
          <w:tcPr>
            <w:tcW w:w="2887" w:type="dxa"/>
            <w:tcBorders>
              <w:top w:val="nil"/>
              <w:left w:val="single" w:sz="4" w:space="0" w:color="auto"/>
              <w:bottom w:val="single" w:sz="4" w:space="0" w:color="auto"/>
              <w:right w:val="single" w:sz="4" w:space="0" w:color="auto"/>
            </w:tcBorders>
            <w:shd w:val="clear" w:color="auto" w:fill="auto"/>
            <w:vAlign w:val="bottom"/>
            <w:hideMark/>
          </w:tcPr>
          <w:p w:rsidR="00CD7423" w:rsidRPr="00F1345A" w:rsidRDefault="00CD7423" w:rsidP="000322A3">
            <w:pPr>
              <w:overflowPunct/>
              <w:autoSpaceDE/>
              <w:autoSpaceDN/>
              <w:adjustRightInd/>
              <w:spacing w:after="0"/>
              <w:textAlignment w:val="auto"/>
              <w:rPr>
                <w:rFonts w:eastAsia="Times New Roman"/>
                <w:color w:val="000000"/>
              </w:rPr>
            </w:pPr>
            <w:r w:rsidRPr="00F1345A">
              <w:rPr>
                <w:rFonts w:eastAsia="Times New Roman"/>
                <w:color w:val="000000"/>
              </w:rPr>
              <w:t xml:space="preserve">PDSCH </w:t>
            </w:r>
            <w:r>
              <w:rPr>
                <w:rFonts w:eastAsia="Times New Roman"/>
                <w:color w:val="000000"/>
              </w:rPr>
              <w:t>occupies</w:t>
            </w:r>
            <w:r w:rsidRPr="00F1345A">
              <w:rPr>
                <w:rFonts w:eastAsia="Times New Roman"/>
                <w:color w:val="000000"/>
              </w:rPr>
              <w:t xml:space="preserve"> </w:t>
            </w:r>
            <w:r>
              <w:rPr>
                <w:rFonts w:eastAsia="Times New Roman"/>
                <w:color w:val="000000"/>
              </w:rPr>
              <w:t>l</w:t>
            </w:r>
            <w:r w:rsidRPr="00F1345A">
              <w:rPr>
                <w:rFonts w:eastAsia="Times New Roman"/>
                <w:color w:val="000000"/>
              </w:rPr>
              <w:t>=1</w:t>
            </w:r>
            <w:r>
              <w:rPr>
                <w:rFonts w:eastAsia="Times New Roman"/>
                <w:color w:val="000000"/>
              </w:rPr>
              <w:t>3 symbols</w:t>
            </w:r>
          </w:p>
        </w:tc>
        <w:tc>
          <w:tcPr>
            <w:tcW w:w="696" w:type="dxa"/>
            <w:tcBorders>
              <w:top w:val="nil"/>
              <w:left w:val="nil"/>
              <w:bottom w:val="single" w:sz="4" w:space="0" w:color="auto"/>
              <w:right w:val="single" w:sz="4" w:space="0" w:color="auto"/>
            </w:tcBorders>
            <w:shd w:val="clear" w:color="auto" w:fill="auto"/>
            <w:noWrap/>
            <w:vAlign w:val="bottom"/>
            <w:hideMark/>
          </w:tcPr>
          <w:p w:rsidR="00CD7423" w:rsidRPr="00F1345A" w:rsidRDefault="00CD7423" w:rsidP="000322A3">
            <w:pPr>
              <w:overflowPunct/>
              <w:autoSpaceDE/>
              <w:autoSpaceDN/>
              <w:adjustRightInd/>
              <w:spacing w:after="0"/>
              <w:jc w:val="right"/>
              <w:textAlignment w:val="auto"/>
              <w:rPr>
                <w:rFonts w:eastAsia="Times New Roman"/>
                <w:color w:val="000000"/>
              </w:rPr>
            </w:pPr>
            <w:r w:rsidRPr="00F1345A">
              <w:rPr>
                <w:rFonts w:eastAsia="Times New Roman"/>
                <w:color w:val="000000"/>
              </w:rPr>
              <w:t>150</w:t>
            </w:r>
          </w:p>
        </w:tc>
        <w:tc>
          <w:tcPr>
            <w:tcW w:w="934" w:type="dxa"/>
            <w:tcBorders>
              <w:top w:val="nil"/>
              <w:left w:val="nil"/>
              <w:bottom w:val="single" w:sz="4" w:space="0" w:color="auto"/>
              <w:right w:val="single" w:sz="4" w:space="0" w:color="auto"/>
            </w:tcBorders>
            <w:shd w:val="clear" w:color="auto" w:fill="auto"/>
            <w:noWrap/>
            <w:vAlign w:val="bottom"/>
            <w:hideMark/>
          </w:tcPr>
          <w:p w:rsidR="00CD7423" w:rsidRPr="00F1345A" w:rsidRDefault="00CD7423" w:rsidP="000322A3">
            <w:pPr>
              <w:overflowPunct/>
              <w:autoSpaceDE/>
              <w:autoSpaceDN/>
              <w:adjustRightInd/>
              <w:spacing w:after="0"/>
              <w:jc w:val="right"/>
              <w:textAlignment w:val="auto"/>
              <w:rPr>
                <w:rFonts w:eastAsia="Times New Roman"/>
                <w:color w:val="000000"/>
              </w:rPr>
            </w:pPr>
            <w:r w:rsidRPr="00F1345A">
              <w:rPr>
                <w:rFonts w:eastAsia="Times New Roman"/>
                <w:color w:val="000000"/>
              </w:rPr>
              <w:t>150</w:t>
            </w:r>
          </w:p>
        </w:tc>
        <w:tc>
          <w:tcPr>
            <w:tcW w:w="934" w:type="dxa"/>
            <w:tcBorders>
              <w:top w:val="nil"/>
              <w:left w:val="nil"/>
              <w:bottom w:val="single" w:sz="4" w:space="0" w:color="auto"/>
              <w:right w:val="single" w:sz="4" w:space="0" w:color="auto"/>
            </w:tcBorders>
            <w:shd w:val="clear" w:color="auto" w:fill="auto"/>
            <w:noWrap/>
            <w:vAlign w:val="bottom"/>
            <w:hideMark/>
          </w:tcPr>
          <w:p w:rsidR="00CD7423" w:rsidRPr="00F1345A" w:rsidRDefault="00CD7423" w:rsidP="000322A3">
            <w:pPr>
              <w:overflowPunct/>
              <w:autoSpaceDE/>
              <w:autoSpaceDN/>
              <w:adjustRightInd/>
              <w:spacing w:after="0"/>
              <w:jc w:val="right"/>
              <w:textAlignment w:val="auto"/>
              <w:rPr>
                <w:rFonts w:eastAsia="Times New Roman"/>
                <w:color w:val="000000"/>
              </w:rPr>
            </w:pPr>
            <w:r w:rsidRPr="005102C5">
              <w:rPr>
                <w:rFonts w:eastAsia="Times New Roman"/>
                <w:color w:val="000000"/>
                <w:highlight w:val="yellow"/>
              </w:rPr>
              <w:t>144</w:t>
            </w:r>
          </w:p>
        </w:tc>
        <w:tc>
          <w:tcPr>
            <w:tcW w:w="669" w:type="dxa"/>
            <w:tcBorders>
              <w:top w:val="nil"/>
              <w:left w:val="nil"/>
              <w:bottom w:val="single" w:sz="4" w:space="0" w:color="auto"/>
              <w:right w:val="single" w:sz="4" w:space="0" w:color="auto"/>
            </w:tcBorders>
            <w:shd w:val="clear" w:color="auto" w:fill="auto"/>
            <w:noWrap/>
            <w:vAlign w:val="bottom"/>
            <w:hideMark/>
          </w:tcPr>
          <w:p w:rsidR="00CD7423" w:rsidRPr="00F1345A" w:rsidRDefault="00CD7423" w:rsidP="000322A3">
            <w:pPr>
              <w:overflowPunct/>
              <w:autoSpaceDE/>
              <w:autoSpaceDN/>
              <w:adjustRightInd/>
              <w:spacing w:after="0"/>
              <w:jc w:val="right"/>
              <w:textAlignment w:val="auto"/>
              <w:rPr>
                <w:rFonts w:eastAsia="Times New Roman"/>
                <w:color w:val="000000"/>
              </w:rPr>
            </w:pPr>
            <w:r w:rsidRPr="00F1345A">
              <w:rPr>
                <w:rFonts w:eastAsia="Times New Roman"/>
                <w:color w:val="000000"/>
              </w:rPr>
              <w:t>132</w:t>
            </w:r>
          </w:p>
        </w:tc>
      </w:tr>
    </w:tbl>
    <w:p w:rsidR="00CD7423" w:rsidRDefault="00CD7423" w:rsidP="00CD7423">
      <w:pPr>
        <w:jc w:val="both"/>
      </w:pPr>
    </w:p>
    <w:p w:rsidR="00CD7423" w:rsidRDefault="00CD7423" w:rsidP="00CD7423">
      <w:pPr>
        <w:jc w:val="both"/>
      </w:pPr>
    </w:p>
    <w:p w:rsidR="00CD7423" w:rsidRDefault="00CD7423" w:rsidP="00CD7423">
      <w:pPr>
        <w:jc w:val="both"/>
      </w:pPr>
    </w:p>
    <w:p w:rsidR="00CD7423" w:rsidRDefault="00CD7423" w:rsidP="00CD7423">
      <w:pPr>
        <w:jc w:val="both"/>
      </w:pPr>
    </w:p>
    <w:p w:rsidR="00CD7423" w:rsidRDefault="00CD7423" w:rsidP="00CD7423">
      <w:pPr>
        <w:jc w:val="both"/>
      </w:pPr>
      <w:r>
        <w:t xml:space="preserve">Based on the above it seems one single number may not be the best choice, especially if the peak data rate is to be accurately captured in the spec. But, 144 seems a reasonable number to assume for </w:t>
      </w:r>
      <w:proofErr w:type="spellStart"/>
      <w:r>
        <w:t>Ymax</w:t>
      </w:r>
      <w:proofErr w:type="spellEnd"/>
      <w:r>
        <w:t>.</w:t>
      </w:r>
    </w:p>
    <w:p w:rsidR="00CD7423" w:rsidRDefault="00CD7423" w:rsidP="00CD7423">
      <w:pPr>
        <w:jc w:val="both"/>
      </w:pPr>
      <w:r>
        <w:t xml:space="preserve">Then, the maximum code rate could be </w:t>
      </w:r>
      <w:proofErr w:type="spellStart"/>
      <w:r>
        <w:t>Rmax</w:t>
      </w:r>
      <w:proofErr w:type="spellEnd"/>
      <w:r>
        <w:t xml:space="preserve"> = 0.935, slightly better than LTE max SE (or LTE’s skip decoding threshold)</w:t>
      </w:r>
    </w:p>
    <w:p w:rsidR="00CD7423" w:rsidRDefault="00CD7423" w:rsidP="00CD7423">
      <w:pPr>
        <w:jc w:val="both"/>
      </w:pPr>
      <w:r>
        <w:t xml:space="preserve">For number of PRBs scheduled, while RAN1 spec supports up to 275 PRBs, the maximum number of allocable PRBs would be based on the bandwidth occupancy that RAN4 has agreed to and it depends on frequency range (Below 6 GHz and above 6 GHz), CC bandwidth and SCS. For example, for Below 6 GHz, @30 kHz SCS, maximum BW of 100 MHz corresponds to 273 RBs. </w:t>
      </w:r>
    </w:p>
    <w:tbl>
      <w:tblPr>
        <w:tblW w:w="9336" w:type="dxa"/>
        <w:tblInd w:w="625" w:type="dxa"/>
        <w:tblLook w:val="04A0" w:firstRow="1" w:lastRow="0" w:firstColumn="1" w:lastColumn="0" w:noHBand="0" w:noVBand="1"/>
      </w:tblPr>
      <w:tblGrid>
        <w:gridCol w:w="3355"/>
        <w:gridCol w:w="863"/>
        <w:gridCol w:w="1088"/>
        <w:gridCol w:w="1611"/>
        <w:gridCol w:w="1225"/>
        <w:gridCol w:w="1194"/>
      </w:tblGrid>
      <w:tr w:rsidR="00CD7423" w:rsidRPr="003473BA" w:rsidTr="000322A3">
        <w:trPr>
          <w:trHeight w:val="241"/>
        </w:trPr>
        <w:tc>
          <w:tcPr>
            <w:tcW w:w="33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7423" w:rsidRPr="003473BA" w:rsidRDefault="00CD7423" w:rsidP="000322A3">
            <w:pPr>
              <w:overflowPunct/>
              <w:autoSpaceDE/>
              <w:autoSpaceDN/>
              <w:adjustRightInd/>
              <w:spacing w:after="0"/>
              <w:textAlignment w:val="auto"/>
              <w:rPr>
                <w:rFonts w:eastAsia="Times New Roman"/>
                <w:color w:val="000000"/>
              </w:rPr>
            </w:pPr>
            <w:r w:rsidRPr="003473BA">
              <w:rPr>
                <w:rFonts w:eastAsia="Times New Roman"/>
                <w:color w:val="000000"/>
              </w:rPr>
              <w:t> </w:t>
            </w:r>
            <w:r>
              <w:rPr>
                <w:rFonts w:eastAsia="Times New Roman"/>
                <w:color w:val="000000"/>
              </w:rPr>
              <w:t>Scenario</w:t>
            </w:r>
          </w:p>
        </w:tc>
        <w:tc>
          <w:tcPr>
            <w:tcW w:w="863" w:type="dxa"/>
            <w:tcBorders>
              <w:top w:val="single" w:sz="4" w:space="0" w:color="auto"/>
              <w:left w:val="nil"/>
              <w:bottom w:val="single" w:sz="4" w:space="0" w:color="auto"/>
              <w:right w:val="single" w:sz="4" w:space="0" w:color="auto"/>
            </w:tcBorders>
            <w:shd w:val="clear" w:color="auto" w:fill="auto"/>
            <w:noWrap/>
            <w:vAlign w:val="bottom"/>
            <w:hideMark/>
          </w:tcPr>
          <w:p w:rsidR="00CD7423" w:rsidRPr="003473BA" w:rsidRDefault="00CD7423" w:rsidP="000322A3">
            <w:pPr>
              <w:overflowPunct/>
              <w:autoSpaceDE/>
              <w:autoSpaceDN/>
              <w:adjustRightInd/>
              <w:spacing w:after="0"/>
              <w:textAlignment w:val="auto"/>
              <w:rPr>
                <w:rFonts w:eastAsia="Times New Roman"/>
                <w:color w:val="000000"/>
              </w:rPr>
            </w:pPr>
            <w:r w:rsidRPr="003473BA">
              <w:rPr>
                <w:rFonts w:eastAsia="Times New Roman"/>
                <w:color w:val="000000"/>
              </w:rPr>
              <w:t>BW (MHz)</w:t>
            </w:r>
          </w:p>
        </w:tc>
        <w:tc>
          <w:tcPr>
            <w:tcW w:w="1088" w:type="dxa"/>
            <w:tcBorders>
              <w:top w:val="single" w:sz="4" w:space="0" w:color="auto"/>
              <w:left w:val="nil"/>
              <w:bottom w:val="single" w:sz="4" w:space="0" w:color="auto"/>
              <w:right w:val="single" w:sz="4" w:space="0" w:color="auto"/>
            </w:tcBorders>
            <w:shd w:val="clear" w:color="auto" w:fill="auto"/>
            <w:noWrap/>
            <w:vAlign w:val="bottom"/>
            <w:hideMark/>
          </w:tcPr>
          <w:p w:rsidR="00CD7423" w:rsidRPr="003473BA" w:rsidRDefault="00CD7423" w:rsidP="000322A3">
            <w:pPr>
              <w:overflowPunct/>
              <w:autoSpaceDE/>
              <w:autoSpaceDN/>
              <w:adjustRightInd/>
              <w:spacing w:after="0"/>
              <w:textAlignment w:val="auto"/>
              <w:rPr>
                <w:rFonts w:eastAsia="Times New Roman"/>
                <w:color w:val="000000"/>
              </w:rPr>
            </w:pPr>
            <w:r w:rsidRPr="003473BA">
              <w:rPr>
                <w:rFonts w:eastAsia="Times New Roman"/>
                <w:color w:val="000000"/>
              </w:rPr>
              <w:t>RBs</w:t>
            </w:r>
          </w:p>
        </w:tc>
        <w:tc>
          <w:tcPr>
            <w:tcW w:w="1611" w:type="dxa"/>
            <w:tcBorders>
              <w:top w:val="single" w:sz="4" w:space="0" w:color="auto"/>
              <w:left w:val="nil"/>
              <w:bottom w:val="single" w:sz="4" w:space="0" w:color="auto"/>
              <w:right w:val="single" w:sz="4" w:space="0" w:color="auto"/>
            </w:tcBorders>
            <w:shd w:val="clear" w:color="auto" w:fill="auto"/>
            <w:noWrap/>
            <w:vAlign w:val="bottom"/>
            <w:hideMark/>
          </w:tcPr>
          <w:p w:rsidR="00CD7423" w:rsidRPr="003473BA" w:rsidRDefault="00CD7423" w:rsidP="000322A3">
            <w:pPr>
              <w:overflowPunct/>
              <w:autoSpaceDE/>
              <w:autoSpaceDN/>
              <w:adjustRightInd/>
              <w:spacing w:after="0"/>
              <w:textAlignment w:val="auto"/>
              <w:rPr>
                <w:rFonts w:eastAsia="Times New Roman"/>
                <w:color w:val="000000"/>
              </w:rPr>
            </w:pPr>
            <w:r w:rsidRPr="003473BA">
              <w:rPr>
                <w:rFonts w:eastAsia="Times New Roman"/>
                <w:color w:val="000000"/>
              </w:rPr>
              <w:t>peak TBS+CRC</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CD7423" w:rsidRPr="003473BA" w:rsidRDefault="00CD7423" w:rsidP="000322A3">
            <w:pPr>
              <w:overflowPunct/>
              <w:autoSpaceDE/>
              <w:autoSpaceDN/>
              <w:adjustRightInd/>
              <w:spacing w:after="0"/>
              <w:textAlignment w:val="auto"/>
              <w:rPr>
                <w:rFonts w:eastAsia="Times New Roman"/>
                <w:color w:val="000000"/>
              </w:rPr>
            </w:pPr>
            <w:r w:rsidRPr="003473BA">
              <w:rPr>
                <w:rFonts w:eastAsia="Times New Roman"/>
                <w:color w:val="000000"/>
              </w:rPr>
              <w:t>slot (</w:t>
            </w:r>
            <w:proofErr w:type="spellStart"/>
            <w:r w:rsidRPr="003473BA">
              <w:rPr>
                <w:rFonts w:eastAsia="Times New Roman"/>
                <w:color w:val="000000"/>
              </w:rPr>
              <w:t>ms</w:t>
            </w:r>
            <w:proofErr w:type="spellEnd"/>
            <w:r w:rsidRPr="003473BA">
              <w:rPr>
                <w:rFonts w:eastAsia="Times New Roman"/>
                <w:color w:val="000000"/>
              </w:rPr>
              <w:t>)</w:t>
            </w:r>
          </w:p>
        </w:tc>
        <w:tc>
          <w:tcPr>
            <w:tcW w:w="1194" w:type="dxa"/>
            <w:tcBorders>
              <w:top w:val="single" w:sz="4" w:space="0" w:color="auto"/>
              <w:left w:val="nil"/>
              <w:bottom w:val="single" w:sz="4" w:space="0" w:color="auto"/>
              <w:right w:val="single" w:sz="4" w:space="0" w:color="auto"/>
            </w:tcBorders>
            <w:shd w:val="clear" w:color="auto" w:fill="auto"/>
            <w:noWrap/>
            <w:vAlign w:val="bottom"/>
            <w:hideMark/>
          </w:tcPr>
          <w:p w:rsidR="00CD7423" w:rsidRPr="003473BA" w:rsidRDefault="00CD7423" w:rsidP="000322A3">
            <w:pPr>
              <w:overflowPunct/>
              <w:autoSpaceDE/>
              <w:autoSpaceDN/>
              <w:adjustRightInd/>
              <w:spacing w:after="0"/>
              <w:textAlignment w:val="auto"/>
              <w:rPr>
                <w:rFonts w:eastAsia="Times New Roman"/>
                <w:color w:val="000000"/>
              </w:rPr>
            </w:pPr>
            <w:r w:rsidRPr="003473BA">
              <w:rPr>
                <w:rFonts w:eastAsia="Times New Roman"/>
                <w:color w:val="000000"/>
              </w:rPr>
              <w:t>Data rate</w:t>
            </w:r>
            <w:r>
              <w:rPr>
                <w:rFonts w:eastAsia="Times New Roman"/>
                <w:color w:val="000000"/>
              </w:rPr>
              <w:t xml:space="preserve"> (</w:t>
            </w:r>
            <w:proofErr w:type="spellStart"/>
            <w:r>
              <w:rPr>
                <w:rFonts w:eastAsia="Times New Roman"/>
                <w:color w:val="000000"/>
              </w:rPr>
              <w:t>Gbps</w:t>
            </w:r>
            <w:proofErr w:type="spellEnd"/>
            <w:r>
              <w:rPr>
                <w:rFonts w:eastAsia="Times New Roman"/>
                <w:color w:val="000000"/>
              </w:rPr>
              <w:t>)</w:t>
            </w:r>
          </w:p>
        </w:tc>
      </w:tr>
      <w:tr w:rsidR="00CD7423" w:rsidRPr="003473BA" w:rsidTr="000322A3">
        <w:trPr>
          <w:trHeight w:val="241"/>
        </w:trPr>
        <w:tc>
          <w:tcPr>
            <w:tcW w:w="3355" w:type="dxa"/>
            <w:tcBorders>
              <w:top w:val="nil"/>
              <w:left w:val="single" w:sz="4" w:space="0" w:color="auto"/>
              <w:bottom w:val="single" w:sz="4" w:space="0" w:color="auto"/>
              <w:right w:val="single" w:sz="4" w:space="0" w:color="auto"/>
            </w:tcBorders>
            <w:shd w:val="clear" w:color="auto" w:fill="auto"/>
            <w:noWrap/>
            <w:vAlign w:val="bottom"/>
            <w:hideMark/>
          </w:tcPr>
          <w:p w:rsidR="00CD7423" w:rsidRPr="003473BA" w:rsidRDefault="00CD7423" w:rsidP="000322A3">
            <w:pPr>
              <w:overflowPunct/>
              <w:autoSpaceDE/>
              <w:autoSpaceDN/>
              <w:adjustRightInd/>
              <w:spacing w:after="0"/>
              <w:textAlignment w:val="auto"/>
              <w:rPr>
                <w:rFonts w:eastAsia="Times New Roman"/>
                <w:color w:val="000000"/>
              </w:rPr>
            </w:pPr>
            <w:r w:rsidRPr="003473BA">
              <w:rPr>
                <w:rFonts w:eastAsia="Times New Roman"/>
                <w:color w:val="000000"/>
              </w:rPr>
              <w:t>Below 6 GHz, @30 kHz SCS, 4-layers</w:t>
            </w:r>
          </w:p>
        </w:tc>
        <w:tc>
          <w:tcPr>
            <w:tcW w:w="863" w:type="dxa"/>
            <w:tcBorders>
              <w:top w:val="nil"/>
              <w:left w:val="nil"/>
              <w:bottom w:val="single" w:sz="4" w:space="0" w:color="auto"/>
              <w:right w:val="single" w:sz="4" w:space="0" w:color="auto"/>
            </w:tcBorders>
            <w:shd w:val="clear" w:color="auto" w:fill="auto"/>
            <w:noWrap/>
            <w:vAlign w:val="bottom"/>
            <w:hideMark/>
          </w:tcPr>
          <w:p w:rsidR="00CD7423" w:rsidRPr="003473BA" w:rsidRDefault="00CD7423" w:rsidP="000322A3">
            <w:pPr>
              <w:overflowPunct/>
              <w:autoSpaceDE/>
              <w:autoSpaceDN/>
              <w:adjustRightInd/>
              <w:spacing w:after="0"/>
              <w:jc w:val="right"/>
              <w:textAlignment w:val="auto"/>
              <w:rPr>
                <w:rFonts w:eastAsia="Times New Roman"/>
                <w:color w:val="000000"/>
              </w:rPr>
            </w:pPr>
            <w:r w:rsidRPr="003473BA">
              <w:rPr>
                <w:rFonts w:eastAsia="Times New Roman"/>
                <w:color w:val="000000"/>
              </w:rPr>
              <w:t>100</w:t>
            </w:r>
          </w:p>
        </w:tc>
        <w:tc>
          <w:tcPr>
            <w:tcW w:w="1088" w:type="dxa"/>
            <w:tcBorders>
              <w:top w:val="nil"/>
              <w:left w:val="nil"/>
              <w:bottom w:val="single" w:sz="4" w:space="0" w:color="auto"/>
              <w:right w:val="single" w:sz="4" w:space="0" w:color="auto"/>
            </w:tcBorders>
            <w:shd w:val="clear" w:color="auto" w:fill="auto"/>
            <w:noWrap/>
            <w:vAlign w:val="bottom"/>
            <w:hideMark/>
          </w:tcPr>
          <w:p w:rsidR="00CD7423" w:rsidRPr="003473BA" w:rsidRDefault="00CD7423" w:rsidP="000322A3">
            <w:pPr>
              <w:overflowPunct/>
              <w:autoSpaceDE/>
              <w:autoSpaceDN/>
              <w:adjustRightInd/>
              <w:spacing w:after="0"/>
              <w:jc w:val="right"/>
              <w:textAlignment w:val="auto"/>
              <w:rPr>
                <w:rFonts w:eastAsia="Times New Roman"/>
                <w:color w:val="000000"/>
              </w:rPr>
            </w:pPr>
            <w:r w:rsidRPr="003473BA">
              <w:rPr>
                <w:rFonts w:eastAsia="Times New Roman"/>
                <w:color w:val="000000"/>
              </w:rPr>
              <w:t>273</w:t>
            </w:r>
          </w:p>
        </w:tc>
        <w:tc>
          <w:tcPr>
            <w:tcW w:w="1611" w:type="dxa"/>
            <w:tcBorders>
              <w:top w:val="nil"/>
              <w:left w:val="nil"/>
              <w:bottom w:val="single" w:sz="4" w:space="0" w:color="auto"/>
              <w:right w:val="single" w:sz="4" w:space="0" w:color="auto"/>
            </w:tcBorders>
            <w:shd w:val="clear" w:color="auto" w:fill="auto"/>
            <w:noWrap/>
            <w:vAlign w:val="bottom"/>
            <w:hideMark/>
          </w:tcPr>
          <w:p w:rsidR="00CD7423" w:rsidRPr="003473BA" w:rsidRDefault="00CD7423" w:rsidP="000322A3">
            <w:pPr>
              <w:overflowPunct/>
              <w:autoSpaceDE/>
              <w:autoSpaceDN/>
              <w:adjustRightInd/>
              <w:spacing w:after="0"/>
              <w:jc w:val="right"/>
              <w:textAlignment w:val="auto"/>
              <w:rPr>
                <w:rFonts w:eastAsia="Times New Roman"/>
                <w:color w:val="000000"/>
              </w:rPr>
            </w:pPr>
            <w:r w:rsidRPr="003473BA">
              <w:rPr>
                <w:rFonts w:eastAsia="Times New Roman"/>
                <w:color w:val="000000"/>
              </w:rPr>
              <w:t>1231248</w:t>
            </w:r>
          </w:p>
        </w:tc>
        <w:tc>
          <w:tcPr>
            <w:tcW w:w="1225" w:type="dxa"/>
            <w:tcBorders>
              <w:top w:val="nil"/>
              <w:left w:val="nil"/>
              <w:bottom w:val="single" w:sz="4" w:space="0" w:color="auto"/>
              <w:right w:val="single" w:sz="4" w:space="0" w:color="auto"/>
            </w:tcBorders>
            <w:shd w:val="clear" w:color="auto" w:fill="auto"/>
            <w:noWrap/>
            <w:vAlign w:val="bottom"/>
            <w:hideMark/>
          </w:tcPr>
          <w:p w:rsidR="00CD7423" w:rsidRPr="003473BA" w:rsidRDefault="00CD7423" w:rsidP="000322A3">
            <w:pPr>
              <w:overflowPunct/>
              <w:autoSpaceDE/>
              <w:autoSpaceDN/>
              <w:adjustRightInd/>
              <w:spacing w:after="0"/>
              <w:jc w:val="right"/>
              <w:textAlignment w:val="auto"/>
              <w:rPr>
                <w:rFonts w:eastAsia="Times New Roman"/>
                <w:color w:val="000000"/>
              </w:rPr>
            </w:pPr>
            <w:r w:rsidRPr="003473BA">
              <w:rPr>
                <w:rFonts w:eastAsia="Times New Roman"/>
                <w:color w:val="000000"/>
              </w:rPr>
              <w:t>0.5</w:t>
            </w:r>
          </w:p>
        </w:tc>
        <w:tc>
          <w:tcPr>
            <w:tcW w:w="1194" w:type="dxa"/>
            <w:tcBorders>
              <w:top w:val="nil"/>
              <w:left w:val="nil"/>
              <w:bottom w:val="single" w:sz="4" w:space="0" w:color="auto"/>
              <w:right w:val="single" w:sz="4" w:space="0" w:color="auto"/>
            </w:tcBorders>
            <w:shd w:val="clear" w:color="auto" w:fill="auto"/>
            <w:noWrap/>
            <w:vAlign w:val="bottom"/>
            <w:hideMark/>
          </w:tcPr>
          <w:p w:rsidR="00CD7423" w:rsidRPr="003473BA" w:rsidRDefault="00CD7423" w:rsidP="000322A3">
            <w:pPr>
              <w:overflowPunct/>
              <w:autoSpaceDE/>
              <w:autoSpaceDN/>
              <w:adjustRightInd/>
              <w:spacing w:after="0"/>
              <w:jc w:val="right"/>
              <w:textAlignment w:val="auto"/>
              <w:rPr>
                <w:rFonts w:eastAsia="Times New Roman"/>
                <w:color w:val="000000"/>
              </w:rPr>
            </w:pPr>
            <w:r w:rsidRPr="003473BA">
              <w:rPr>
                <w:rFonts w:eastAsia="Times New Roman"/>
                <w:color w:val="000000"/>
              </w:rPr>
              <w:t>2.462496</w:t>
            </w:r>
          </w:p>
        </w:tc>
      </w:tr>
      <w:tr w:rsidR="00CD7423" w:rsidRPr="003473BA" w:rsidTr="000322A3">
        <w:trPr>
          <w:trHeight w:val="241"/>
        </w:trPr>
        <w:tc>
          <w:tcPr>
            <w:tcW w:w="3355" w:type="dxa"/>
            <w:tcBorders>
              <w:top w:val="nil"/>
              <w:left w:val="single" w:sz="4" w:space="0" w:color="auto"/>
              <w:bottom w:val="single" w:sz="4" w:space="0" w:color="auto"/>
              <w:right w:val="single" w:sz="4" w:space="0" w:color="auto"/>
            </w:tcBorders>
            <w:shd w:val="clear" w:color="auto" w:fill="auto"/>
            <w:noWrap/>
            <w:vAlign w:val="bottom"/>
            <w:hideMark/>
          </w:tcPr>
          <w:p w:rsidR="00CD7423" w:rsidRPr="003473BA" w:rsidRDefault="00CD7423" w:rsidP="000322A3">
            <w:pPr>
              <w:overflowPunct/>
              <w:autoSpaceDE/>
              <w:autoSpaceDN/>
              <w:adjustRightInd/>
              <w:spacing w:after="0"/>
              <w:textAlignment w:val="auto"/>
              <w:rPr>
                <w:rFonts w:eastAsia="Times New Roman"/>
                <w:color w:val="000000"/>
              </w:rPr>
            </w:pPr>
            <w:r w:rsidRPr="003473BA">
              <w:rPr>
                <w:rFonts w:eastAsia="Times New Roman"/>
                <w:color w:val="000000"/>
              </w:rPr>
              <w:t>Above 6 GHz, @60 kHz SCS, 2-layers</w:t>
            </w:r>
          </w:p>
        </w:tc>
        <w:tc>
          <w:tcPr>
            <w:tcW w:w="863" w:type="dxa"/>
            <w:tcBorders>
              <w:top w:val="nil"/>
              <w:left w:val="nil"/>
              <w:bottom w:val="single" w:sz="4" w:space="0" w:color="auto"/>
              <w:right w:val="single" w:sz="4" w:space="0" w:color="auto"/>
            </w:tcBorders>
            <w:shd w:val="clear" w:color="auto" w:fill="auto"/>
            <w:noWrap/>
            <w:vAlign w:val="bottom"/>
            <w:hideMark/>
          </w:tcPr>
          <w:p w:rsidR="00CD7423" w:rsidRPr="003473BA" w:rsidRDefault="00CD7423" w:rsidP="000322A3">
            <w:pPr>
              <w:overflowPunct/>
              <w:autoSpaceDE/>
              <w:autoSpaceDN/>
              <w:adjustRightInd/>
              <w:spacing w:after="0"/>
              <w:jc w:val="right"/>
              <w:textAlignment w:val="auto"/>
              <w:rPr>
                <w:rFonts w:eastAsia="Times New Roman"/>
                <w:color w:val="000000"/>
              </w:rPr>
            </w:pPr>
            <w:r w:rsidRPr="003473BA">
              <w:rPr>
                <w:rFonts w:eastAsia="Times New Roman"/>
                <w:color w:val="000000"/>
              </w:rPr>
              <w:t>200</w:t>
            </w:r>
          </w:p>
        </w:tc>
        <w:tc>
          <w:tcPr>
            <w:tcW w:w="1088" w:type="dxa"/>
            <w:tcBorders>
              <w:top w:val="nil"/>
              <w:left w:val="nil"/>
              <w:bottom w:val="single" w:sz="4" w:space="0" w:color="auto"/>
              <w:right w:val="single" w:sz="4" w:space="0" w:color="auto"/>
            </w:tcBorders>
            <w:shd w:val="clear" w:color="auto" w:fill="auto"/>
            <w:noWrap/>
            <w:vAlign w:val="bottom"/>
            <w:hideMark/>
          </w:tcPr>
          <w:p w:rsidR="00CD7423" w:rsidRPr="003473BA" w:rsidRDefault="00CD7423" w:rsidP="000322A3">
            <w:pPr>
              <w:overflowPunct/>
              <w:autoSpaceDE/>
              <w:autoSpaceDN/>
              <w:adjustRightInd/>
              <w:spacing w:after="0"/>
              <w:jc w:val="right"/>
              <w:textAlignment w:val="auto"/>
              <w:rPr>
                <w:rFonts w:eastAsia="Times New Roman"/>
                <w:color w:val="000000"/>
              </w:rPr>
            </w:pPr>
            <w:r w:rsidRPr="003473BA">
              <w:rPr>
                <w:rFonts w:eastAsia="Times New Roman"/>
                <w:color w:val="000000"/>
              </w:rPr>
              <w:t>264</w:t>
            </w:r>
          </w:p>
        </w:tc>
        <w:tc>
          <w:tcPr>
            <w:tcW w:w="1611" w:type="dxa"/>
            <w:tcBorders>
              <w:top w:val="nil"/>
              <w:left w:val="nil"/>
              <w:bottom w:val="single" w:sz="4" w:space="0" w:color="auto"/>
              <w:right w:val="single" w:sz="4" w:space="0" w:color="auto"/>
            </w:tcBorders>
            <w:shd w:val="clear" w:color="auto" w:fill="auto"/>
            <w:noWrap/>
            <w:vAlign w:val="bottom"/>
            <w:hideMark/>
          </w:tcPr>
          <w:p w:rsidR="00CD7423" w:rsidRPr="003473BA" w:rsidRDefault="00CD7423" w:rsidP="000322A3">
            <w:pPr>
              <w:overflowPunct/>
              <w:autoSpaceDE/>
              <w:autoSpaceDN/>
              <w:adjustRightInd/>
              <w:spacing w:after="0"/>
              <w:jc w:val="right"/>
              <w:textAlignment w:val="auto"/>
              <w:rPr>
                <w:rFonts w:eastAsia="Times New Roman"/>
                <w:color w:val="000000"/>
              </w:rPr>
            </w:pPr>
            <w:r w:rsidRPr="003473BA">
              <w:rPr>
                <w:rFonts w:eastAsia="Times New Roman"/>
                <w:color w:val="000000"/>
              </w:rPr>
              <w:t>615656</w:t>
            </w:r>
          </w:p>
        </w:tc>
        <w:tc>
          <w:tcPr>
            <w:tcW w:w="1225" w:type="dxa"/>
            <w:tcBorders>
              <w:top w:val="nil"/>
              <w:left w:val="nil"/>
              <w:bottom w:val="single" w:sz="4" w:space="0" w:color="auto"/>
              <w:right w:val="single" w:sz="4" w:space="0" w:color="auto"/>
            </w:tcBorders>
            <w:shd w:val="clear" w:color="auto" w:fill="auto"/>
            <w:noWrap/>
            <w:vAlign w:val="bottom"/>
            <w:hideMark/>
          </w:tcPr>
          <w:p w:rsidR="00CD7423" w:rsidRPr="003473BA" w:rsidRDefault="00CD7423" w:rsidP="000322A3">
            <w:pPr>
              <w:overflowPunct/>
              <w:autoSpaceDE/>
              <w:autoSpaceDN/>
              <w:adjustRightInd/>
              <w:spacing w:after="0"/>
              <w:jc w:val="right"/>
              <w:textAlignment w:val="auto"/>
              <w:rPr>
                <w:rFonts w:eastAsia="Times New Roman"/>
                <w:color w:val="000000"/>
              </w:rPr>
            </w:pPr>
            <w:r w:rsidRPr="003473BA">
              <w:rPr>
                <w:rFonts w:eastAsia="Times New Roman"/>
                <w:color w:val="000000"/>
              </w:rPr>
              <w:t>0.25</w:t>
            </w:r>
          </w:p>
        </w:tc>
        <w:tc>
          <w:tcPr>
            <w:tcW w:w="1194" w:type="dxa"/>
            <w:tcBorders>
              <w:top w:val="nil"/>
              <w:left w:val="nil"/>
              <w:bottom w:val="single" w:sz="4" w:space="0" w:color="auto"/>
              <w:right w:val="single" w:sz="4" w:space="0" w:color="auto"/>
            </w:tcBorders>
            <w:shd w:val="clear" w:color="auto" w:fill="auto"/>
            <w:noWrap/>
            <w:vAlign w:val="bottom"/>
            <w:hideMark/>
          </w:tcPr>
          <w:p w:rsidR="00CD7423" w:rsidRPr="003473BA" w:rsidRDefault="00CD7423" w:rsidP="000322A3">
            <w:pPr>
              <w:overflowPunct/>
              <w:autoSpaceDE/>
              <w:autoSpaceDN/>
              <w:adjustRightInd/>
              <w:spacing w:after="0"/>
              <w:jc w:val="right"/>
              <w:textAlignment w:val="auto"/>
              <w:rPr>
                <w:rFonts w:eastAsia="Times New Roman"/>
                <w:color w:val="000000"/>
              </w:rPr>
            </w:pPr>
            <w:r w:rsidRPr="003473BA">
              <w:rPr>
                <w:rFonts w:eastAsia="Times New Roman"/>
                <w:color w:val="000000"/>
              </w:rPr>
              <w:t>2.462624</w:t>
            </w:r>
          </w:p>
        </w:tc>
      </w:tr>
    </w:tbl>
    <w:p w:rsidR="00CD7423" w:rsidRDefault="00CD7423" w:rsidP="00CD7423">
      <w:pPr>
        <w:jc w:val="both"/>
      </w:pPr>
    </w:p>
    <w:p w:rsidR="00CD7423" w:rsidRPr="00F001D9" w:rsidRDefault="00CD7423" w:rsidP="00CD7423">
      <w:pPr>
        <w:jc w:val="both"/>
      </w:pPr>
      <w:r>
        <w:rPr>
          <w:noProof/>
        </w:rPr>
        <w:lastRenderedPageBreak/>
        <mc:AlternateContent>
          <mc:Choice Requires="wps">
            <w:drawing>
              <wp:anchor distT="45720" distB="45720" distL="114300" distR="114300" simplePos="0" relativeHeight="251659264" behindDoc="0" locked="0" layoutInCell="1" allowOverlap="1" wp14:anchorId="54A7EBE6" wp14:editId="4911A861">
                <wp:simplePos x="0" y="0"/>
                <wp:positionH relativeFrom="column">
                  <wp:posOffset>130175</wp:posOffset>
                </wp:positionH>
                <wp:positionV relativeFrom="paragraph">
                  <wp:posOffset>440690</wp:posOffset>
                </wp:positionV>
                <wp:extent cx="5970905" cy="1404620"/>
                <wp:effectExtent l="0" t="0" r="10795"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0905" cy="1404620"/>
                        </a:xfrm>
                        <a:prstGeom prst="rect">
                          <a:avLst/>
                        </a:prstGeom>
                        <a:solidFill>
                          <a:srgbClr val="FFFFFF"/>
                        </a:solidFill>
                        <a:ln w="9525">
                          <a:solidFill>
                            <a:srgbClr val="000000"/>
                          </a:solidFill>
                          <a:miter lim="800000"/>
                          <a:headEnd/>
                          <a:tailEnd/>
                        </a:ln>
                      </wps:spPr>
                      <wps:txbx>
                        <w:txbxContent>
                          <w:p w:rsidR="00CD7423" w:rsidRPr="00710DCA" w:rsidRDefault="00CD7423" w:rsidP="00CD7423">
                            <w:pPr>
                              <w:rPr>
                                <w:color w:val="FF0000"/>
                                <w:u w:val="single"/>
                              </w:rPr>
                            </w:pPr>
                            <w:r>
                              <w:rPr>
                                <w:color w:val="FF0000"/>
                                <w:u w:val="single"/>
                              </w:rPr>
                              <w:t xml:space="preserve">Alt </w:t>
                            </w:r>
                            <w:proofErr w:type="gramStart"/>
                            <w:r>
                              <w:rPr>
                                <w:color w:val="FF0000"/>
                                <w:u w:val="single"/>
                              </w:rPr>
                              <w:t>1 :</w:t>
                            </w:r>
                            <w:proofErr w:type="gramEnd"/>
                            <w:r>
                              <w:rPr>
                                <w:color w:val="FF0000"/>
                                <w:u w:val="single"/>
                              </w:rPr>
                              <w:t xml:space="preserve"> Maximum</w:t>
                            </w:r>
                            <w:r w:rsidRPr="00710DCA">
                              <w:rPr>
                                <w:color w:val="FF0000"/>
                                <w:u w:val="single"/>
                              </w:rPr>
                              <w:t xml:space="preserve"> Data Rate </w:t>
                            </w:r>
                            <w:r>
                              <w:rPr>
                                <w:color w:val="FF0000"/>
                                <w:u w:val="single"/>
                              </w:rPr>
                              <w:t>based on TBS calculation</w:t>
                            </w:r>
                          </w:p>
                          <w:p w:rsidR="00CD7423" w:rsidRDefault="00730235" w:rsidP="00CD7423">
                            <w:pPr>
                              <w:jc w:val="center"/>
                            </w:pPr>
                            <w:r w:rsidRPr="00F001D9">
                              <w:rPr>
                                <w:position w:val="-30"/>
                              </w:rPr>
                              <w:object w:dxaOrig="4900" w:dyaOrig="720">
                                <v:shape id="_x0000_i1028" type="#_x0000_t75" style="width:245.3pt;height:36pt" o:ole="">
                                  <v:imagedata r:id="rId13" o:title=""/>
                                </v:shape>
                                <o:OLEObject Type="Embed" ProgID="Equation.3" ShapeID="_x0000_i1028" DrawAspect="Content" ObjectID="_1572462161" r:id="rId14"/>
                              </w:object>
                            </w:r>
                          </w:p>
                          <w:p w:rsidR="00CD7423" w:rsidRDefault="00CD7423" w:rsidP="00CD7423">
                            <w:r>
                              <w:t>where TBS</w:t>
                            </w:r>
                            <w:r w:rsidRPr="002540CD">
                              <w:rPr>
                                <w:vertAlign w:val="subscript"/>
                              </w:rPr>
                              <w:t>CC</w:t>
                            </w:r>
                            <w:r>
                              <w:t xml:space="preserve"> is obtained for each carrier using the formula </w:t>
                            </w:r>
                            <w:r w:rsidRPr="00E82F03">
                              <w:rPr>
                                <w:position w:val="-28"/>
                              </w:rPr>
                              <w:object w:dxaOrig="3240" w:dyaOrig="680">
                                <v:shape id="_x0000_i1029" type="#_x0000_t75" style="width:2in;height:30.15pt" o:ole="">
                                  <v:imagedata r:id="rId15" o:title=""/>
                                </v:shape>
                                <o:OLEObject Type="Embed" ProgID="Equation.3" ShapeID="_x0000_i1029" DrawAspect="Content" ObjectID="_1572462162" r:id="rId16"/>
                              </w:object>
                            </w:r>
                            <w:r>
                              <w:t xml:space="preserve">, where </w:t>
                            </w:r>
                            <w:r w:rsidR="00F001D9" w:rsidRPr="002540CD">
                              <w:rPr>
                                <w:position w:val="-14"/>
                              </w:rPr>
                              <w:object w:dxaOrig="3400" w:dyaOrig="380">
                                <v:shape id="_x0000_i1030" type="#_x0000_t75" style="width:169.95pt;height:19.25pt" o:ole="">
                                  <v:imagedata r:id="rId17" o:title=""/>
                                </v:shape>
                                <o:OLEObject Type="Embed" ProgID="Equation.3" ShapeID="_x0000_i1030" DrawAspect="Content" ObjectID="_1572462163" r:id="rId18"/>
                              </w:object>
                            </w:r>
                            <w:r>
                              <w:t xml:space="preserve"> and </w:t>
                            </w:r>
                            <w:r w:rsidRPr="00B63C53">
                              <w:rPr>
                                <w:position w:val="-28"/>
                              </w:rPr>
                              <w:object w:dxaOrig="1200" w:dyaOrig="680">
                                <v:shape id="_x0000_i1031" type="#_x0000_t75" style="width:54.4pt;height:30.15pt" o:ole="">
                                  <v:imagedata r:id="rId9" o:title=""/>
                                </v:shape>
                                <o:OLEObject Type="Embed" ProgID="Equation.3" ShapeID="_x0000_i1031" DrawAspect="Content" ObjectID="_1572462164" r:id="rId19"/>
                              </w:object>
                            </w:r>
                            <w:r>
                              <w:t xml:space="preserve">, </w:t>
                            </w:r>
                            <w:r w:rsidRPr="00710DCA">
                              <w:rPr>
                                <w:position w:val="-12"/>
                              </w:rPr>
                              <w:object w:dxaOrig="380" w:dyaOrig="360">
                                <v:shape id="_x0000_i1032" type="#_x0000_t75" style="width:19.25pt;height:18.4pt" o:ole="">
                                  <v:imagedata r:id="rId20" o:title=""/>
                                </v:shape>
                                <o:OLEObject Type="Embed" ProgID="Equation.3" ShapeID="_x0000_i1032" DrawAspect="Content" ObjectID="_1572462165" r:id="rId21"/>
                              </w:object>
                            </w:r>
                            <w:r>
                              <w:t xml:space="preserve"> gives the maximum number of layers, </w:t>
                            </w:r>
                            <w:r w:rsidRPr="006E2F49">
                              <w:rPr>
                                <w:position w:val="-14"/>
                              </w:rPr>
                              <w:object w:dxaOrig="580" w:dyaOrig="380">
                                <v:shape id="_x0000_i1033" type="#_x0000_t75" style="width:29.3pt;height:19.25pt" o:ole="">
                                  <v:imagedata r:id="rId22" o:title=""/>
                                </v:shape>
                                <o:OLEObject Type="Embed" ProgID="Equation.3" ShapeID="_x0000_i1033" DrawAspect="Content" ObjectID="_1572462166" r:id="rId23"/>
                              </w:object>
                            </w:r>
                            <w:r>
                              <w:t xml:space="preserve"> modulation order (QPSK=2, 16QAM=4, 64QAM=6 and 256QAM</w:t>
                            </w:r>
                            <w:r w:rsidRPr="007B0982">
                              <w:t xml:space="preserve">=8) and </w:t>
                            </w:r>
                            <w:r w:rsidR="00F001D9" w:rsidRPr="00F001D9">
                              <w:rPr>
                                <w:position w:val="-12"/>
                              </w:rPr>
                              <w:object w:dxaOrig="620" w:dyaOrig="360">
                                <v:shape id="_x0000_i1034" type="#_x0000_t75" style="width:31pt;height:18.4pt" o:ole="">
                                  <v:imagedata r:id="rId24" o:title=""/>
                                </v:shape>
                                <o:OLEObject Type="Embed" ProgID="Equation.3" ShapeID="_x0000_i1034" DrawAspect="Content" ObjectID="_1572462167" r:id="rId25"/>
                              </w:object>
                            </w:r>
                            <w:r w:rsidRPr="007B0982">
                              <w:t xml:space="preserve"> </w:t>
                            </w:r>
                            <w:r w:rsidR="00F001D9">
                              <w:t>is the CC BW</w:t>
                            </w:r>
                            <w:r>
                              <w:t xml:space="preserve">. </w:t>
                            </w:r>
                            <w:proofErr w:type="gramStart"/>
                            <w:r w:rsidRPr="00B264AB">
                              <w:rPr>
                                <w:i/>
                              </w:rPr>
                              <w:t>f</w:t>
                            </w:r>
                            <w:proofErr w:type="gramEnd"/>
                            <w:r>
                              <w:t xml:space="preserve"> denotes a scaling factor for the case that UE’s peak rate may be lower than the total sum of aggregated peak rate.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4A7EBE6" id="_x0000_t202" coordsize="21600,21600" o:spt="202" path="m,l,21600r21600,l21600,xe">
                <v:stroke joinstyle="miter"/>
                <v:path gradientshapeok="t" o:connecttype="rect"/>
              </v:shapetype>
              <v:shape id="_x0000_s1027" type="#_x0000_t202" style="position:absolute;left:0;text-align:left;margin-left:10.25pt;margin-top:34.7pt;width:470.1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">
                <v:textbox style="mso-fit-shape-to-text:t">
                  <w:txbxContent>
                    <w:p w:rsidR="00CD7423" w:rsidRPr="00710DCA" w:rsidRDefault="00CD7423" w:rsidP="00CD7423">
                      <w:pPr>
                        <w:rPr>
                          <w:color w:val="FF0000"/>
                          <w:u w:val="single"/>
                        </w:rPr>
                      </w:pPr>
                      <w:r>
                        <w:rPr>
                          <w:color w:val="FF0000"/>
                          <w:u w:val="single"/>
                        </w:rPr>
                        <w:t>Alt 1 : Maximum</w:t>
                      </w:r>
                      <w:r w:rsidRPr="00710DCA">
                        <w:rPr>
                          <w:color w:val="FF0000"/>
                          <w:u w:val="single"/>
                        </w:rPr>
                        <w:t xml:space="preserve"> Data Rate </w:t>
                      </w:r>
                      <w:r>
                        <w:rPr>
                          <w:color w:val="FF0000"/>
                          <w:u w:val="single"/>
                        </w:rPr>
                        <w:t>based on TBS calculation</w:t>
                      </w:r>
                    </w:p>
                    <w:p w:rsidR="00CD7423" w:rsidRDefault="00730235" w:rsidP="00CD7423">
                      <w:pPr>
                        <w:jc w:val="center"/>
                      </w:pPr>
                      <w:r w:rsidRPr="00F001D9">
                        <w:rPr>
                          <w:position w:val="-30"/>
                        </w:rPr>
                        <w:object w:dxaOrig="4900" w:dyaOrig="720">
                          <v:shape id="_x0000_i1034" type="#_x0000_t75" style="width:245.25pt;height:36pt" o:ole="">
                            <v:imagedata r:id="rId26" o:title=""/>
                          </v:shape>
                          <o:OLEObject Type="Embed" ProgID="Equation.3" ShapeID="_x0000_i1034" DrawAspect="Content" ObjectID="_1572462075" r:id="rId27"/>
                        </w:object>
                      </w:r>
                    </w:p>
                    <w:p w:rsidR="00CD7423" w:rsidRDefault="00CD7423" w:rsidP="00CD7423">
                      <w:r>
                        <w:t>where TBS</w:t>
                      </w:r>
                      <w:r w:rsidRPr="002540CD">
                        <w:rPr>
                          <w:vertAlign w:val="subscript"/>
                        </w:rPr>
                        <w:t>CC</w:t>
                      </w:r>
                      <w:r>
                        <w:t xml:space="preserve"> is obtained for each carrier using the formula </w:t>
                      </w:r>
                      <w:r w:rsidRPr="00E82F03">
                        <w:rPr>
                          <w:position w:val="-28"/>
                        </w:rPr>
                        <w:object w:dxaOrig="3240" w:dyaOrig="680">
                          <v:shape id="_x0000_i1028" type="#_x0000_t75" style="width:2in;height:30.15pt" o:ole="">
                            <v:imagedata r:id="rId28" o:title=""/>
                          </v:shape>
                          <o:OLEObject Type="Embed" ProgID="Equation.3" ShapeID="_x0000_i1028" DrawAspect="Content" ObjectID="_1572462076" r:id="rId29"/>
                        </w:object>
                      </w:r>
                      <w:r>
                        <w:t xml:space="preserve">, where </w:t>
                      </w:r>
                      <w:r w:rsidR="00F001D9" w:rsidRPr="002540CD">
                        <w:rPr>
                          <w:position w:val="-14"/>
                        </w:rPr>
                        <w:object w:dxaOrig="3400" w:dyaOrig="380">
                          <v:shape id="_x0000_i1029" type="#_x0000_t75" style="width:170pt;height:19.25pt" o:ole="">
                            <v:imagedata r:id="rId30" o:title=""/>
                          </v:shape>
                          <o:OLEObject Type="Embed" ProgID="Equation.3" ShapeID="_x0000_i1029" DrawAspect="Content" ObjectID="_1572462077" r:id="rId31"/>
                        </w:object>
                      </w:r>
                      <w:r>
                        <w:t xml:space="preserve"> and </w:t>
                      </w:r>
                      <w:r w:rsidRPr="00B63C53">
                        <w:rPr>
                          <w:position w:val="-28"/>
                        </w:rPr>
                        <w:object w:dxaOrig="1200" w:dyaOrig="680">
                          <v:shape id="_x0000_i1030" type="#_x0000_t75" style="width:54.4pt;height:30.15pt" o:ole="">
                            <v:imagedata r:id="rId32" o:title=""/>
                          </v:shape>
                          <o:OLEObject Type="Embed" ProgID="Equation.3" ShapeID="_x0000_i1030" DrawAspect="Content" ObjectID="_1572462078" r:id="rId33"/>
                        </w:object>
                      </w:r>
                      <w:r>
                        <w:t xml:space="preserve">, </w:t>
                      </w:r>
                      <w:r w:rsidRPr="00710DCA">
                        <w:rPr>
                          <w:position w:val="-12"/>
                        </w:rPr>
                        <w:object w:dxaOrig="380" w:dyaOrig="360">
                          <v:shape id="_x0000_i1031" type="#_x0000_t75" style="width:19.25pt;height:18.4pt" o:ole="">
                            <v:imagedata r:id="rId34" o:title=""/>
                          </v:shape>
                          <o:OLEObject Type="Embed" ProgID="Equation.3" ShapeID="_x0000_i1031" DrawAspect="Content" ObjectID="_1572462079" r:id="rId35"/>
                        </w:object>
                      </w:r>
                      <w:r>
                        <w:t xml:space="preserve"> gives the maximum number of layers, </w:t>
                      </w:r>
                      <w:r w:rsidRPr="006E2F49">
                        <w:rPr>
                          <w:position w:val="-14"/>
                        </w:rPr>
                        <w:object w:dxaOrig="580" w:dyaOrig="380">
                          <v:shape id="_x0000_i1032" type="#_x0000_t75" style="width:29.3pt;height:19.25pt" o:ole="">
                            <v:imagedata r:id="rId36" o:title=""/>
                          </v:shape>
                          <o:OLEObject Type="Embed" ProgID="Equation.3" ShapeID="_x0000_i1032" DrawAspect="Content" ObjectID="_1572462080" r:id="rId37"/>
                        </w:object>
                      </w:r>
                      <w:r>
                        <w:t xml:space="preserve"> modulation order (QPSK=2, 16QAM=4, 64QAM=6 and 256QAM</w:t>
                      </w:r>
                      <w:r w:rsidRPr="007B0982">
                        <w:t xml:space="preserve">=8) and </w:t>
                      </w:r>
                      <w:r w:rsidR="00F001D9" w:rsidRPr="00F001D9">
                        <w:rPr>
                          <w:position w:val="-12"/>
                        </w:rPr>
                        <w:object w:dxaOrig="620" w:dyaOrig="360">
                          <v:shape id="_x0000_i1033" type="#_x0000_t75" style="width:31pt;height:18.4pt" o:ole="">
                            <v:imagedata r:id="rId38" o:title=""/>
                          </v:shape>
                          <o:OLEObject Type="Embed" ProgID="Equation.3" ShapeID="_x0000_i1033" DrawAspect="Content" ObjectID="_1572462081" r:id="rId39"/>
                        </w:object>
                      </w:r>
                      <w:r w:rsidRPr="007B0982">
                        <w:t xml:space="preserve"> </w:t>
                      </w:r>
                      <w:r w:rsidR="00F001D9">
                        <w:t>is the CC BW</w:t>
                      </w:r>
                      <w:r>
                        <w:t xml:space="preserve">. </w:t>
                      </w:r>
                      <w:r w:rsidRPr="00B264AB">
                        <w:rPr>
                          <w:i/>
                        </w:rPr>
                        <w:t>f</w:t>
                      </w:r>
                      <w:r>
                        <w:t xml:space="preserve"> denotes a scaling factor for the case that UE’s peak rate may be lower than the total sum of aggregated peak rate.</w:t>
                      </w:r>
                    </w:p>
                  </w:txbxContent>
                </v:textbox>
                <w10:wrap type="square"/>
              </v:shape>
            </w:pict>
          </mc:Fallback>
        </mc:AlternateContent>
      </w:r>
      <w:r>
        <w:rPr>
          <w:noProof/>
        </w:rPr>
        <w:t>Refined</w:t>
      </w:r>
      <w:r>
        <w:t xml:space="preserve"> data rate is given by the following </w:t>
      </w:r>
      <w:r w:rsidR="00F001D9">
        <w:t xml:space="preserve">where </w:t>
      </w:r>
      <w:proofErr w:type="spellStart"/>
      <w:r w:rsidR="00F001D9">
        <w:t>I</w:t>
      </w:r>
      <w:r w:rsidR="00F001D9" w:rsidRPr="00F001D9">
        <w:rPr>
          <w:vertAlign w:val="subscript"/>
        </w:rPr>
        <w:t>est</w:t>
      </w:r>
      <w:proofErr w:type="spellEnd"/>
      <w:r w:rsidR="00F001D9">
        <w:t xml:space="preserve"> is based on the max TBS (assuming a 1 </w:t>
      </w:r>
      <w:proofErr w:type="spellStart"/>
      <w:r w:rsidR="00F001D9">
        <w:t>ms</w:t>
      </w:r>
      <w:proofErr w:type="spellEnd"/>
      <w:r w:rsidR="00F001D9">
        <w:t xml:space="preserve"> duration) which is appropriately scaled based on the CC bandwidth. </w:t>
      </w:r>
    </w:p>
    <w:p w:rsidR="00CD7423" w:rsidRDefault="00CD7423" w:rsidP="00CD7423">
      <w:pPr>
        <w:jc w:val="both"/>
      </w:pPr>
    </w:p>
    <w:p w:rsidR="00CD7423" w:rsidRDefault="00CD7423" w:rsidP="00CD7423">
      <w:pPr>
        <w:jc w:val="both"/>
        <w:rPr>
          <w:b/>
          <w:u w:val="single"/>
        </w:rPr>
      </w:pPr>
      <w:r w:rsidRPr="007F46EC">
        <w:rPr>
          <w:b/>
          <w:u w:val="single"/>
        </w:rPr>
        <w:t>Approximate peak data rate</w:t>
      </w:r>
    </w:p>
    <w:p w:rsidR="00CD7423" w:rsidRDefault="00CD7423" w:rsidP="00CD7423">
      <w:pPr>
        <w:jc w:val="both"/>
      </w:pPr>
      <w:r w:rsidRPr="00970C1F">
        <w:t xml:space="preserve">If  </w:t>
      </w:r>
      <w:r>
        <w:t xml:space="preserve">RAN and RAN2 need only an approximate formula for data, then a simple formula as given in [1] is fine for us, with slight adjustment as shown below assuming 2 OFDM symbols of overhead and 96% BW occupancy (to align with above TBS calculation), though we think RAN1 can agree to the details of overhead assumptions. </w:t>
      </w:r>
    </w:p>
    <w:p w:rsidR="00CD7423" w:rsidRDefault="00CD7423" w:rsidP="00CD7423">
      <w:pPr>
        <w:jc w:val="both"/>
      </w:pPr>
      <w:r>
        <w:rPr>
          <w:noProof/>
        </w:rPr>
        <mc:AlternateContent>
          <mc:Choice Requires="wps">
            <w:drawing>
              <wp:inline distT="0" distB="0" distL="0" distR="0" wp14:anchorId="45756934" wp14:editId="4451D32C">
                <wp:extent cx="6018530" cy="1404620"/>
                <wp:effectExtent l="0" t="0" r="20320" b="2667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8530" cy="1404620"/>
                        </a:xfrm>
                        <a:prstGeom prst="rect">
                          <a:avLst/>
                        </a:prstGeom>
                        <a:solidFill>
                          <a:srgbClr val="FFFFFF"/>
                        </a:solidFill>
                        <a:ln w="9525">
                          <a:solidFill>
                            <a:srgbClr val="000000"/>
                          </a:solidFill>
                          <a:miter lim="800000"/>
                          <a:headEnd/>
                          <a:tailEnd/>
                        </a:ln>
                      </wps:spPr>
                      <wps:txbx>
                        <w:txbxContent>
                          <w:p w:rsidR="00CD7423" w:rsidRPr="00710DCA" w:rsidRDefault="00CD7423" w:rsidP="00CD7423">
                            <w:pPr>
                              <w:rPr>
                                <w:color w:val="FF0000"/>
                                <w:u w:val="single"/>
                              </w:rPr>
                            </w:pPr>
                            <w:bookmarkStart w:id="1" w:name="_Hlk494535395"/>
                            <w:r>
                              <w:rPr>
                                <w:color w:val="FF0000"/>
                                <w:u w:val="single"/>
                              </w:rPr>
                              <w:t>Alt 2: Approximate</w:t>
                            </w:r>
                            <w:r w:rsidRPr="00710DCA">
                              <w:rPr>
                                <w:color w:val="FF0000"/>
                                <w:u w:val="single"/>
                              </w:rPr>
                              <w:t xml:space="preserve"> </w:t>
                            </w:r>
                            <w:r>
                              <w:rPr>
                                <w:color w:val="FF0000"/>
                                <w:u w:val="single"/>
                              </w:rPr>
                              <w:t>maximum</w:t>
                            </w:r>
                            <w:r w:rsidRPr="00710DCA">
                              <w:rPr>
                                <w:color w:val="FF0000"/>
                                <w:u w:val="single"/>
                              </w:rPr>
                              <w:t xml:space="preserve"> Data Rate </w:t>
                            </w:r>
                          </w:p>
                          <w:p w:rsidR="00CD7423" w:rsidRDefault="00CD7423" w:rsidP="00CD7423">
                            <w:pPr>
                              <w:pStyle w:val="BodyText"/>
                              <w:spacing w:after="240"/>
                              <w:jc w:val="center"/>
                              <w:rPr>
                                <w:lang w:val="en-US"/>
                              </w:rPr>
                            </w:pPr>
                            <w:r w:rsidRPr="006E2F49">
                              <w:rPr>
                                <w:position w:val="-28"/>
                                <w:lang w:val="en-US"/>
                              </w:rPr>
                              <w:object w:dxaOrig="4880" w:dyaOrig="700">
                                <v:shape id="_x0000_i1035" type="#_x0000_t75" style="width:243.65pt;height:35.15pt" o:ole="">
                                  <v:imagedata r:id="rId40" o:title=""/>
                                </v:shape>
                                <o:OLEObject Type="Embed" ProgID="Equation.3" ShapeID="_x0000_i1035" DrawAspect="Content" ObjectID="_1572462168" r:id="rId41"/>
                              </w:object>
                            </w:r>
                          </w:p>
                          <w:p w:rsidR="00CD7423" w:rsidRPr="006E2F49" w:rsidRDefault="00CD7423" w:rsidP="00CD7423">
                            <w:pPr>
                              <w:pStyle w:val="BodyText"/>
                              <w:spacing w:after="240"/>
                              <w:rPr>
                                <w:lang w:val="en-US"/>
                              </w:rPr>
                            </w:pPr>
                            <w:r>
                              <w:rPr>
                                <w:lang w:val="en-US"/>
                              </w:rPr>
                              <w:t xml:space="preserve">Wherein the summation is performed over </w:t>
                            </w:r>
                            <w:proofErr w:type="spellStart"/>
                            <w:r>
                              <w:rPr>
                                <w:lang w:val="en-US"/>
                              </w:rPr>
                              <w:t>over</w:t>
                            </w:r>
                            <w:proofErr w:type="spellEnd"/>
                            <w:r>
                              <w:rPr>
                                <w:lang w:val="en-US"/>
                              </w:rPr>
                              <w:t xml:space="preserve"> all aggregated carriers, with corresponding values for each of the aggregated carriers -  </w:t>
                            </w:r>
                            <w:r w:rsidRPr="00710DCA">
                              <w:rPr>
                                <w:position w:val="-12"/>
                              </w:rPr>
                              <w:object w:dxaOrig="380" w:dyaOrig="360">
                                <v:shape id="_x0000_i1036" type="#_x0000_t75" style="width:19.25pt;height:18.4pt" o:ole="">
                                  <v:imagedata r:id="rId42" o:title=""/>
                                </v:shape>
                                <o:OLEObject Type="Embed" ProgID="Equation.3" ShapeID="_x0000_i1036" DrawAspect="Content" ObjectID="_1572462169" r:id="rId43"/>
                              </w:object>
                            </w:r>
                            <w:r>
                              <w:t xml:space="preserve"> is the maximum number of layers, </w:t>
                            </w:r>
                            <w:r w:rsidRPr="006E2F49">
                              <w:rPr>
                                <w:position w:val="-14"/>
                              </w:rPr>
                              <w:object w:dxaOrig="580" w:dyaOrig="380">
                                <v:shape id="_x0000_i1037" type="#_x0000_t75" style="width:29.3pt;height:19.25pt" o:ole="">
                                  <v:imagedata r:id="rId36" o:title=""/>
                                </v:shape>
                                <o:OLEObject Type="Embed" ProgID="Equation.3" ShapeID="_x0000_i1037" DrawAspect="Content" ObjectID="_1572462170" r:id="rId44"/>
                              </w:object>
                            </w:r>
                            <w:r>
                              <w:t xml:space="preserve"> modulation order (QPSK=2, 16QAM=4, 64QAM=6 and 256QAM=8) and </w:t>
                            </w:r>
                            <w:r w:rsidRPr="006E2F49">
                              <w:rPr>
                                <w:position w:val="-14"/>
                              </w:rPr>
                              <w:object w:dxaOrig="740" w:dyaOrig="380">
                                <v:shape id="_x0000_i1038" type="#_x0000_t75" style="width:36.85pt;height:19.25pt" o:ole="">
                                  <v:imagedata r:id="rId45" o:title=""/>
                                </v:shape>
                                <o:OLEObject Type="Embed" ProgID="Equation.3" ShapeID="_x0000_i1038" DrawAspect="Content" ObjectID="_1572462171" r:id="rId46"/>
                              </w:object>
                            </w:r>
                            <w:r>
                              <w:t xml:space="preserve"> the amount of spectrum for the CC in </w:t>
                            </w:r>
                            <w:proofErr w:type="spellStart"/>
                            <w:r>
                              <w:t>MHz.</w:t>
                            </w:r>
                            <w:proofErr w:type="spellEnd"/>
                            <w:r>
                              <w:t xml:space="preserve"> </w:t>
                            </w:r>
                            <w:r w:rsidRPr="00B264AB">
                              <w:rPr>
                                <w:i/>
                                <w:lang w:val="en-US"/>
                              </w:rPr>
                              <w:t>f</w:t>
                            </w:r>
                            <w:r>
                              <w:rPr>
                                <w:lang w:val="en-US"/>
                              </w:rPr>
                              <w:t xml:space="preserve"> denotes a scaling factor </w:t>
                            </w:r>
                            <w:r>
                              <w:t>for</w:t>
                            </w:r>
                            <w:r>
                              <w:rPr>
                                <w:lang w:val="en-US"/>
                              </w:rPr>
                              <w:t xml:space="preserve"> the case that </w:t>
                            </w:r>
                            <w:r>
                              <w:t>UE’s peak rate may be lower than the total sum of aggregated peak rate. The corresponding formula will give the data rate in Mbps.</w:t>
                            </w:r>
                            <w:bookmarkEnd w:id="1"/>
                          </w:p>
                        </w:txbxContent>
                      </wps:txbx>
                      <wps:bodyPr rot="0" vert="horz" wrap="square" lIns="91440" tIns="45720" rIns="91440" bIns="45720" anchor="t" anchorCtr="0">
                        <a:spAutoFit/>
                      </wps:bodyPr>
                    </wps:wsp>
                  </a:graphicData>
                </a:graphic>
              </wp:inline>
            </w:drawing>
          </mc:Choice>
          <mc:Fallback>
            <w:pict>
              <v:shape w14:anchorId="45756934" id="_x0000_s1028" type="#_x0000_t202" style="width:473.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">
                <v:textbox style="mso-fit-shape-to-text:t">
                  <w:txbxContent>
                    <w:p w:rsidR="00CD7423" w:rsidRPr="00710DCA" w:rsidRDefault="00CD7423" w:rsidP="00CD7423">
                      <w:pPr>
                        <w:rPr>
                          <w:color w:val="FF0000"/>
                          <w:u w:val="single"/>
                        </w:rPr>
                      </w:pPr>
                      <w:bookmarkStart w:id="2" w:name="_Hlk494535395"/>
                      <w:r>
                        <w:rPr>
                          <w:color w:val="FF0000"/>
                          <w:u w:val="single"/>
                        </w:rPr>
                        <w:t>Alt 2: Approximate</w:t>
                      </w:r>
                      <w:r w:rsidRPr="00710DCA">
                        <w:rPr>
                          <w:color w:val="FF0000"/>
                          <w:u w:val="single"/>
                        </w:rPr>
                        <w:t xml:space="preserve"> </w:t>
                      </w:r>
                      <w:r>
                        <w:rPr>
                          <w:color w:val="FF0000"/>
                          <w:u w:val="single"/>
                        </w:rPr>
                        <w:t>maximum</w:t>
                      </w:r>
                      <w:r w:rsidRPr="00710DCA">
                        <w:rPr>
                          <w:color w:val="FF0000"/>
                          <w:u w:val="single"/>
                        </w:rPr>
                        <w:t xml:space="preserve"> Data Rate </w:t>
                      </w:r>
                    </w:p>
                    <w:p w:rsidR="00CD7423" w:rsidRDefault="00CD7423" w:rsidP="00CD7423">
                      <w:pPr>
                        <w:pStyle w:val="BodyText"/>
                        <w:spacing w:after="240"/>
                        <w:jc w:val="center"/>
                        <w:rPr>
                          <w:lang w:val="en-US"/>
                        </w:rPr>
                      </w:pPr>
                      <w:r w:rsidRPr="006E2F49">
                        <w:rPr>
                          <w:position w:val="-28"/>
                          <w:lang w:val="en-US"/>
                        </w:rPr>
                        <w:object w:dxaOrig="4880" w:dyaOrig="700">
                          <v:shape id="_x0000_i1035" type="#_x0000_t75" style="width:243.65pt;height:35.15pt" o:ole="">
                            <v:imagedata r:id="rId47" o:title=""/>
                          </v:shape>
                          <o:OLEObject Type="Embed" ProgID="Equation.3" ShapeID="_x0000_i1035" DrawAspect="Content" ObjectID="_1572461826" r:id="rId48"/>
                        </w:object>
                      </w:r>
                    </w:p>
                    <w:p w:rsidR="00CD7423" w:rsidRPr="006E2F49" w:rsidRDefault="00CD7423" w:rsidP="00CD7423">
                      <w:pPr>
                        <w:pStyle w:val="BodyText"/>
                        <w:spacing w:after="240"/>
                        <w:rPr>
                          <w:lang w:val="en-US"/>
                        </w:rPr>
                      </w:pPr>
                      <w:r>
                        <w:rPr>
                          <w:lang w:val="en-US"/>
                        </w:rPr>
                        <w:t xml:space="preserve">Wherein the summation is performed over </w:t>
                      </w:r>
                      <w:proofErr w:type="spellStart"/>
                      <w:r>
                        <w:rPr>
                          <w:lang w:val="en-US"/>
                        </w:rPr>
                        <w:t>over</w:t>
                      </w:r>
                      <w:proofErr w:type="spellEnd"/>
                      <w:r>
                        <w:rPr>
                          <w:lang w:val="en-US"/>
                        </w:rPr>
                        <w:t xml:space="preserve"> all aggregated carriers, with corresponding values for each of the aggregated carriers -  </w:t>
                      </w:r>
                      <w:r w:rsidRPr="00710DCA">
                        <w:rPr>
                          <w:position w:val="-12"/>
                        </w:rPr>
                        <w:object w:dxaOrig="380" w:dyaOrig="360">
                          <v:shape id="_x0000_i1036" type="#_x0000_t75" style="width:19.25pt;height:18.4pt" o:ole="">
                            <v:imagedata r:id="rId49" o:title=""/>
                          </v:shape>
                          <o:OLEObject Type="Embed" ProgID="Equation.3" ShapeID="_x0000_i1036" DrawAspect="Content" ObjectID="_1572461827" r:id="rId50"/>
                        </w:object>
                      </w:r>
                      <w:r>
                        <w:t xml:space="preserve"> is the maximum number of layers, </w:t>
                      </w:r>
                      <w:r w:rsidRPr="006E2F49">
                        <w:rPr>
                          <w:position w:val="-14"/>
                        </w:rPr>
                        <w:object w:dxaOrig="580" w:dyaOrig="380">
                          <v:shape id="_x0000_i1037" type="#_x0000_t75" style="width:29.3pt;height:19.25pt" o:ole="">
                            <v:imagedata r:id="rId51" o:title=""/>
                          </v:shape>
                          <o:OLEObject Type="Embed" ProgID="Equation.3" ShapeID="_x0000_i1037" DrawAspect="Content" ObjectID="_1572461828" r:id="rId52"/>
                        </w:object>
                      </w:r>
                      <w:r>
                        <w:t xml:space="preserve"> modulation order (QPSK=2, 16QAM=4, 64QAM=6 and 256QAM=8) and </w:t>
                      </w:r>
                      <w:r w:rsidRPr="006E2F49">
                        <w:rPr>
                          <w:position w:val="-14"/>
                        </w:rPr>
                        <w:object w:dxaOrig="740" w:dyaOrig="380">
                          <v:shape id="_x0000_i1038" type="#_x0000_t75" style="width:36.85pt;height:19.25pt" o:ole="">
                            <v:imagedata r:id="rId53" o:title=""/>
                          </v:shape>
                          <o:OLEObject Type="Embed" ProgID="Equation.3" ShapeID="_x0000_i1038" DrawAspect="Content" ObjectID="_1572461829" r:id="rId54"/>
                        </w:object>
                      </w:r>
                      <w:r>
                        <w:t xml:space="preserve"> the amount of spectrum for the CC in </w:t>
                      </w:r>
                      <w:proofErr w:type="spellStart"/>
                      <w:r>
                        <w:t>MHz.</w:t>
                      </w:r>
                      <w:proofErr w:type="spellEnd"/>
                      <w:r>
                        <w:t xml:space="preserve"> </w:t>
                      </w:r>
                      <w:r w:rsidRPr="00B264AB">
                        <w:rPr>
                          <w:i/>
                          <w:lang w:val="en-US"/>
                        </w:rPr>
                        <w:t>f</w:t>
                      </w:r>
                      <w:r>
                        <w:rPr>
                          <w:lang w:val="en-US"/>
                        </w:rPr>
                        <w:t xml:space="preserve"> denotes a scaling factor </w:t>
                      </w:r>
                      <w:r>
                        <w:t>for</w:t>
                      </w:r>
                      <w:r>
                        <w:rPr>
                          <w:lang w:val="en-US"/>
                        </w:rPr>
                        <w:t xml:space="preserve"> the case that </w:t>
                      </w:r>
                      <w:r>
                        <w:t>UE’s peak rate may be lower than the total sum of aggregated peak rate. The corresponding formula will give the data rate in Mbps.</w:t>
                      </w:r>
                      <w:bookmarkEnd w:id="2"/>
                    </w:p>
                  </w:txbxContent>
                </v:textbox>
                <w10:anchorlock/>
              </v:shape>
            </w:pict>
          </mc:Fallback>
        </mc:AlternateContent>
      </w:r>
      <w:r>
        <w:t xml:space="preserve"> </w:t>
      </w:r>
    </w:p>
    <w:p w:rsidR="00CD7423" w:rsidRDefault="00CD7423" w:rsidP="00CD7423">
      <w:pPr>
        <w:jc w:val="both"/>
        <w:rPr>
          <w:b/>
          <w:lang w:val="en-GB"/>
        </w:rPr>
      </w:pPr>
      <w:r w:rsidRPr="005102C5">
        <w:rPr>
          <w:b/>
          <w:lang w:val="en-GB"/>
        </w:rPr>
        <w:t xml:space="preserve">Proposal 1: RAN1 should discuss and agree on the formula for maximum data rate </w:t>
      </w:r>
      <w:r>
        <w:rPr>
          <w:b/>
          <w:lang w:eastAsia="ko-KR"/>
        </w:rPr>
        <w:t xml:space="preserve">based on the sum of aggregated data rate (across CCs) </w:t>
      </w:r>
      <w:r w:rsidRPr="005102C5">
        <w:rPr>
          <w:b/>
          <w:lang w:val="en-GB"/>
        </w:rPr>
        <w:t>from one of the following two alternatives</w:t>
      </w:r>
      <w:r>
        <w:rPr>
          <w:b/>
          <w:lang w:val="en-GB"/>
        </w:rPr>
        <w:t xml:space="preserve"> (listed in the document)</w:t>
      </w:r>
      <w:r w:rsidRPr="005102C5">
        <w:rPr>
          <w:b/>
          <w:lang w:val="en-GB"/>
        </w:rPr>
        <w:t xml:space="preserve">. </w:t>
      </w:r>
    </w:p>
    <w:p w:rsidR="00CD7423" w:rsidRPr="00970C1F" w:rsidRDefault="00CD7423" w:rsidP="00CD7423">
      <w:pPr>
        <w:pStyle w:val="ListParagraph"/>
        <w:numPr>
          <w:ilvl w:val="0"/>
          <w:numId w:val="4"/>
        </w:numPr>
        <w:ind w:leftChars="0"/>
        <w:rPr>
          <w:b/>
        </w:rPr>
      </w:pPr>
      <w:r w:rsidRPr="00970C1F">
        <w:rPr>
          <w:b/>
        </w:rPr>
        <w:t>Alt 1 : Maximum Data Rate based on TBS calculation</w:t>
      </w:r>
    </w:p>
    <w:p w:rsidR="00CD7423" w:rsidRPr="00970C1F" w:rsidRDefault="00CD7423" w:rsidP="00CD7423">
      <w:pPr>
        <w:pStyle w:val="ListParagraph"/>
        <w:numPr>
          <w:ilvl w:val="0"/>
          <w:numId w:val="4"/>
        </w:numPr>
        <w:ind w:leftChars="0"/>
        <w:rPr>
          <w:b/>
        </w:rPr>
      </w:pPr>
      <w:r w:rsidRPr="00970C1F">
        <w:rPr>
          <w:b/>
        </w:rPr>
        <w:t xml:space="preserve">Alt 2: Approximate Maximum Data Rate </w:t>
      </w:r>
    </w:p>
    <w:p w:rsidR="00CD7423" w:rsidRPr="00710DCA" w:rsidRDefault="00CD7423" w:rsidP="00CD7423">
      <w:pPr>
        <w:rPr>
          <w:color w:val="FF0000"/>
          <w:u w:val="single"/>
        </w:rPr>
      </w:pPr>
    </w:p>
    <w:p w:rsidR="00CD7423" w:rsidRPr="00955CB8" w:rsidRDefault="00CD7423" w:rsidP="00CD7423">
      <w:pPr>
        <w:pStyle w:val="Heading1"/>
        <w:numPr>
          <w:ilvl w:val="0"/>
          <w:numId w:val="1"/>
        </w:numPr>
        <w:ind w:left="360"/>
        <w:jc w:val="both"/>
        <w:textAlignment w:val="auto"/>
        <w:rPr>
          <w:sz w:val="32"/>
        </w:rPr>
      </w:pPr>
      <w:r>
        <w:rPr>
          <w:sz w:val="32"/>
        </w:rPr>
        <w:t xml:space="preserve">Discussion on capability </w:t>
      </w:r>
      <w:proofErr w:type="spellStart"/>
      <w:r>
        <w:rPr>
          <w:sz w:val="32"/>
        </w:rPr>
        <w:t>signaling</w:t>
      </w:r>
      <w:proofErr w:type="spellEnd"/>
    </w:p>
    <w:p w:rsidR="00CD7423" w:rsidRDefault="00CD7423" w:rsidP="00CD7423">
      <w:pPr>
        <w:jc w:val="both"/>
        <w:rPr>
          <w:lang w:val="en-GB"/>
        </w:rPr>
      </w:pPr>
      <w:r>
        <w:rPr>
          <w:lang w:val="en-GB"/>
        </w:rPr>
        <w:t>We discuss three aspects here – modulation order, MIMO layer signalling and a scaling factor for peak data rate.</w:t>
      </w:r>
    </w:p>
    <w:p w:rsidR="00CD7423" w:rsidRDefault="00CD7423" w:rsidP="00CD7423">
      <w:pPr>
        <w:jc w:val="both"/>
        <w:rPr>
          <w:lang w:val="en-GB"/>
        </w:rPr>
      </w:pPr>
    </w:p>
    <w:p w:rsidR="00CD7423" w:rsidRDefault="00CD7423" w:rsidP="00CD7423">
      <w:pPr>
        <w:jc w:val="both"/>
        <w:rPr>
          <w:lang w:val="en-GB"/>
        </w:rPr>
      </w:pPr>
    </w:p>
    <w:p w:rsidR="00CD7423" w:rsidRDefault="00CD7423" w:rsidP="00CD7423">
      <w:pPr>
        <w:jc w:val="both"/>
        <w:rPr>
          <w:b/>
          <w:u w:val="single"/>
          <w:lang w:val="en-GB"/>
        </w:rPr>
      </w:pPr>
      <w:r w:rsidRPr="005102C5">
        <w:rPr>
          <w:b/>
          <w:u w:val="single"/>
          <w:lang w:val="en-GB"/>
        </w:rPr>
        <w:t xml:space="preserve">Modulation order </w:t>
      </w:r>
    </w:p>
    <w:p w:rsidR="00CD7423" w:rsidRDefault="00CD7423" w:rsidP="00CD7423">
      <w:pPr>
        <w:jc w:val="both"/>
        <w:rPr>
          <w:lang w:val="en-GB"/>
        </w:rPr>
      </w:pPr>
      <w:r w:rsidRPr="00C57E95">
        <w:lastRenderedPageBreak/>
        <w:t>In LTE,</w:t>
      </w:r>
      <w:r>
        <w:t xml:space="preserve"> modulation order is indicated per UE because it is considered as pure baseband capability. Though, signaling structure for reporting LTE DL 256QAM capability is based on per-band / per-band combination, for future consideration (i.e. setting all support for all BCs, if supported). </w:t>
      </w:r>
      <w:r>
        <w:rPr>
          <w:lang w:val="en-GB"/>
        </w:rPr>
        <w:t xml:space="preserve">For NR, RAN2 has agreed that </w:t>
      </w:r>
      <w:r>
        <w:t xml:space="preserve">modulation order is in included in the BPC (Baseband Processing Capability), where it is further to be discussed whether modulation order in BPC is defined per CC or not. </w:t>
      </w:r>
      <w:r>
        <w:rPr>
          <w:lang w:val="en-GB"/>
        </w:rPr>
        <w:t>For NR and the case where</w:t>
      </w:r>
      <w:r w:rsidRPr="00F937A9">
        <w:rPr>
          <w:lang w:val="en-GB"/>
        </w:rPr>
        <w:t xml:space="preserve"> UE supports a peak data rate at least eq</w:t>
      </w:r>
      <w:r>
        <w:rPr>
          <w:lang w:val="en-GB"/>
        </w:rPr>
        <w:t xml:space="preserve">ual to the derived data rate based on signalled band combinations and baseband capabilities, the modulation order in BPC should have dependency on the band/band combination. Otherwise, if UE is not capable of accommodating hardware/dimensioning for the given data rate but UE is able to support all higher modulation order (e.g. 256QAM), UE has to report less capabilities (i.e. reporting 64QAM although the UE is able to support 256QAM). Moreover, the supported modulation order can be different depending on carrier frequency due to different RF characteristics. Thus, it is desirable to further include modulation order per CC in BPC. This can be achieved by following proposal though RAN2 can work on detailed signalling aspects. </w:t>
      </w:r>
    </w:p>
    <w:p w:rsidR="00CD7423" w:rsidRDefault="00CD7423" w:rsidP="00CD7423">
      <w:pPr>
        <w:jc w:val="both"/>
        <w:rPr>
          <w:color w:val="1F497D"/>
        </w:rPr>
      </w:pPr>
      <w:r>
        <w:rPr>
          <w:b/>
        </w:rPr>
        <w:t xml:space="preserve">Proposal </w:t>
      </w:r>
      <w:r>
        <w:rPr>
          <w:b/>
          <w:lang w:eastAsia="ko-KR"/>
        </w:rPr>
        <w:t>2: Modulation order per CC in BPC should have dependency on the band/band combination.</w:t>
      </w:r>
    </w:p>
    <w:p w:rsidR="00CD7423" w:rsidRDefault="00CD7423" w:rsidP="00CD7423">
      <w:pPr>
        <w:jc w:val="both"/>
        <w:rPr>
          <w:b/>
          <w:u w:val="single"/>
          <w:lang w:val="en-GB"/>
        </w:rPr>
      </w:pPr>
      <w:r>
        <w:rPr>
          <w:b/>
          <w:u w:val="single"/>
          <w:lang w:val="en-GB"/>
        </w:rPr>
        <w:t>MIMO layer signalling</w:t>
      </w:r>
      <w:r w:rsidRPr="00B63C53">
        <w:rPr>
          <w:b/>
          <w:u w:val="single"/>
          <w:lang w:val="en-GB"/>
        </w:rPr>
        <w:t xml:space="preserve"> </w:t>
      </w:r>
    </w:p>
    <w:p w:rsidR="00CD7423" w:rsidRDefault="00CD7423" w:rsidP="00CD7423">
      <w:pPr>
        <w:jc w:val="both"/>
        <w:rPr>
          <w:lang w:eastAsia="ja-JP" w:bidi="hi-IN"/>
        </w:rPr>
      </w:pPr>
      <w:r w:rsidRPr="002C1F73">
        <w:rPr>
          <w:lang w:val="en-GB"/>
        </w:rPr>
        <w:t xml:space="preserve">RAN2 has sent an LS to RAN1 asking for classification for Layer-1 </w:t>
      </w:r>
      <w:proofErr w:type="spellStart"/>
      <w:r w:rsidRPr="002C1F73">
        <w:rPr>
          <w:lang w:val="en-GB"/>
        </w:rPr>
        <w:t>signaling</w:t>
      </w:r>
      <w:proofErr w:type="spellEnd"/>
      <w:r>
        <w:rPr>
          <w:lang w:val="en-GB"/>
        </w:rPr>
        <w:t xml:space="preserve"> into different types (R1-1719460) – see Annex A. While RAN4 would be providing feedback on the RAN2 agreements and working assumptions with regards to MIMO capability, in our understanding the number of supported MIMO layers depends on the frequency band, which would be aligned with the RAN2 agreement of “</w:t>
      </w:r>
      <w:r w:rsidRPr="000F15F2">
        <w:rPr>
          <w:bCs/>
          <w:i/>
          <w:lang w:eastAsia="ja-JP" w:bidi="hi-IN"/>
        </w:rPr>
        <w:t xml:space="preserve">MIMO layers capability will be </w:t>
      </w:r>
      <w:r w:rsidRPr="000F15F2">
        <w:rPr>
          <w:b/>
          <w:bCs/>
          <w:i/>
          <w:lang w:eastAsia="ja-JP" w:bidi="hi-IN"/>
        </w:rPr>
        <w:t>signaled with per band</w:t>
      </w:r>
      <w:r w:rsidRPr="000F15F2">
        <w:rPr>
          <w:bCs/>
          <w:i/>
          <w:lang w:eastAsia="ja-JP" w:bidi="hi-IN"/>
        </w:rPr>
        <w:t xml:space="preserve"> granularity</w:t>
      </w:r>
      <w:r>
        <w:rPr>
          <w:b/>
        </w:rPr>
        <w:t xml:space="preserve">”. </w:t>
      </w:r>
      <w:r w:rsidRPr="00273871">
        <w:t>Moreover, indicating MIMO layer capability per-CC as part of BPC would allow UE to signal different combinations of number of support layers and BW per CC</w:t>
      </w:r>
      <w:r>
        <w:t xml:space="preserve"> which would provide some level of flexibility to the UE. However, we think also, that MIMO layer support should have a dependency on per-CC per band combination as the number of support MIMO layers could vary for different band combinations, e.g. based on whether the band combination includes </w:t>
      </w:r>
      <w:r w:rsidRPr="00FE4D1E">
        <w:rPr>
          <w:lang w:eastAsia="ja-JP" w:bidi="hi-IN"/>
        </w:rPr>
        <w:t>inter-band / intra-band non-contiguous / intra-band contiguous CCs</w:t>
      </w:r>
      <w:r>
        <w:rPr>
          <w:lang w:eastAsia="ja-JP" w:bidi="hi-IN"/>
        </w:rPr>
        <w:t>. In absence of dependency of MIMO layers on band combination, UE may end up having to reduce the number of supported layers in BPC signaling, resulting in reduced peak data rates.</w:t>
      </w:r>
    </w:p>
    <w:p w:rsidR="00CD7423" w:rsidRDefault="00CD7423" w:rsidP="00CD7423">
      <w:pPr>
        <w:jc w:val="both"/>
        <w:rPr>
          <w:b/>
        </w:rPr>
      </w:pPr>
      <w:r>
        <w:rPr>
          <w:lang w:eastAsia="ja-JP" w:bidi="hi-IN"/>
        </w:rPr>
        <w:t>While details are to be discussed in RAN4, we would like to highlight that this is a potential issue that can potentially also affect type classification exercise in RAN1 with respect to layer-1 features. Therefore, we would like to propose the following.</w:t>
      </w:r>
    </w:p>
    <w:p w:rsidR="00CD7423" w:rsidRDefault="00CD7423" w:rsidP="00CD7423">
      <w:pPr>
        <w:jc w:val="both"/>
        <w:rPr>
          <w:color w:val="1F497D"/>
        </w:rPr>
      </w:pPr>
      <w:r>
        <w:rPr>
          <w:b/>
        </w:rPr>
        <w:t xml:space="preserve">Proposal </w:t>
      </w:r>
      <w:r>
        <w:rPr>
          <w:b/>
          <w:lang w:eastAsia="ko-KR"/>
        </w:rPr>
        <w:t>3: Signaling should allow indication of MIMO layers support on per-CC per-band combination.</w:t>
      </w:r>
    </w:p>
    <w:p w:rsidR="00CD7423" w:rsidRPr="005102C5" w:rsidRDefault="00CD7423" w:rsidP="00CD7423">
      <w:pPr>
        <w:jc w:val="both"/>
        <w:rPr>
          <w:b/>
          <w:u w:val="single"/>
          <w:lang w:val="en-GB"/>
        </w:rPr>
      </w:pPr>
      <w:r w:rsidRPr="005102C5">
        <w:rPr>
          <w:b/>
          <w:u w:val="single"/>
          <w:lang w:val="en-GB"/>
        </w:rPr>
        <w:t xml:space="preserve">Peak data </w:t>
      </w:r>
      <w:r>
        <w:rPr>
          <w:b/>
          <w:u w:val="single"/>
          <w:lang w:val="en-GB"/>
        </w:rPr>
        <w:t xml:space="preserve">calculation </w:t>
      </w:r>
      <w:r w:rsidRPr="005102C5">
        <w:rPr>
          <w:b/>
          <w:u w:val="single"/>
          <w:lang w:val="en-GB"/>
        </w:rPr>
        <w:t>and scaling factor</w:t>
      </w:r>
      <w:r>
        <w:rPr>
          <w:b/>
          <w:u w:val="single"/>
          <w:lang w:val="en-GB"/>
        </w:rPr>
        <w:t xml:space="preserve"> (f)</w:t>
      </w:r>
    </w:p>
    <w:p w:rsidR="00CD7423" w:rsidRDefault="00CD7423" w:rsidP="00CD7423">
      <w:pPr>
        <w:jc w:val="both"/>
        <w:rPr>
          <w:lang w:val="en-GB"/>
        </w:rPr>
      </w:pPr>
      <w:r>
        <w:rPr>
          <w:lang w:val="en-GB"/>
        </w:rPr>
        <w:t xml:space="preserve">In the LS reply to RAN2’s LS, </w:t>
      </w:r>
      <w:r w:rsidRPr="00F937A9">
        <w:rPr>
          <w:lang w:val="en-GB"/>
        </w:rPr>
        <w:t xml:space="preserve">RAN1 </w:t>
      </w:r>
      <w:r>
        <w:rPr>
          <w:lang w:val="en-GB"/>
        </w:rPr>
        <w:t>mention</w:t>
      </w:r>
      <w:r w:rsidRPr="00F937A9">
        <w:rPr>
          <w:lang w:val="en-GB"/>
        </w:rPr>
        <w:t xml:space="preserve">ed that an explicitly signalled UE category (for NR and NR-NR DC and MR-DC) is not </w:t>
      </w:r>
      <w:r>
        <w:rPr>
          <w:lang w:val="en-GB"/>
        </w:rPr>
        <w:t>required</w:t>
      </w:r>
      <w:r w:rsidRPr="00F937A9">
        <w:rPr>
          <w:lang w:val="en-GB"/>
        </w:rPr>
        <w:t xml:space="preserve"> if the UE supports a peak data rate at least </w:t>
      </w:r>
      <w:r>
        <w:rPr>
          <w:lang w:val="en-GB"/>
        </w:rPr>
        <w:t xml:space="preserve">being </w:t>
      </w:r>
      <w:r w:rsidRPr="00F937A9">
        <w:rPr>
          <w:lang w:val="en-GB"/>
        </w:rPr>
        <w:t>eq</w:t>
      </w:r>
      <w:r>
        <w:rPr>
          <w:lang w:val="en-GB"/>
        </w:rPr>
        <w:t xml:space="preserve">ual to the derived data rate based on signalled band combinations and baseband capabilities. This indicates that if there are cases where the UE supports a </w:t>
      </w:r>
      <w:r w:rsidRPr="003D4B7D">
        <w:rPr>
          <w:lang w:val="en-GB"/>
        </w:rPr>
        <w:t>lower peak rate than the peak rate from band comb</w:t>
      </w:r>
      <w:r>
        <w:rPr>
          <w:lang w:val="en-GB"/>
        </w:rPr>
        <w:t xml:space="preserve">ination and baseband capability, then there would be a need to explicitly indicate the peak rate supported by the UE. This may be done by explicit signalling of actual peak data rate, or similar mechanisms, such as indicating the supported peak rate in the baseband capabilities. </w:t>
      </w:r>
    </w:p>
    <w:p w:rsidR="00CD7423" w:rsidRDefault="00CD7423" w:rsidP="00CD7423">
      <w:pPr>
        <w:jc w:val="both"/>
        <w:rPr>
          <w:lang w:eastAsia="ko-KR"/>
        </w:rPr>
      </w:pPr>
      <w:r>
        <w:t>W</w:t>
      </w:r>
      <w:r w:rsidRPr="00F937A9">
        <w:t>e see benefit</w:t>
      </w:r>
      <w:r>
        <w:t xml:space="preserve">s in allowing some level of </w:t>
      </w:r>
      <w:r w:rsidRPr="00F937A9">
        <w:t xml:space="preserve">decoupling </w:t>
      </w:r>
      <w:r>
        <w:t xml:space="preserve">of </w:t>
      </w:r>
      <w:r w:rsidRPr="00F937A9">
        <w:t xml:space="preserve">peak data rate in baseband processing and </w:t>
      </w:r>
      <w:r>
        <w:t>derived peak</w:t>
      </w:r>
      <w:r w:rsidRPr="00F937A9">
        <w:t xml:space="preserve"> data rate </w:t>
      </w:r>
      <w:r>
        <w:t>from</w:t>
      </w:r>
      <w:r w:rsidRPr="00F937A9">
        <w:t xml:space="preserve"> band co</w:t>
      </w:r>
      <w:r>
        <w:t>mbination/baseband capabilities</w:t>
      </w:r>
      <w:r w:rsidRPr="00F937A9">
        <w:t xml:space="preserve">. </w:t>
      </w:r>
      <w:r w:rsidRPr="006979DA">
        <w:rPr>
          <w:lang w:eastAsia="ko-KR"/>
        </w:rPr>
        <w:t xml:space="preserve">A peak rate supported by a UE can be lower than the peak data rate </w:t>
      </w:r>
      <w:r>
        <w:rPr>
          <w:lang w:eastAsia="ko-KR"/>
        </w:rPr>
        <w:t>derived</w:t>
      </w:r>
      <w:r w:rsidRPr="006979DA">
        <w:rPr>
          <w:lang w:eastAsia="ko-KR"/>
        </w:rPr>
        <w:t xml:space="preserve"> based on band combination and baseband capability</w:t>
      </w:r>
      <w:r>
        <w:rPr>
          <w:lang w:eastAsia="ko-KR"/>
        </w:rPr>
        <w:t xml:space="preserve">. </w:t>
      </w:r>
      <w:r w:rsidRPr="00F937A9">
        <w:t xml:space="preserve">For example, the peak data rate based on </w:t>
      </w:r>
      <w:r>
        <w:t xml:space="preserve">certain </w:t>
      </w:r>
      <w:r w:rsidRPr="00F937A9">
        <w:t xml:space="preserve">band combination/baseband capabilities </w:t>
      </w:r>
      <w:r>
        <w:t>may</w:t>
      </w:r>
      <w:r w:rsidRPr="00F937A9">
        <w:t xml:space="preserve"> be achievable in very ideal scenario</w:t>
      </w:r>
      <w:r>
        <w:t>s</w:t>
      </w:r>
      <w:r w:rsidRPr="00F937A9">
        <w:t xml:space="preserve">. </w:t>
      </w:r>
      <w:r>
        <w:t>T</w:t>
      </w:r>
      <w:r w:rsidRPr="00F937A9">
        <w:t>he</w:t>
      </w:r>
      <w:r>
        <w:t xml:space="preserve">re can be cases where a UE support of a lower peak data rate (than the calculated peak data rate) would be beneficial in cases where it can provide benefit to the network in terms of increased system-level performance, such as increased peak data rate from network perspective.  </w:t>
      </w:r>
    </w:p>
    <w:p w:rsidR="00CD7423" w:rsidRDefault="00CD7423" w:rsidP="00CD7423">
      <w:pPr>
        <w:jc w:val="both"/>
      </w:pPr>
      <w:r>
        <w:t>In other cases, s</w:t>
      </w:r>
      <w:r w:rsidRPr="00F937A9">
        <w:t xml:space="preserve">imilar level of throughput </w:t>
      </w:r>
      <w:r>
        <w:t xml:space="preserve">(as derived peak rate from a band combination/baseband capabilities) </w:t>
      </w:r>
      <w:r w:rsidRPr="00F937A9">
        <w:t xml:space="preserve">can be achievable without requiring such ideal scenario for example if the number of carriers is increased or BW is increased even without higher MIMO and high modulation although the UE can support higher MIMO and higher modulation. In this case, the target data rate in baseband processing doesn’t need to support the peak data rate calculated from band combination/baseband capabilities. </w:t>
      </w:r>
    </w:p>
    <w:p w:rsidR="00CD7423" w:rsidRDefault="00CD7423" w:rsidP="00CD7423">
      <w:pPr>
        <w:jc w:val="both"/>
      </w:pPr>
      <w:r>
        <w:t xml:space="preserve">Following table shows an example where a scaling factor (f) is included and which allows actual peak rate actual peak rate is determined from calculated peak rate and scaling factor. Note that in cases where there is f=1, the actual peak rate can be determined form the calculated peak rate from the band combination and baseband capability signaling. </w:t>
      </w:r>
    </w:p>
    <w:p w:rsidR="00CD7423" w:rsidRDefault="00CD7423" w:rsidP="00CD7423">
      <w:pPr>
        <w:pStyle w:val="Caption"/>
        <w:keepNext/>
        <w:jc w:val="center"/>
      </w:pPr>
      <w:r>
        <w:lastRenderedPageBreak/>
        <w:t xml:space="preserve">Table </w:t>
      </w:r>
      <w:r w:rsidR="000D30A6">
        <w:fldChar w:fldCharType="begin"/>
      </w:r>
      <w:r w:rsidR="000D30A6">
        <w:instrText xml:space="preserve"> SEQ Table \* ARABIC </w:instrText>
      </w:r>
      <w:r w:rsidR="000D30A6">
        <w:fldChar w:fldCharType="separate"/>
      </w:r>
      <w:r>
        <w:rPr>
          <w:noProof/>
        </w:rPr>
        <w:t>1</w:t>
      </w:r>
      <w:r w:rsidR="000D30A6">
        <w:rPr>
          <w:noProof/>
        </w:rPr>
        <w:fldChar w:fldCharType="end"/>
      </w:r>
      <w:r>
        <w:t>. Illustration of actual peak rate determination from calculated peak rate and signaled peak rate.</w:t>
      </w:r>
    </w:p>
    <w:tbl>
      <w:tblPr>
        <w:tblW w:w="5935" w:type="dxa"/>
        <w:jc w:val="center"/>
        <w:tblLook w:val="04A0" w:firstRow="1" w:lastRow="0" w:firstColumn="1" w:lastColumn="0" w:noHBand="0" w:noVBand="1"/>
      </w:tblPr>
      <w:tblGrid>
        <w:gridCol w:w="1705"/>
        <w:gridCol w:w="1440"/>
        <w:gridCol w:w="1141"/>
        <w:gridCol w:w="1649"/>
      </w:tblGrid>
      <w:tr w:rsidR="00CD7423" w:rsidRPr="00DD262C" w:rsidTr="000322A3">
        <w:trPr>
          <w:trHeight w:val="288"/>
          <w:jc w:val="center"/>
        </w:trPr>
        <w:tc>
          <w:tcPr>
            <w:tcW w:w="1705"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rsidR="00CD7423" w:rsidRPr="00DD262C" w:rsidRDefault="00CD7423" w:rsidP="000322A3">
            <w:pPr>
              <w:overflowPunct/>
              <w:autoSpaceDE/>
              <w:autoSpaceDN/>
              <w:adjustRightInd/>
              <w:spacing w:after="0"/>
              <w:textAlignment w:val="auto"/>
              <w:rPr>
                <w:rFonts w:eastAsia="Times New Roman"/>
                <w:color w:val="000000"/>
                <w:sz w:val="16"/>
                <w:szCs w:val="16"/>
              </w:rPr>
            </w:pPr>
            <w:r w:rsidRPr="00DD262C">
              <w:rPr>
                <w:rFonts w:eastAsia="Times New Roman"/>
                <w:color w:val="000000"/>
                <w:sz w:val="16"/>
                <w:szCs w:val="16"/>
              </w:rPr>
              <w:t>5carriers, Scenario</w:t>
            </w:r>
          </w:p>
        </w:tc>
        <w:tc>
          <w:tcPr>
            <w:tcW w:w="1440" w:type="dxa"/>
            <w:tcBorders>
              <w:top w:val="single" w:sz="4" w:space="0" w:color="auto"/>
              <w:left w:val="nil"/>
              <w:bottom w:val="single" w:sz="4" w:space="0" w:color="auto"/>
              <w:right w:val="single" w:sz="4" w:space="0" w:color="auto"/>
            </w:tcBorders>
            <w:shd w:val="clear" w:color="000000" w:fill="D0CECE"/>
            <w:noWrap/>
            <w:vAlign w:val="bottom"/>
            <w:hideMark/>
          </w:tcPr>
          <w:p w:rsidR="00CD7423" w:rsidRPr="00DD262C" w:rsidRDefault="00CD7423" w:rsidP="000322A3">
            <w:pPr>
              <w:overflowPunct/>
              <w:autoSpaceDE/>
              <w:autoSpaceDN/>
              <w:adjustRightInd/>
              <w:spacing w:after="0"/>
              <w:textAlignment w:val="auto"/>
              <w:rPr>
                <w:rFonts w:eastAsia="Times New Roman"/>
                <w:color w:val="000000"/>
                <w:sz w:val="16"/>
                <w:szCs w:val="16"/>
              </w:rPr>
            </w:pPr>
            <w:r w:rsidRPr="00DD262C">
              <w:rPr>
                <w:rFonts w:eastAsia="Times New Roman"/>
                <w:color w:val="000000"/>
                <w:sz w:val="16"/>
                <w:szCs w:val="16"/>
              </w:rPr>
              <w:t xml:space="preserve">Calculated Peak Rate </w:t>
            </w:r>
            <w:r>
              <w:rPr>
                <w:rFonts w:eastAsia="Times New Roman"/>
                <w:color w:val="000000"/>
                <w:sz w:val="16"/>
                <w:szCs w:val="16"/>
              </w:rPr>
              <w:t>w/o scaling factor</w:t>
            </w:r>
            <w:r w:rsidRPr="00DD262C">
              <w:rPr>
                <w:rFonts w:eastAsia="Times New Roman"/>
                <w:color w:val="000000"/>
                <w:sz w:val="16"/>
                <w:szCs w:val="16"/>
              </w:rPr>
              <w:t>(</w:t>
            </w:r>
            <w:proofErr w:type="spellStart"/>
            <w:r w:rsidRPr="00DD262C">
              <w:rPr>
                <w:rFonts w:eastAsia="Times New Roman"/>
                <w:color w:val="000000"/>
                <w:sz w:val="16"/>
                <w:szCs w:val="16"/>
              </w:rPr>
              <w:t>Gbps</w:t>
            </w:r>
            <w:proofErr w:type="spellEnd"/>
            <w:r w:rsidRPr="00DD262C">
              <w:rPr>
                <w:rFonts w:eastAsia="Times New Roman"/>
                <w:color w:val="000000"/>
                <w:sz w:val="16"/>
                <w:szCs w:val="16"/>
              </w:rPr>
              <w:t>)</w:t>
            </w:r>
          </w:p>
        </w:tc>
        <w:tc>
          <w:tcPr>
            <w:tcW w:w="1141" w:type="dxa"/>
            <w:tcBorders>
              <w:top w:val="single" w:sz="4" w:space="0" w:color="auto"/>
              <w:left w:val="nil"/>
              <w:bottom w:val="single" w:sz="4" w:space="0" w:color="auto"/>
              <w:right w:val="single" w:sz="4" w:space="0" w:color="auto"/>
            </w:tcBorders>
            <w:shd w:val="clear" w:color="000000" w:fill="D0CECE"/>
            <w:noWrap/>
            <w:vAlign w:val="bottom"/>
            <w:hideMark/>
          </w:tcPr>
          <w:p w:rsidR="00CD7423" w:rsidRPr="00DD262C" w:rsidRDefault="00CD7423" w:rsidP="000322A3">
            <w:pPr>
              <w:overflowPunct/>
              <w:autoSpaceDE/>
              <w:autoSpaceDN/>
              <w:adjustRightInd/>
              <w:spacing w:after="0"/>
              <w:textAlignment w:val="auto"/>
              <w:rPr>
                <w:rFonts w:eastAsia="Times New Roman"/>
                <w:color w:val="000000"/>
                <w:sz w:val="16"/>
                <w:szCs w:val="16"/>
              </w:rPr>
            </w:pPr>
            <w:r>
              <w:rPr>
                <w:rFonts w:eastAsia="Times New Roman"/>
                <w:color w:val="000000"/>
                <w:sz w:val="16"/>
                <w:szCs w:val="16"/>
              </w:rPr>
              <w:t>Scaling factor (f)</w:t>
            </w:r>
          </w:p>
        </w:tc>
        <w:tc>
          <w:tcPr>
            <w:tcW w:w="1649" w:type="dxa"/>
            <w:tcBorders>
              <w:top w:val="single" w:sz="4" w:space="0" w:color="auto"/>
              <w:left w:val="nil"/>
              <w:bottom w:val="single" w:sz="4" w:space="0" w:color="auto"/>
              <w:right w:val="single" w:sz="4" w:space="0" w:color="auto"/>
            </w:tcBorders>
            <w:shd w:val="clear" w:color="000000" w:fill="D0CECE"/>
            <w:noWrap/>
            <w:vAlign w:val="bottom"/>
            <w:hideMark/>
          </w:tcPr>
          <w:p w:rsidR="00CD7423" w:rsidRPr="00DD262C" w:rsidRDefault="00CD7423" w:rsidP="000322A3">
            <w:pPr>
              <w:overflowPunct/>
              <w:autoSpaceDE/>
              <w:autoSpaceDN/>
              <w:adjustRightInd/>
              <w:spacing w:after="0"/>
              <w:textAlignment w:val="auto"/>
              <w:rPr>
                <w:rFonts w:eastAsia="Times New Roman"/>
                <w:color w:val="000000"/>
                <w:sz w:val="16"/>
                <w:szCs w:val="16"/>
              </w:rPr>
            </w:pPr>
            <w:r w:rsidRPr="00DD262C">
              <w:rPr>
                <w:rFonts w:eastAsia="Times New Roman"/>
                <w:color w:val="000000"/>
                <w:sz w:val="16"/>
                <w:szCs w:val="16"/>
              </w:rPr>
              <w:t xml:space="preserve">Actual Peak </w:t>
            </w:r>
            <w:r>
              <w:rPr>
                <w:rFonts w:eastAsia="Times New Roman"/>
                <w:color w:val="000000"/>
                <w:sz w:val="16"/>
                <w:szCs w:val="16"/>
              </w:rPr>
              <w:t>R</w:t>
            </w:r>
            <w:r w:rsidRPr="00DD262C">
              <w:rPr>
                <w:rFonts w:eastAsia="Times New Roman"/>
                <w:color w:val="000000"/>
                <w:sz w:val="16"/>
                <w:szCs w:val="16"/>
              </w:rPr>
              <w:t>ate (</w:t>
            </w:r>
            <w:proofErr w:type="spellStart"/>
            <w:r w:rsidRPr="00DD262C">
              <w:rPr>
                <w:rFonts w:eastAsia="Times New Roman"/>
                <w:color w:val="000000"/>
                <w:sz w:val="16"/>
                <w:szCs w:val="16"/>
              </w:rPr>
              <w:t>Gbps</w:t>
            </w:r>
            <w:proofErr w:type="spellEnd"/>
            <w:r w:rsidRPr="00DD262C">
              <w:rPr>
                <w:rFonts w:eastAsia="Times New Roman"/>
                <w:color w:val="000000"/>
                <w:sz w:val="16"/>
                <w:szCs w:val="16"/>
              </w:rPr>
              <w:t>)</w:t>
            </w:r>
          </w:p>
        </w:tc>
      </w:tr>
      <w:tr w:rsidR="00CD7423" w:rsidRPr="00DD262C" w:rsidTr="000322A3">
        <w:trPr>
          <w:trHeight w:val="264"/>
          <w:jc w:val="center"/>
        </w:trPr>
        <w:tc>
          <w:tcPr>
            <w:tcW w:w="1705" w:type="dxa"/>
            <w:tcBorders>
              <w:top w:val="nil"/>
              <w:left w:val="single" w:sz="4" w:space="0" w:color="auto"/>
              <w:bottom w:val="single" w:sz="4" w:space="0" w:color="auto"/>
              <w:right w:val="single" w:sz="4" w:space="0" w:color="auto"/>
            </w:tcBorders>
            <w:shd w:val="clear" w:color="auto" w:fill="auto"/>
            <w:vAlign w:val="center"/>
            <w:hideMark/>
          </w:tcPr>
          <w:p w:rsidR="00CD7423" w:rsidRPr="00DD262C" w:rsidRDefault="00CD7423" w:rsidP="000322A3">
            <w:pPr>
              <w:overflowPunct/>
              <w:autoSpaceDE/>
              <w:autoSpaceDN/>
              <w:adjustRightInd/>
              <w:spacing w:after="0"/>
              <w:textAlignment w:val="auto"/>
              <w:rPr>
                <w:rFonts w:eastAsia="Times New Roman"/>
                <w:color w:val="000000"/>
                <w:sz w:val="16"/>
                <w:szCs w:val="16"/>
              </w:rPr>
            </w:pPr>
            <w:r w:rsidRPr="00DD262C">
              <w:rPr>
                <w:rFonts w:eastAsia="Times New Roman"/>
                <w:color w:val="000000"/>
                <w:sz w:val="16"/>
                <w:szCs w:val="16"/>
                <w:lang w:val="en-GB"/>
              </w:rPr>
              <w:t>4x4 MIMO 256QAM</w:t>
            </w:r>
          </w:p>
        </w:tc>
        <w:tc>
          <w:tcPr>
            <w:tcW w:w="1440" w:type="dxa"/>
            <w:tcBorders>
              <w:top w:val="nil"/>
              <w:left w:val="nil"/>
              <w:bottom w:val="single" w:sz="4" w:space="0" w:color="auto"/>
              <w:right w:val="single" w:sz="4" w:space="0" w:color="auto"/>
            </w:tcBorders>
            <w:shd w:val="clear" w:color="auto" w:fill="auto"/>
            <w:vAlign w:val="center"/>
            <w:hideMark/>
          </w:tcPr>
          <w:p w:rsidR="00CD7423" w:rsidRPr="00DD262C" w:rsidRDefault="00CD7423" w:rsidP="000322A3">
            <w:pPr>
              <w:overflowPunct/>
              <w:autoSpaceDE/>
              <w:autoSpaceDN/>
              <w:adjustRightInd/>
              <w:spacing w:after="0"/>
              <w:jc w:val="right"/>
              <w:textAlignment w:val="auto"/>
              <w:rPr>
                <w:rFonts w:eastAsia="Times New Roman"/>
                <w:color w:val="000000"/>
                <w:sz w:val="16"/>
                <w:szCs w:val="16"/>
              </w:rPr>
            </w:pPr>
            <w:r w:rsidRPr="00DD262C">
              <w:rPr>
                <w:rFonts w:eastAsia="Times New Roman"/>
                <w:color w:val="000000"/>
                <w:sz w:val="16"/>
                <w:szCs w:val="16"/>
              </w:rPr>
              <w:t>2</w:t>
            </w:r>
          </w:p>
        </w:tc>
        <w:tc>
          <w:tcPr>
            <w:tcW w:w="1141" w:type="dxa"/>
            <w:tcBorders>
              <w:top w:val="nil"/>
              <w:left w:val="nil"/>
              <w:bottom w:val="single" w:sz="4" w:space="0" w:color="auto"/>
              <w:right w:val="single" w:sz="4" w:space="0" w:color="auto"/>
            </w:tcBorders>
            <w:shd w:val="clear" w:color="auto" w:fill="auto"/>
            <w:vAlign w:val="center"/>
            <w:hideMark/>
          </w:tcPr>
          <w:p w:rsidR="00CD7423" w:rsidRPr="00DD262C" w:rsidRDefault="00CD7423" w:rsidP="000322A3">
            <w:pPr>
              <w:overflowPunct/>
              <w:autoSpaceDE/>
              <w:autoSpaceDN/>
              <w:adjustRightInd/>
              <w:spacing w:after="0"/>
              <w:textAlignment w:val="auto"/>
              <w:rPr>
                <w:rFonts w:eastAsia="Times New Roman"/>
                <w:color w:val="000000"/>
                <w:sz w:val="16"/>
                <w:szCs w:val="16"/>
              </w:rPr>
            </w:pPr>
            <w:r>
              <w:rPr>
                <w:rFonts w:eastAsia="Times New Roman"/>
                <w:color w:val="000000"/>
                <w:sz w:val="16"/>
                <w:szCs w:val="16"/>
              </w:rPr>
              <w:t>0.75</w:t>
            </w:r>
          </w:p>
        </w:tc>
        <w:tc>
          <w:tcPr>
            <w:tcW w:w="1649" w:type="dxa"/>
            <w:tcBorders>
              <w:top w:val="nil"/>
              <w:left w:val="nil"/>
              <w:bottom w:val="single" w:sz="4" w:space="0" w:color="auto"/>
              <w:right w:val="single" w:sz="4" w:space="0" w:color="auto"/>
            </w:tcBorders>
            <w:shd w:val="clear" w:color="auto" w:fill="auto"/>
            <w:vAlign w:val="center"/>
            <w:hideMark/>
          </w:tcPr>
          <w:p w:rsidR="00CD7423" w:rsidRPr="00DD262C" w:rsidRDefault="00CD7423" w:rsidP="000322A3">
            <w:pPr>
              <w:overflowPunct/>
              <w:autoSpaceDE/>
              <w:autoSpaceDN/>
              <w:adjustRightInd/>
              <w:spacing w:after="0"/>
              <w:textAlignment w:val="auto"/>
              <w:rPr>
                <w:rFonts w:eastAsia="Times New Roman"/>
                <w:color w:val="000000"/>
                <w:sz w:val="16"/>
                <w:szCs w:val="16"/>
              </w:rPr>
            </w:pPr>
            <w:r>
              <w:rPr>
                <w:rFonts w:eastAsia="Times New Roman"/>
                <w:color w:val="000000"/>
                <w:sz w:val="16"/>
                <w:szCs w:val="16"/>
              </w:rPr>
              <w:t>1.5</w:t>
            </w:r>
            <w:r w:rsidRPr="00DD262C">
              <w:rPr>
                <w:rFonts w:eastAsia="Times New Roman"/>
                <w:color w:val="000000"/>
                <w:sz w:val="16"/>
                <w:szCs w:val="16"/>
              </w:rPr>
              <w:t xml:space="preserve"> </w:t>
            </w:r>
          </w:p>
        </w:tc>
      </w:tr>
      <w:tr w:rsidR="00CD7423" w:rsidRPr="00DD262C" w:rsidTr="000322A3">
        <w:trPr>
          <w:trHeight w:val="288"/>
          <w:jc w:val="center"/>
        </w:trPr>
        <w:tc>
          <w:tcPr>
            <w:tcW w:w="1705" w:type="dxa"/>
            <w:tcBorders>
              <w:top w:val="nil"/>
              <w:left w:val="single" w:sz="4" w:space="0" w:color="auto"/>
              <w:bottom w:val="single" w:sz="4" w:space="0" w:color="auto"/>
              <w:right w:val="single" w:sz="4" w:space="0" w:color="auto"/>
            </w:tcBorders>
            <w:shd w:val="clear" w:color="auto" w:fill="auto"/>
            <w:vAlign w:val="center"/>
            <w:hideMark/>
          </w:tcPr>
          <w:p w:rsidR="00CD7423" w:rsidRPr="00DD262C" w:rsidRDefault="00CD7423" w:rsidP="000322A3">
            <w:pPr>
              <w:overflowPunct/>
              <w:autoSpaceDE/>
              <w:autoSpaceDN/>
              <w:adjustRightInd/>
              <w:spacing w:after="0"/>
              <w:textAlignment w:val="auto"/>
              <w:rPr>
                <w:rFonts w:eastAsia="Times New Roman"/>
                <w:color w:val="000000"/>
                <w:sz w:val="16"/>
                <w:szCs w:val="16"/>
              </w:rPr>
            </w:pPr>
            <w:r w:rsidRPr="00DD262C">
              <w:rPr>
                <w:rFonts w:eastAsia="Times New Roman"/>
                <w:color w:val="000000"/>
                <w:sz w:val="16"/>
                <w:szCs w:val="16"/>
                <w:lang w:val="en-GB"/>
              </w:rPr>
              <w:t>4*4MIMO 64QAM</w:t>
            </w:r>
          </w:p>
        </w:tc>
        <w:tc>
          <w:tcPr>
            <w:tcW w:w="1440" w:type="dxa"/>
            <w:tcBorders>
              <w:top w:val="nil"/>
              <w:left w:val="nil"/>
              <w:bottom w:val="single" w:sz="4" w:space="0" w:color="auto"/>
              <w:right w:val="single" w:sz="4" w:space="0" w:color="auto"/>
            </w:tcBorders>
            <w:shd w:val="clear" w:color="auto" w:fill="auto"/>
            <w:vAlign w:val="center"/>
            <w:hideMark/>
          </w:tcPr>
          <w:p w:rsidR="00CD7423" w:rsidRPr="00DD262C" w:rsidRDefault="00CD7423" w:rsidP="000322A3">
            <w:pPr>
              <w:overflowPunct/>
              <w:autoSpaceDE/>
              <w:autoSpaceDN/>
              <w:adjustRightInd/>
              <w:spacing w:after="0"/>
              <w:jc w:val="right"/>
              <w:textAlignment w:val="auto"/>
              <w:rPr>
                <w:rFonts w:eastAsia="Times New Roman"/>
                <w:color w:val="000000"/>
                <w:sz w:val="16"/>
                <w:szCs w:val="16"/>
              </w:rPr>
            </w:pPr>
            <w:r w:rsidRPr="00DD262C">
              <w:rPr>
                <w:rFonts w:eastAsia="Times New Roman"/>
                <w:color w:val="000000"/>
                <w:sz w:val="16"/>
                <w:szCs w:val="16"/>
              </w:rPr>
              <w:t>1.5</w:t>
            </w:r>
          </w:p>
        </w:tc>
        <w:tc>
          <w:tcPr>
            <w:tcW w:w="1141" w:type="dxa"/>
            <w:tcBorders>
              <w:top w:val="nil"/>
              <w:left w:val="nil"/>
              <w:bottom w:val="single" w:sz="4" w:space="0" w:color="auto"/>
              <w:right w:val="single" w:sz="4" w:space="0" w:color="auto"/>
            </w:tcBorders>
            <w:shd w:val="clear" w:color="auto" w:fill="auto"/>
            <w:vAlign w:val="center"/>
            <w:hideMark/>
          </w:tcPr>
          <w:p w:rsidR="00CD7423" w:rsidRPr="00DD262C" w:rsidRDefault="00CD7423" w:rsidP="000322A3">
            <w:pPr>
              <w:overflowPunct/>
              <w:autoSpaceDE/>
              <w:autoSpaceDN/>
              <w:adjustRightInd/>
              <w:spacing w:after="0"/>
              <w:textAlignment w:val="auto"/>
              <w:rPr>
                <w:rFonts w:eastAsia="Times New Roman"/>
                <w:color w:val="000000"/>
                <w:sz w:val="16"/>
                <w:szCs w:val="16"/>
              </w:rPr>
            </w:pPr>
            <w:r>
              <w:rPr>
                <w:rFonts w:eastAsia="Times New Roman"/>
                <w:color w:val="000000"/>
                <w:sz w:val="16"/>
                <w:szCs w:val="16"/>
              </w:rPr>
              <w:t>1</w:t>
            </w:r>
          </w:p>
        </w:tc>
        <w:tc>
          <w:tcPr>
            <w:tcW w:w="1649" w:type="dxa"/>
            <w:tcBorders>
              <w:top w:val="nil"/>
              <w:left w:val="nil"/>
              <w:bottom w:val="single" w:sz="4" w:space="0" w:color="auto"/>
              <w:right w:val="single" w:sz="4" w:space="0" w:color="auto"/>
            </w:tcBorders>
            <w:shd w:val="clear" w:color="auto" w:fill="auto"/>
            <w:vAlign w:val="center"/>
            <w:hideMark/>
          </w:tcPr>
          <w:p w:rsidR="00CD7423" w:rsidRPr="00DD262C" w:rsidRDefault="00CD7423" w:rsidP="000322A3">
            <w:pPr>
              <w:overflowPunct/>
              <w:autoSpaceDE/>
              <w:autoSpaceDN/>
              <w:adjustRightInd/>
              <w:spacing w:after="0"/>
              <w:textAlignment w:val="auto"/>
              <w:rPr>
                <w:rFonts w:eastAsia="Times New Roman"/>
                <w:color w:val="000000"/>
                <w:sz w:val="16"/>
                <w:szCs w:val="16"/>
              </w:rPr>
            </w:pPr>
            <w:r>
              <w:rPr>
                <w:rFonts w:eastAsia="Times New Roman"/>
                <w:color w:val="000000"/>
                <w:sz w:val="16"/>
                <w:szCs w:val="16"/>
              </w:rPr>
              <w:t>1.5</w:t>
            </w:r>
          </w:p>
        </w:tc>
      </w:tr>
      <w:tr w:rsidR="00CD7423" w:rsidRPr="00DD262C" w:rsidTr="000322A3">
        <w:trPr>
          <w:trHeight w:val="312"/>
          <w:jc w:val="center"/>
        </w:trPr>
        <w:tc>
          <w:tcPr>
            <w:tcW w:w="1705" w:type="dxa"/>
            <w:tcBorders>
              <w:top w:val="nil"/>
              <w:left w:val="single" w:sz="4" w:space="0" w:color="auto"/>
              <w:bottom w:val="single" w:sz="4" w:space="0" w:color="auto"/>
              <w:right w:val="single" w:sz="4" w:space="0" w:color="auto"/>
            </w:tcBorders>
            <w:shd w:val="clear" w:color="auto" w:fill="auto"/>
            <w:vAlign w:val="center"/>
            <w:hideMark/>
          </w:tcPr>
          <w:p w:rsidR="00CD7423" w:rsidRPr="00DD262C" w:rsidRDefault="00CD7423" w:rsidP="000322A3">
            <w:pPr>
              <w:overflowPunct/>
              <w:autoSpaceDE/>
              <w:autoSpaceDN/>
              <w:adjustRightInd/>
              <w:spacing w:after="0"/>
              <w:textAlignment w:val="auto"/>
              <w:rPr>
                <w:rFonts w:eastAsia="Times New Roman"/>
                <w:color w:val="000000"/>
                <w:sz w:val="16"/>
                <w:szCs w:val="16"/>
              </w:rPr>
            </w:pPr>
            <w:r w:rsidRPr="00DD262C">
              <w:rPr>
                <w:rFonts w:eastAsia="Times New Roman"/>
                <w:color w:val="000000"/>
                <w:sz w:val="16"/>
                <w:szCs w:val="16"/>
                <w:lang w:val="en-GB"/>
              </w:rPr>
              <w:t>2*2MIMO 256QAM</w:t>
            </w:r>
          </w:p>
        </w:tc>
        <w:tc>
          <w:tcPr>
            <w:tcW w:w="1440" w:type="dxa"/>
            <w:tcBorders>
              <w:top w:val="nil"/>
              <w:left w:val="nil"/>
              <w:bottom w:val="single" w:sz="4" w:space="0" w:color="auto"/>
              <w:right w:val="single" w:sz="4" w:space="0" w:color="auto"/>
            </w:tcBorders>
            <w:shd w:val="clear" w:color="auto" w:fill="auto"/>
            <w:vAlign w:val="center"/>
            <w:hideMark/>
          </w:tcPr>
          <w:p w:rsidR="00CD7423" w:rsidRPr="00DD262C" w:rsidRDefault="00CD7423" w:rsidP="000322A3">
            <w:pPr>
              <w:overflowPunct/>
              <w:autoSpaceDE/>
              <w:autoSpaceDN/>
              <w:adjustRightInd/>
              <w:spacing w:after="0"/>
              <w:jc w:val="right"/>
              <w:textAlignment w:val="auto"/>
              <w:rPr>
                <w:rFonts w:eastAsia="Times New Roman"/>
                <w:color w:val="000000"/>
                <w:sz w:val="16"/>
                <w:szCs w:val="16"/>
              </w:rPr>
            </w:pPr>
            <w:r w:rsidRPr="00DD262C">
              <w:rPr>
                <w:rFonts w:eastAsia="Times New Roman"/>
                <w:color w:val="000000"/>
                <w:sz w:val="16"/>
                <w:szCs w:val="16"/>
                <w:lang w:val="en-GB"/>
              </w:rPr>
              <w:t>1</w:t>
            </w:r>
          </w:p>
        </w:tc>
        <w:tc>
          <w:tcPr>
            <w:tcW w:w="1141" w:type="dxa"/>
            <w:tcBorders>
              <w:top w:val="nil"/>
              <w:left w:val="nil"/>
              <w:bottom w:val="single" w:sz="4" w:space="0" w:color="auto"/>
              <w:right w:val="single" w:sz="4" w:space="0" w:color="auto"/>
            </w:tcBorders>
            <w:shd w:val="clear" w:color="auto" w:fill="auto"/>
            <w:vAlign w:val="center"/>
            <w:hideMark/>
          </w:tcPr>
          <w:p w:rsidR="00CD7423" w:rsidRPr="00DD262C" w:rsidRDefault="00CD7423" w:rsidP="000322A3">
            <w:pPr>
              <w:overflowPunct/>
              <w:autoSpaceDE/>
              <w:autoSpaceDN/>
              <w:adjustRightInd/>
              <w:spacing w:after="0"/>
              <w:textAlignment w:val="auto"/>
              <w:rPr>
                <w:rFonts w:eastAsia="Times New Roman"/>
                <w:color w:val="000000"/>
                <w:sz w:val="16"/>
                <w:szCs w:val="16"/>
              </w:rPr>
            </w:pPr>
            <w:r>
              <w:rPr>
                <w:rFonts w:eastAsia="Times New Roman"/>
                <w:color w:val="000000"/>
                <w:sz w:val="16"/>
                <w:szCs w:val="16"/>
              </w:rPr>
              <w:t>1</w:t>
            </w:r>
          </w:p>
        </w:tc>
        <w:tc>
          <w:tcPr>
            <w:tcW w:w="1649" w:type="dxa"/>
            <w:tcBorders>
              <w:top w:val="nil"/>
              <w:left w:val="nil"/>
              <w:bottom w:val="single" w:sz="4" w:space="0" w:color="auto"/>
              <w:right w:val="single" w:sz="4" w:space="0" w:color="auto"/>
            </w:tcBorders>
            <w:shd w:val="clear" w:color="auto" w:fill="auto"/>
            <w:vAlign w:val="center"/>
            <w:hideMark/>
          </w:tcPr>
          <w:p w:rsidR="00CD7423" w:rsidRPr="00DD262C" w:rsidRDefault="00CD7423" w:rsidP="000322A3">
            <w:pPr>
              <w:overflowPunct/>
              <w:autoSpaceDE/>
              <w:autoSpaceDN/>
              <w:adjustRightInd/>
              <w:spacing w:after="0"/>
              <w:textAlignment w:val="auto"/>
              <w:rPr>
                <w:rFonts w:eastAsia="Times New Roman"/>
                <w:color w:val="000000"/>
                <w:sz w:val="16"/>
                <w:szCs w:val="16"/>
              </w:rPr>
            </w:pPr>
            <w:r>
              <w:rPr>
                <w:rFonts w:eastAsia="Times New Roman"/>
                <w:color w:val="000000"/>
                <w:sz w:val="16"/>
                <w:szCs w:val="16"/>
              </w:rPr>
              <w:t>1</w:t>
            </w:r>
          </w:p>
        </w:tc>
      </w:tr>
      <w:tr w:rsidR="00CD7423" w:rsidRPr="00DD262C" w:rsidTr="000322A3">
        <w:trPr>
          <w:trHeight w:val="219"/>
          <w:jc w:val="center"/>
        </w:trPr>
        <w:tc>
          <w:tcPr>
            <w:tcW w:w="1705" w:type="dxa"/>
            <w:tcBorders>
              <w:top w:val="nil"/>
              <w:left w:val="single" w:sz="4" w:space="0" w:color="auto"/>
              <w:bottom w:val="single" w:sz="4" w:space="0" w:color="auto"/>
              <w:right w:val="single" w:sz="4" w:space="0" w:color="auto"/>
            </w:tcBorders>
            <w:shd w:val="clear" w:color="auto" w:fill="auto"/>
            <w:vAlign w:val="center"/>
            <w:hideMark/>
          </w:tcPr>
          <w:p w:rsidR="00CD7423" w:rsidRPr="00DD262C" w:rsidRDefault="00CD7423" w:rsidP="000322A3">
            <w:pPr>
              <w:overflowPunct/>
              <w:autoSpaceDE/>
              <w:autoSpaceDN/>
              <w:adjustRightInd/>
              <w:spacing w:after="0"/>
              <w:textAlignment w:val="auto"/>
              <w:rPr>
                <w:rFonts w:eastAsia="Times New Roman"/>
                <w:color w:val="000000"/>
                <w:sz w:val="16"/>
                <w:szCs w:val="16"/>
              </w:rPr>
            </w:pPr>
            <w:r w:rsidRPr="00DD262C">
              <w:rPr>
                <w:rFonts w:eastAsia="Times New Roman"/>
                <w:color w:val="000000"/>
                <w:sz w:val="16"/>
                <w:szCs w:val="16"/>
                <w:lang w:val="en-GB"/>
              </w:rPr>
              <w:t>2x2 MIMO 64QAM</w:t>
            </w:r>
          </w:p>
        </w:tc>
        <w:tc>
          <w:tcPr>
            <w:tcW w:w="1440" w:type="dxa"/>
            <w:tcBorders>
              <w:top w:val="nil"/>
              <w:left w:val="nil"/>
              <w:bottom w:val="single" w:sz="4" w:space="0" w:color="auto"/>
              <w:right w:val="single" w:sz="4" w:space="0" w:color="auto"/>
            </w:tcBorders>
            <w:shd w:val="clear" w:color="auto" w:fill="auto"/>
            <w:vAlign w:val="center"/>
            <w:hideMark/>
          </w:tcPr>
          <w:p w:rsidR="00CD7423" w:rsidRPr="00DD262C" w:rsidRDefault="00CD7423" w:rsidP="000322A3">
            <w:pPr>
              <w:overflowPunct/>
              <w:autoSpaceDE/>
              <w:autoSpaceDN/>
              <w:adjustRightInd/>
              <w:spacing w:after="0"/>
              <w:jc w:val="right"/>
              <w:textAlignment w:val="auto"/>
              <w:rPr>
                <w:rFonts w:eastAsia="Times New Roman"/>
                <w:color w:val="000000"/>
                <w:sz w:val="16"/>
                <w:szCs w:val="16"/>
              </w:rPr>
            </w:pPr>
            <w:r w:rsidRPr="00DD262C">
              <w:rPr>
                <w:rFonts w:eastAsia="Times New Roman"/>
                <w:color w:val="000000"/>
                <w:sz w:val="16"/>
                <w:szCs w:val="16"/>
              </w:rPr>
              <w:t>0.75</w:t>
            </w:r>
          </w:p>
        </w:tc>
        <w:tc>
          <w:tcPr>
            <w:tcW w:w="1141" w:type="dxa"/>
            <w:tcBorders>
              <w:top w:val="nil"/>
              <w:left w:val="nil"/>
              <w:bottom w:val="single" w:sz="4" w:space="0" w:color="auto"/>
              <w:right w:val="single" w:sz="4" w:space="0" w:color="auto"/>
            </w:tcBorders>
            <w:shd w:val="clear" w:color="auto" w:fill="auto"/>
            <w:vAlign w:val="center"/>
            <w:hideMark/>
          </w:tcPr>
          <w:p w:rsidR="00CD7423" w:rsidRPr="00DD262C" w:rsidRDefault="00CD7423" w:rsidP="000322A3">
            <w:pPr>
              <w:overflowPunct/>
              <w:autoSpaceDE/>
              <w:autoSpaceDN/>
              <w:adjustRightInd/>
              <w:spacing w:after="0"/>
              <w:textAlignment w:val="auto"/>
              <w:rPr>
                <w:rFonts w:eastAsia="Times New Roman"/>
                <w:color w:val="000000"/>
                <w:sz w:val="16"/>
                <w:szCs w:val="16"/>
              </w:rPr>
            </w:pPr>
            <w:r>
              <w:rPr>
                <w:rFonts w:eastAsia="Times New Roman"/>
                <w:color w:val="000000"/>
                <w:sz w:val="16"/>
                <w:szCs w:val="16"/>
              </w:rPr>
              <w:t>1</w:t>
            </w:r>
          </w:p>
        </w:tc>
        <w:tc>
          <w:tcPr>
            <w:tcW w:w="1649" w:type="dxa"/>
            <w:tcBorders>
              <w:top w:val="nil"/>
              <w:left w:val="nil"/>
              <w:bottom w:val="single" w:sz="4" w:space="0" w:color="auto"/>
              <w:right w:val="single" w:sz="4" w:space="0" w:color="auto"/>
            </w:tcBorders>
            <w:shd w:val="clear" w:color="auto" w:fill="auto"/>
            <w:vAlign w:val="center"/>
            <w:hideMark/>
          </w:tcPr>
          <w:p w:rsidR="00CD7423" w:rsidRPr="00DD262C" w:rsidRDefault="00CD7423" w:rsidP="000322A3">
            <w:pPr>
              <w:overflowPunct/>
              <w:autoSpaceDE/>
              <w:autoSpaceDN/>
              <w:adjustRightInd/>
              <w:spacing w:after="0"/>
              <w:textAlignment w:val="auto"/>
              <w:rPr>
                <w:rFonts w:eastAsia="Times New Roman"/>
                <w:color w:val="000000"/>
                <w:sz w:val="16"/>
                <w:szCs w:val="16"/>
              </w:rPr>
            </w:pPr>
            <w:r>
              <w:rPr>
                <w:rFonts w:eastAsia="Times New Roman"/>
                <w:color w:val="000000"/>
                <w:sz w:val="16"/>
                <w:szCs w:val="16"/>
              </w:rPr>
              <w:t>0.75</w:t>
            </w:r>
          </w:p>
        </w:tc>
      </w:tr>
    </w:tbl>
    <w:p w:rsidR="00CD7423" w:rsidRPr="00F937A9" w:rsidRDefault="00CD7423" w:rsidP="00CD7423">
      <w:pPr>
        <w:jc w:val="both"/>
      </w:pPr>
    </w:p>
    <w:p w:rsidR="00CD7423" w:rsidRPr="00F937A9" w:rsidRDefault="00CD7423" w:rsidP="00CD7423">
      <w:pPr>
        <w:jc w:val="both"/>
      </w:pPr>
      <w:r>
        <w:t xml:space="preserve">Therefore, we propose that a scaling factor be introduced in BPC to allow </w:t>
      </w:r>
      <w:r>
        <w:rPr>
          <w:lang w:val="en-GB"/>
        </w:rPr>
        <w:t xml:space="preserve">UE to support a </w:t>
      </w:r>
      <w:r w:rsidRPr="003D4B7D">
        <w:rPr>
          <w:lang w:val="en-GB"/>
        </w:rPr>
        <w:t xml:space="preserve">lower peak rate than the peak rate </w:t>
      </w:r>
      <w:r>
        <w:rPr>
          <w:lang w:val="en-GB"/>
        </w:rPr>
        <w:t xml:space="preserve">calculated </w:t>
      </w:r>
      <w:r w:rsidRPr="003D4B7D">
        <w:rPr>
          <w:lang w:val="en-GB"/>
        </w:rPr>
        <w:t>from band comb</w:t>
      </w:r>
      <w:r>
        <w:rPr>
          <w:lang w:val="en-GB"/>
        </w:rPr>
        <w:t xml:space="preserve">ination and baseband capability. We think at least a scaling factor of f = 0.75 can be included, in addition to the f=1 case which is anyways supported by default. </w:t>
      </w:r>
      <w:r w:rsidRPr="00F937A9" w:rsidDel="0077364E">
        <w:t xml:space="preserve"> </w:t>
      </w:r>
    </w:p>
    <w:p w:rsidR="00CD7423" w:rsidRDefault="00CD7423" w:rsidP="00CD7423">
      <w:pPr>
        <w:rPr>
          <w:b/>
          <w:lang w:eastAsia="ko-KR"/>
        </w:rPr>
      </w:pPr>
      <w:r w:rsidRPr="002A0A0A">
        <w:rPr>
          <w:b/>
          <w:lang w:eastAsia="ko-KR"/>
        </w:rPr>
        <w:t xml:space="preserve">Proposal 4: Actual peak data rate </w:t>
      </w:r>
      <w:r>
        <w:rPr>
          <w:b/>
          <w:lang w:eastAsia="ko-KR"/>
        </w:rPr>
        <w:t>is</w:t>
      </w:r>
      <w:r w:rsidRPr="002A0A0A">
        <w:rPr>
          <w:b/>
          <w:lang w:eastAsia="ko-KR"/>
        </w:rPr>
        <w:t xml:space="preserve"> de</w:t>
      </w:r>
      <w:r>
        <w:rPr>
          <w:b/>
          <w:lang w:eastAsia="ko-KR"/>
        </w:rPr>
        <w:t>termined based on the sum of aggregated data rate (across CCs) and an associated scaling factor (f) included in the BPC.</w:t>
      </w:r>
    </w:p>
    <w:p w:rsidR="00CD7423" w:rsidRPr="005102C5" w:rsidRDefault="00CD7423" w:rsidP="00CD7423">
      <w:pPr>
        <w:pStyle w:val="ListParagraph"/>
        <w:numPr>
          <w:ilvl w:val="0"/>
          <w:numId w:val="4"/>
        </w:numPr>
        <w:ind w:leftChars="0"/>
        <w:rPr>
          <w:b/>
          <w:lang w:eastAsia="ko-KR"/>
        </w:rPr>
      </w:pPr>
      <w:r w:rsidRPr="005102C5">
        <w:rPr>
          <w:b/>
          <w:lang w:eastAsia="ko-KR"/>
        </w:rPr>
        <w:t xml:space="preserve">At least f = 0.75 </w:t>
      </w:r>
      <w:r>
        <w:rPr>
          <w:b/>
          <w:lang w:eastAsia="ko-KR"/>
        </w:rPr>
        <w:t xml:space="preserve">and f = 1 </w:t>
      </w:r>
      <w:r w:rsidRPr="005102C5">
        <w:rPr>
          <w:b/>
          <w:lang w:eastAsia="ko-KR"/>
        </w:rPr>
        <w:t>is supported. Additional values FFS</w:t>
      </w:r>
      <w:r>
        <w:rPr>
          <w:b/>
          <w:lang w:eastAsia="ko-KR"/>
        </w:rPr>
        <w:t>.</w:t>
      </w:r>
    </w:p>
    <w:p w:rsidR="00CD7423" w:rsidRDefault="00CD7423" w:rsidP="00CD7423">
      <w:pPr>
        <w:pStyle w:val="Heading1"/>
        <w:numPr>
          <w:ilvl w:val="0"/>
          <w:numId w:val="1"/>
        </w:numPr>
        <w:ind w:left="360"/>
        <w:jc w:val="both"/>
        <w:textAlignment w:val="auto"/>
        <w:rPr>
          <w:sz w:val="32"/>
        </w:rPr>
      </w:pPr>
      <w:r>
        <w:rPr>
          <w:sz w:val="32"/>
        </w:rPr>
        <w:t>Proposals</w:t>
      </w:r>
    </w:p>
    <w:p w:rsidR="00CD7423" w:rsidRDefault="00CD7423" w:rsidP="00CD7423">
      <w:pPr>
        <w:jc w:val="both"/>
        <w:rPr>
          <w:b/>
        </w:rPr>
      </w:pPr>
      <w:r>
        <w:rPr>
          <w:b/>
        </w:rPr>
        <w:t xml:space="preserve">We propose the following with respect to UE category/capability signaling. </w:t>
      </w:r>
    </w:p>
    <w:p w:rsidR="00CD7423" w:rsidRPr="005102C5" w:rsidRDefault="00CD7423" w:rsidP="00CD7423">
      <w:pPr>
        <w:jc w:val="both"/>
        <w:rPr>
          <w:b/>
        </w:rPr>
      </w:pPr>
      <w:r w:rsidRPr="005102C5">
        <w:rPr>
          <w:b/>
        </w:rPr>
        <w:t xml:space="preserve">Proposal 1: RAN1 should discuss and agree on the formula for maximum data rate </w:t>
      </w:r>
      <w:r w:rsidRPr="005102C5">
        <w:rPr>
          <w:b/>
          <w:lang w:eastAsia="ko-KR"/>
        </w:rPr>
        <w:t xml:space="preserve">based on the sum of aggregated data rate (across CCs) </w:t>
      </w:r>
      <w:r w:rsidRPr="005102C5">
        <w:rPr>
          <w:b/>
        </w:rPr>
        <w:t xml:space="preserve">from one of the following two alternatives (listed in the document). </w:t>
      </w:r>
    </w:p>
    <w:p w:rsidR="00CD7423" w:rsidRPr="00F001D9" w:rsidRDefault="00CD7423" w:rsidP="00CD7423">
      <w:pPr>
        <w:pStyle w:val="ListParagraph"/>
        <w:numPr>
          <w:ilvl w:val="0"/>
          <w:numId w:val="4"/>
        </w:numPr>
        <w:ind w:leftChars="0"/>
      </w:pPr>
      <w:r w:rsidRPr="00F001D9">
        <w:t>Alt 1 : Maximum Data Rate based on TBS calculation</w:t>
      </w:r>
    </w:p>
    <w:p w:rsidR="00CD7423" w:rsidRPr="00F001D9" w:rsidRDefault="00CD7423" w:rsidP="00CD7423">
      <w:pPr>
        <w:pStyle w:val="ListParagraph"/>
        <w:numPr>
          <w:ilvl w:val="0"/>
          <w:numId w:val="4"/>
        </w:numPr>
        <w:ind w:leftChars="0"/>
      </w:pPr>
      <w:r w:rsidRPr="00F001D9">
        <w:t xml:space="preserve">Alt 2: Approximate Maximum Data Rate </w:t>
      </w:r>
    </w:p>
    <w:p w:rsidR="00CD7423" w:rsidRDefault="00CD7423" w:rsidP="00CD7423">
      <w:pPr>
        <w:rPr>
          <w:color w:val="FF0000"/>
          <w:u w:val="single"/>
        </w:rPr>
      </w:pPr>
      <w:bookmarkStart w:id="2" w:name="_GoBack"/>
      <w:bookmarkEnd w:id="2"/>
    </w:p>
    <w:p w:rsidR="00CD7423" w:rsidRDefault="00CD7423" w:rsidP="00CD7423">
      <w:pPr>
        <w:jc w:val="both"/>
        <w:rPr>
          <w:color w:val="1F497D"/>
        </w:rPr>
      </w:pPr>
      <w:r>
        <w:rPr>
          <w:b/>
        </w:rPr>
        <w:t xml:space="preserve">Proposal </w:t>
      </w:r>
      <w:r>
        <w:rPr>
          <w:b/>
          <w:lang w:eastAsia="ko-KR"/>
        </w:rPr>
        <w:t>2: Modulation order in BPC should have dependency on the band/band combination.</w:t>
      </w:r>
    </w:p>
    <w:p w:rsidR="00CD7423" w:rsidRPr="00273871" w:rsidRDefault="00CD7423" w:rsidP="00CD7423">
      <w:pPr>
        <w:jc w:val="both"/>
        <w:rPr>
          <w:color w:val="1F497D"/>
        </w:rPr>
      </w:pPr>
      <w:r>
        <w:rPr>
          <w:b/>
        </w:rPr>
        <w:t xml:space="preserve">Proposal </w:t>
      </w:r>
      <w:r>
        <w:rPr>
          <w:b/>
          <w:lang w:eastAsia="ko-KR"/>
        </w:rPr>
        <w:t>3: Signaling should allow indication of MIMO layers support on per-band combination.</w:t>
      </w:r>
    </w:p>
    <w:p w:rsidR="00CD7423" w:rsidRDefault="00CD7423" w:rsidP="00CD7423">
      <w:pPr>
        <w:rPr>
          <w:b/>
          <w:lang w:eastAsia="ko-KR"/>
        </w:rPr>
      </w:pPr>
      <w:r w:rsidRPr="002A0A0A">
        <w:rPr>
          <w:b/>
          <w:lang w:eastAsia="ko-KR"/>
        </w:rPr>
        <w:t xml:space="preserve">Proposal 4: Actual peak data rate </w:t>
      </w:r>
      <w:r>
        <w:rPr>
          <w:b/>
          <w:lang w:eastAsia="ko-KR"/>
        </w:rPr>
        <w:t>is</w:t>
      </w:r>
      <w:r w:rsidRPr="002A0A0A">
        <w:rPr>
          <w:b/>
          <w:lang w:eastAsia="ko-KR"/>
        </w:rPr>
        <w:t xml:space="preserve"> de</w:t>
      </w:r>
      <w:r>
        <w:rPr>
          <w:b/>
          <w:lang w:eastAsia="ko-KR"/>
        </w:rPr>
        <w:t>termined based on the sum of aggregated data rate (across CCs) and an associated scaling factor (f) included in the BPC.</w:t>
      </w:r>
    </w:p>
    <w:p w:rsidR="00CD7423" w:rsidRPr="00B63C53" w:rsidRDefault="00CD7423" w:rsidP="00BE50E4">
      <w:pPr>
        <w:pStyle w:val="ListParagraph"/>
        <w:numPr>
          <w:ilvl w:val="0"/>
          <w:numId w:val="8"/>
        </w:numPr>
        <w:ind w:leftChars="0"/>
        <w:rPr>
          <w:b/>
          <w:lang w:eastAsia="ko-KR"/>
        </w:rPr>
      </w:pPr>
      <w:r w:rsidRPr="00B63C53">
        <w:rPr>
          <w:b/>
          <w:lang w:eastAsia="ko-KR"/>
        </w:rPr>
        <w:t xml:space="preserve">At least f = 0.75 </w:t>
      </w:r>
      <w:r>
        <w:rPr>
          <w:b/>
          <w:lang w:eastAsia="ko-KR"/>
        </w:rPr>
        <w:t xml:space="preserve">and f = 1 </w:t>
      </w:r>
      <w:r w:rsidRPr="00B63C53">
        <w:rPr>
          <w:b/>
          <w:lang w:eastAsia="ko-KR"/>
        </w:rPr>
        <w:t>is supported. Additional values FFS</w:t>
      </w:r>
      <w:r>
        <w:rPr>
          <w:b/>
          <w:lang w:eastAsia="ko-KR"/>
        </w:rPr>
        <w:t>.</w:t>
      </w:r>
    </w:p>
    <w:p w:rsidR="00CD7423" w:rsidRPr="00D37FC5" w:rsidRDefault="00CD7423" w:rsidP="00CD7423">
      <w:pPr>
        <w:pStyle w:val="Heading1"/>
        <w:numPr>
          <w:ilvl w:val="0"/>
          <w:numId w:val="1"/>
        </w:numPr>
        <w:ind w:left="360"/>
        <w:jc w:val="both"/>
        <w:textAlignment w:val="auto"/>
        <w:rPr>
          <w:sz w:val="32"/>
        </w:rPr>
      </w:pPr>
      <w:r w:rsidRPr="00D37FC5">
        <w:rPr>
          <w:sz w:val="32"/>
        </w:rPr>
        <w:t>References</w:t>
      </w:r>
    </w:p>
    <w:p w:rsidR="00CD7423" w:rsidRDefault="00CD7423" w:rsidP="00CD7423">
      <w:pPr>
        <w:spacing w:before="240"/>
        <w:jc w:val="both"/>
        <w:rPr>
          <w:lang w:val="en-GB"/>
        </w:rPr>
      </w:pPr>
      <w:r>
        <w:rPr>
          <w:lang w:val="en-GB"/>
        </w:rPr>
        <w:t xml:space="preserve">[1] </w:t>
      </w:r>
      <w:r w:rsidRPr="00E344A6">
        <w:rPr>
          <w:lang w:val="en-GB"/>
        </w:rPr>
        <w:t>R1-1715361</w:t>
      </w:r>
      <w:r w:rsidRPr="00E344A6">
        <w:rPr>
          <w:lang w:val="en-GB"/>
        </w:rPr>
        <w:tab/>
        <w:t>LS on UE categories and capabilities</w:t>
      </w:r>
      <w:r w:rsidRPr="00E344A6">
        <w:rPr>
          <w:lang w:val="en-GB"/>
        </w:rPr>
        <w:tab/>
        <w:t>RAN2, Ericsson</w:t>
      </w:r>
    </w:p>
    <w:p w:rsidR="00CD7423" w:rsidRDefault="00CD7423" w:rsidP="00CD7423">
      <w:pPr>
        <w:spacing w:before="240"/>
        <w:jc w:val="both"/>
        <w:rPr>
          <w:lang w:val="en-GB"/>
        </w:rPr>
      </w:pPr>
      <w:r>
        <w:rPr>
          <w:lang w:val="en-GB"/>
        </w:rPr>
        <w:t xml:space="preserve">[2] </w:t>
      </w:r>
      <w:r w:rsidRPr="00FE79DB">
        <w:rPr>
          <w:rFonts w:eastAsia="MS Mincho"/>
          <w:lang w:eastAsia="ja-JP"/>
        </w:rPr>
        <w:t>R1-1716676</w:t>
      </w:r>
      <w:r>
        <w:rPr>
          <w:rFonts w:eastAsia="MS Mincho"/>
          <w:lang w:eastAsia="ja-JP"/>
        </w:rPr>
        <w:t xml:space="preserve"> (</w:t>
      </w:r>
      <w:r w:rsidRPr="00E344A6">
        <w:rPr>
          <w:lang w:val="en-GB"/>
        </w:rPr>
        <w:t>RP-172113</w:t>
      </w:r>
      <w:r>
        <w:rPr>
          <w:lang w:val="en-GB"/>
        </w:rPr>
        <w:t>)</w:t>
      </w:r>
      <w:r w:rsidRPr="00E344A6">
        <w:rPr>
          <w:lang w:val="en-GB"/>
        </w:rPr>
        <w:tab/>
      </w:r>
      <w:r>
        <w:rPr>
          <w:lang w:val="en-GB"/>
        </w:rPr>
        <w:t>LS from RANP</w:t>
      </w:r>
    </w:p>
    <w:p w:rsidR="00CD7423" w:rsidRDefault="00CD7423" w:rsidP="00CD7423">
      <w:pPr>
        <w:spacing w:before="240"/>
        <w:jc w:val="both"/>
        <w:rPr>
          <w:lang w:val="en-GB"/>
        </w:rPr>
      </w:pPr>
      <w:r>
        <w:rPr>
          <w:lang w:val="en-GB"/>
        </w:rPr>
        <w:t xml:space="preserve">[3] R1-1716963 </w:t>
      </w:r>
      <w:r w:rsidRPr="00E344A6">
        <w:rPr>
          <w:lang w:val="en-GB"/>
        </w:rPr>
        <w:t>Reply LS to RAN2 for NR UE categories and</w:t>
      </w:r>
      <w:r>
        <w:rPr>
          <w:lang w:val="en-GB"/>
        </w:rPr>
        <w:t xml:space="preserve"> UE capabilities</w:t>
      </w:r>
      <w:r>
        <w:rPr>
          <w:lang w:val="en-GB"/>
        </w:rPr>
        <w:tab/>
        <w:t>RAN4, Ericsson</w:t>
      </w:r>
    </w:p>
    <w:p w:rsidR="00CD7423" w:rsidRDefault="00CD7423" w:rsidP="00CD7423">
      <w:pPr>
        <w:spacing w:before="240"/>
        <w:jc w:val="both"/>
        <w:rPr>
          <w:lang w:val="en-GB"/>
        </w:rPr>
      </w:pPr>
      <w:r>
        <w:rPr>
          <w:lang w:val="en-GB"/>
        </w:rPr>
        <w:t xml:space="preserve">[4] </w:t>
      </w:r>
      <w:r w:rsidRPr="00A05D71">
        <w:rPr>
          <w:lang w:val="en-GB"/>
        </w:rPr>
        <w:t>R1-1716924, LS from RAN1 to RAN</w:t>
      </w:r>
      <w:r>
        <w:rPr>
          <w:lang w:val="en-GB"/>
        </w:rPr>
        <w:t>2, RAN1#AH3, Sep 2017</w:t>
      </w:r>
    </w:p>
    <w:p w:rsidR="00CD7423" w:rsidRDefault="00CD7423" w:rsidP="00CD7423">
      <w:pPr>
        <w:spacing w:before="240"/>
        <w:jc w:val="both"/>
        <w:rPr>
          <w:lang w:val="en-GB"/>
        </w:rPr>
      </w:pPr>
      <w:r>
        <w:rPr>
          <w:lang w:val="en-GB"/>
        </w:rPr>
        <w:t>[5] R1-1719307 (R2-1712026), LS from RAN2 to RAN1 on table or formula for L1 data rate</w:t>
      </w:r>
    </w:p>
    <w:p w:rsidR="00CD7423" w:rsidRDefault="00CD7423" w:rsidP="00CD7423"/>
    <w:p w:rsidR="00CD7423" w:rsidRDefault="00CD7423" w:rsidP="00CD7423">
      <w:r>
        <w:rPr>
          <w:noProof/>
        </w:rPr>
        <w:lastRenderedPageBreak/>
        <mc:AlternateContent>
          <mc:Choice Requires="wps">
            <w:drawing>
              <wp:anchor distT="45720" distB="45720" distL="114300" distR="114300" simplePos="0" relativeHeight="251660288" behindDoc="0" locked="0" layoutInCell="1" allowOverlap="1" wp14:anchorId="121F0C50" wp14:editId="4C281DEC">
                <wp:simplePos x="0" y="0"/>
                <wp:positionH relativeFrom="column">
                  <wp:posOffset>200660</wp:posOffset>
                </wp:positionH>
                <wp:positionV relativeFrom="paragraph">
                  <wp:posOffset>443230</wp:posOffset>
                </wp:positionV>
                <wp:extent cx="5928995" cy="1404620"/>
                <wp:effectExtent l="0" t="0" r="14605" b="2667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995" cy="1404620"/>
                        </a:xfrm>
                        <a:prstGeom prst="rect">
                          <a:avLst/>
                        </a:prstGeom>
                        <a:solidFill>
                          <a:srgbClr val="FFFFFF"/>
                        </a:solidFill>
                        <a:ln w="9525">
                          <a:solidFill>
                            <a:srgbClr val="000000"/>
                          </a:solidFill>
                          <a:miter lim="800000"/>
                          <a:headEnd/>
                          <a:tailEnd/>
                        </a:ln>
                      </wps:spPr>
                      <wps:txbx>
                        <w:txbxContent>
                          <w:p w:rsidR="00CD7423" w:rsidRPr="002C1F73" w:rsidRDefault="00CD7423" w:rsidP="00CD7423">
                            <w:pPr>
                              <w:pStyle w:val="Header"/>
                              <w:rPr>
                                <w:rFonts w:ascii="Arial" w:eastAsia="MS Mincho" w:hAnsi="Arial" w:cs="Arial"/>
                                <w:lang w:eastAsia="ja-JP"/>
                              </w:rPr>
                            </w:pPr>
                            <w:r w:rsidRPr="002C1F73">
                              <w:rPr>
                                <w:rFonts w:ascii="Arial" w:eastAsia="MS Mincho" w:hAnsi="Arial" w:cs="Arial"/>
                                <w:lang w:eastAsia="ja-JP"/>
                              </w:rPr>
                              <w:t>RAN2 would like to inform of the further decision made at RAN2 #99bis as shown below:</w:t>
                            </w:r>
                          </w:p>
                          <w:p w:rsidR="00CD7423" w:rsidRPr="002C1F73" w:rsidRDefault="00CD7423" w:rsidP="00CD7423">
                            <w:pPr>
                              <w:overflowPunct/>
                              <w:autoSpaceDE/>
                              <w:autoSpaceDN/>
                              <w:adjustRightInd/>
                              <w:spacing w:after="0"/>
                              <w:textAlignment w:val="auto"/>
                              <w:rPr>
                                <w:rFonts w:ascii="Arial" w:eastAsia="MS Mincho" w:hAnsi="Arial" w:cs="Arial"/>
                                <w:lang w:eastAsia="ja-JP"/>
                              </w:rPr>
                            </w:pPr>
                          </w:p>
                          <w:p w:rsidR="00CD7423" w:rsidRPr="002C1F73" w:rsidRDefault="00CD7423" w:rsidP="00CD7423">
                            <w:pPr>
                              <w:overflowPunct/>
                              <w:autoSpaceDE/>
                              <w:autoSpaceDN/>
                              <w:adjustRightInd/>
                              <w:spacing w:after="0"/>
                              <w:textAlignment w:val="auto"/>
                              <w:rPr>
                                <w:rFonts w:ascii="Arial" w:eastAsia="MS Mincho" w:hAnsi="Arial" w:cs="Arial"/>
                                <w:i/>
                                <w:u w:val="single"/>
                                <w:lang w:eastAsia="ja-JP"/>
                              </w:rPr>
                            </w:pPr>
                            <w:r w:rsidRPr="002C1F73">
                              <w:rPr>
                                <w:rFonts w:ascii="Arial" w:eastAsia="MS Mincho" w:hAnsi="Arial" w:cs="Arial"/>
                                <w:lang w:eastAsia="ja-JP"/>
                              </w:rPr>
                              <w:tab/>
                            </w:r>
                            <w:r w:rsidRPr="002C1F73">
                              <w:rPr>
                                <w:rFonts w:ascii="Arial" w:eastAsia="MS Mincho" w:hAnsi="Arial" w:cs="Arial"/>
                                <w:i/>
                                <w:u w:val="single"/>
                                <w:lang w:eastAsia="ja-JP"/>
                              </w:rPr>
                              <w:t>Agreements:</w:t>
                            </w:r>
                          </w:p>
                          <w:p w:rsidR="00CD7423" w:rsidRPr="002C1F73" w:rsidRDefault="00CD7423" w:rsidP="00CD7423">
                            <w:pPr>
                              <w:numPr>
                                <w:ilvl w:val="0"/>
                                <w:numId w:val="5"/>
                              </w:numPr>
                              <w:overflowPunct/>
                              <w:autoSpaceDE/>
                              <w:autoSpaceDN/>
                              <w:adjustRightInd/>
                              <w:spacing w:after="0"/>
                              <w:textAlignment w:val="auto"/>
                              <w:rPr>
                                <w:rFonts w:ascii="Arial" w:eastAsia="MS Mincho" w:hAnsi="Arial" w:cs="Arial"/>
                                <w:i/>
                                <w:lang w:eastAsia="ja-JP"/>
                              </w:rPr>
                            </w:pPr>
                            <w:r w:rsidRPr="002C1F73">
                              <w:rPr>
                                <w:rFonts w:ascii="Arial" w:eastAsia="MS Mincho" w:hAnsi="Arial" w:cs="Arial"/>
                                <w:i/>
                                <w:lang w:eastAsia="ja-JP"/>
                              </w:rPr>
                              <w:t>UE can report the number of MIMO layers per band.</w:t>
                            </w:r>
                          </w:p>
                          <w:p w:rsidR="00CD7423" w:rsidRPr="002C1F73" w:rsidRDefault="00CD7423" w:rsidP="00CD7423">
                            <w:pPr>
                              <w:numPr>
                                <w:ilvl w:val="0"/>
                                <w:numId w:val="5"/>
                              </w:numPr>
                              <w:overflowPunct/>
                              <w:autoSpaceDE/>
                              <w:autoSpaceDN/>
                              <w:adjustRightInd/>
                              <w:spacing w:after="0"/>
                              <w:textAlignment w:val="auto"/>
                              <w:rPr>
                                <w:rFonts w:ascii="Arial" w:eastAsia="MS Mincho" w:hAnsi="Arial" w:cs="Arial"/>
                                <w:i/>
                                <w:lang w:eastAsia="ja-JP"/>
                              </w:rPr>
                            </w:pPr>
                            <w:r w:rsidRPr="002C1F73">
                              <w:rPr>
                                <w:rFonts w:ascii="Arial" w:eastAsia="MS Mincho" w:hAnsi="Arial" w:cs="Arial"/>
                                <w:i/>
                                <w:lang w:eastAsia="ja-JP"/>
                              </w:rPr>
                              <w:t xml:space="preserve">The concept of baseband capability combination is applied at least for the LTE part of </w:t>
                            </w:r>
                            <w:r w:rsidRPr="002C1F73">
                              <w:rPr>
                                <w:rFonts w:ascii="Arial" w:eastAsia="MS Mincho" w:hAnsi="Arial" w:cs="Arial" w:hint="eastAsia"/>
                                <w:i/>
                                <w:lang w:eastAsia="ja-JP"/>
                              </w:rPr>
                              <w:t>MR</w:t>
                            </w:r>
                            <w:r w:rsidRPr="002C1F73">
                              <w:rPr>
                                <w:rFonts w:ascii="Arial" w:eastAsia="MS Mincho" w:hAnsi="Arial" w:cs="Arial"/>
                                <w:i/>
                                <w:lang w:eastAsia="ja-JP"/>
                              </w:rPr>
                              <w:t>-DC.</w:t>
                            </w:r>
                            <w:r w:rsidRPr="002C1F73">
                              <w:rPr>
                                <w:rFonts w:ascii="Arial" w:eastAsia="MS Mincho" w:hAnsi="Arial" w:cs="Arial"/>
                                <w:lang w:eastAsia="ja-JP"/>
                              </w:rPr>
                              <w:t xml:space="preserve"> </w:t>
                            </w:r>
                            <w:r w:rsidRPr="002C1F73">
                              <w:rPr>
                                <w:rFonts w:ascii="Arial" w:eastAsia="MS Mincho" w:hAnsi="Arial" w:cs="Arial"/>
                                <w:i/>
                                <w:lang w:eastAsia="ja-JP"/>
                              </w:rPr>
                              <w:t>The fallback mechanism similar to Rel-14 LTE CA is considered for the baseband processing combination signaling. Details are FFS.</w:t>
                            </w:r>
                          </w:p>
                          <w:p w:rsidR="00CD7423" w:rsidRPr="002C1F73" w:rsidRDefault="00CD7423" w:rsidP="00CD7423">
                            <w:pPr>
                              <w:overflowPunct/>
                              <w:autoSpaceDE/>
                              <w:autoSpaceDN/>
                              <w:adjustRightInd/>
                              <w:spacing w:after="0"/>
                              <w:ind w:leftChars="360" w:left="720"/>
                              <w:textAlignment w:val="auto"/>
                              <w:rPr>
                                <w:rFonts w:ascii="Arial" w:eastAsia="MS Mincho" w:hAnsi="Arial" w:cs="Arial"/>
                                <w:i/>
                                <w:lang w:eastAsia="ja-JP"/>
                              </w:rPr>
                            </w:pPr>
                          </w:p>
                          <w:p w:rsidR="00CD7423" w:rsidRPr="002C1F73" w:rsidRDefault="00CD7423" w:rsidP="00CD7423">
                            <w:pPr>
                              <w:overflowPunct/>
                              <w:autoSpaceDE/>
                              <w:autoSpaceDN/>
                              <w:adjustRightInd/>
                              <w:spacing w:after="0"/>
                              <w:ind w:leftChars="360" w:left="720"/>
                              <w:textAlignment w:val="auto"/>
                              <w:rPr>
                                <w:rFonts w:ascii="Arial" w:eastAsia="MS Mincho" w:hAnsi="Arial" w:cs="Arial"/>
                                <w:i/>
                                <w:u w:val="single"/>
                                <w:lang w:eastAsia="ja-JP"/>
                              </w:rPr>
                            </w:pPr>
                            <w:r w:rsidRPr="002C1F73">
                              <w:rPr>
                                <w:rFonts w:ascii="Arial" w:eastAsia="MS Mincho" w:hAnsi="Arial" w:cs="Arial"/>
                                <w:i/>
                                <w:u w:val="single"/>
                                <w:lang w:eastAsia="ja-JP"/>
                              </w:rPr>
                              <w:t>Working assumptions:</w:t>
                            </w:r>
                          </w:p>
                          <w:p w:rsidR="00CD7423" w:rsidRPr="002C1F73" w:rsidRDefault="00CD7423" w:rsidP="00CD7423">
                            <w:pPr>
                              <w:numPr>
                                <w:ilvl w:val="0"/>
                                <w:numId w:val="6"/>
                              </w:numPr>
                              <w:overflowPunct/>
                              <w:autoSpaceDE/>
                              <w:autoSpaceDN/>
                              <w:adjustRightInd/>
                              <w:spacing w:after="0"/>
                              <w:textAlignment w:val="auto"/>
                              <w:rPr>
                                <w:rFonts w:ascii="Arial" w:eastAsia="MS Mincho" w:hAnsi="Arial" w:cs="Arial"/>
                                <w:i/>
                                <w:lang w:eastAsia="ja-JP"/>
                              </w:rPr>
                            </w:pPr>
                            <w:r w:rsidRPr="002C1F73">
                              <w:rPr>
                                <w:rFonts w:ascii="Arial" w:eastAsia="MS Mincho" w:hAnsi="Arial" w:cs="Arial"/>
                                <w:i/>
                                <w:lang w:eastAsia="ja-JP"/>
                              </w:rPr>
                              <w:t>The UE reports the MIMO capability per CC as part of the baseband processing capabilities.</w:t>
                            </w:r>
                          </w:p>
                          <w:p w:rsidR="00CD7423" w:rsidRPr="002C1F73" w:rsidRDefault="00CD7423" w:rsidP="00CD7423">
                            <w:pPr>
                              <w:numPr>
                                <w:ilvl w:val="0"/>
                                <w:numId w:val="6"/>
                              </w:numPr>
                              <w:overflowPunct/>
                              <w:autoSpaceDE/>
                              <w:autoSpaceDN/>
                              <w:adjustRightInd/>
                              <w:spacing w:after="0"/>
                              <w:textAlignment w:val="auto"/>
                              <w:rPr>
                                <w:rFonts w:ascii="Arial" w:eastAsia="MS Mincho" w:hAnsi="Arial" w:cs="Arial"/>
                                <w:i/>
                                <w:lang w:eastAsia="ja-JP"/>
                              </w:rPr>
                            </w:pPr>
                            <w:r w:rsidRPr="002C1F73">
                              <w:rPr>
                                <w:rFonts w:ascii="Arial" w:eastAsia="MS Mincho" w:hAnsi="Arial" w:cs="Arial"/>
                                <w:i/>
                                <w:lang w:eastAsia="ja-JP"/>
                              </w:rPr>
                              <w:t xml:space="preserve">The MIMO capability is not included in the band combination </w:t>
                            </w:r>
                            <w:proofErr w:type="spellStart"/>
                            <w:r w:rsidRPr="002C1F73">
                              <w:rPr>
                                <w:rFonts w:ascii="Arial" w:eastAsia="MS Mincho" w:hAnsi="Arial" w:cs="Arial"/>
                                <w:i/>
                                <w:lang w:eastAsia="ja-JP"/>
                              </w:rPr>
                              <w:t>signalling</w:t>
                            </w:r>
                            <w:proofErr w:type="spellEnd"/>
                            <w:r w:rsidRPr="002C1F73">
                              <w:rPr>
                                <w:rFonts w:ascii="Arial" w:eastAsia="MS Mincho" w:hAnsi="Arial" w:cs="Arial"/>
                                <w:i/>
                                <w:lang w:eastAsia="ja-JP"/>
                              </w:rPr>
                              <w:t>.</w:t>
                            </w:r>
                          </w:p>
                          <w:p w:rsidR="00CD7423" w:rsidRPr="002C1F73" w:rsidRDefault="00CD7423" w:rsidP="00CD7423">
                            <w:pPr>
                              <w:overflowPunct/>
                              <w:autoSpaceDE/>
                              <w:autoSpaceDN/>
                              <w:adjustRightInd/>
                              <w:spacing w:after="0"/>
                              <w:textAlignment w:val="auto"/>
                              <w:rPr>
                                <w:rFonts w:ascii="Arial" w:eastAsia="MS Mincho" w:hAnsi="Arial" w:cs="Arial"/>
                                <w:lang w:eastAsia="ja-JP"/>
                              </w:rPr>
                            </w:pPr>
                          </w:p>
                          <w:p w:rsidR="00CD7423" w:rsidRPr="002C1F73" w:rsidRDefault="00CD7423" w:rsidP="00CD7423">
                            <w:pPr>
                              <w:overflowPunct/>
                              <w:autoSpaceDE/>
                              <w:autoSpaceDN/>
                              <w:adjustRightInd/>
                              <w:spacing w:after="0"/>
                              <w:textAlignment w:val="auto"/>
                              <w:rPr>
                                <w:rFonts w:ascii="Arial" w:eastAsia="MS Mincho" w:hAnsi="Arial" w:cs="Arial"/>
                                <w:lang w:eastAsia="ja-JP"/>
                              </w:rPr>
                            </w:pPr>
                            <w:r w:rsidRPr="002C1F73">
                              <w:rPr>
                                <w:rFonts w:ascii="Arial" w:eastAsia="MS Mincho" w:hAnsi="Arial" w:cs="Arial"/>
                                <w:lang w:eastAsia="ja-JP"/>
                              </w:rPr>
                              <w:t>Besides that, RAN2 is aware that RAN1 has been doing an exercise to develop the Layer-1 UE feature list for NR. To define proper capability signaling for each Layer-1 feature, it is helpful from RAN2 point of view if the Layer-1 features can be classified into the following types:</w:t>
                            </w:r>
                          </w:p>
                          <w:p w:rsidR="00CD7423" w:rsidRPr="002C1F73" w:rsidRDefault="00CD7423" w:rsidP="00CD7423">
                            <w:pPr>
                              <w:overflowPunct/>
                              <w:autoSpaceDE/>
                              <w:autoSpaceDN/>
                              <w:adjustRightInd/>
                              <w:spacing w:after="0"/>
                              <w:textAlignment w:val="auto"/>
                              <w:rPr>
                                <w:rFonts w:ascii="Arial" w:eastAsia="MS Mincho" w:hAnsi="Arial" w:cs="Arial"/>
                                <w:lang w:eastAsia="ja-JP"/>
                              </w:rPr>
                            </w:pPr>
                          </w:p>
                          <w:p w:rsidR="00CD7423" w:rsidRPr="002C1F73" w:rsidRDefault="00CD7423" w:rsidP="00CD7423">
                            <w:pPr>
                              <w:overflowPunct/>
                              <w:autoSpaceDE/>
                              <w:autoSpaceDN/>
                              <w:adjustRightInd/>
                              <w:spacing w:after="0"/>
                              <w:textAlignment w:val="auto"/>
                              <w:rPr>
                                <w:rFonts w:ascii="Arial" w:eastAsia="MS Mincho" w:hAnsi="Arial" w:cs="Arial"/>
                                <w:lang w:eastAsia="ja-JP"/>
                              </w:rPr>
                            </w:pPr>
                            <w:r w:rsidRPr="002C1F73">
                              <w:rPr>
                                <w:rFonts w:ascii="Arial" w:eastAsia="MS Mincho" w:hAnsi="Arial" w:cs="Arial"/>
                                <w:lang w:eastAsia="ja-JP"/>
                              </w:rPr>
                              <w:tab/>
                              <w:t>Type 1:</w:t>
                            </w:r>
                            <w:r w:rsidRPr="002C1F73">
                              <w:rPr>
                                <w:rFonts w:ascii="Arial" w:eastAsia="MS Mincho" w:hAnsi="Arial" w:cs="Arial"/>
                                <w:lang w:eastAsia="ja-JP"/>
                              </w:rPr>
                              <w:tab/>
                              <w:t>Layer-1 features relevant to RF characteristics</w:t>
                            </w:r>
                          </w:p>
                          <w:p w:rsidR="00CD7423" w:rsidRPr="002C1F73" w:rsidRDefault="00CD7423" w:rsidP="00CD7423">
                            <w:pPr>
                              <w:numPr>
                                <w:ilvl w:val="4"/>
                                <w:numId w:val="7"/>
                              </w:numPr>
                              <w:overflowPunct/>
                              <w:autoSpaceDE/>
                              <w:autoSpaceDN/>
                              <w:adjustRightInd/>
                              <w:spacing w:after="0"/>
                              <w:textAlignment w:val="auto"/>
                              <w:rPr>
                                <w:rFonts w:ascii="Arial" w:eastAsia="MS Mincho" w:hAnsi="Arial" w:cs="Arial"/>
                                <w:lang w:eastAsia="ja-JP"/>
                              </w:rPr>
                            </w:pPr>
                            <w:r w:rsidRPr="002C1F73">
                              <w:rPr>
                                <w:rFonts w:ascii="Arial" w:eastAsia="MS Mincho" w:hAnsi="Arial" w:cs="Arial"/>
                                <w:lang w:eastAsia="ja-JP"/>
                              </w:rPr>
                              <w:t>They are reported per band (not per band combination).</w:t>
                            </w:r>
                          </w:p>
                          <w:p w:rsidR="00CD7423" w:rsidRPr="002C1F73" w:rsidRDefault="00CD7423" w:rsidP="00CD7423">
                            <w:pPr>
                              <w:overflowPunct/>
                              <w:autoSpaceDE/>
                              <w:autoSpaceDN/>
                              <w:adjustRightInd/>
                              <w:spacing w:after="0"/>
                              <w:ind w:left="1440" w:hanging="720"/>
                              <w:textAlignment w:val="auto"/>
                              <w:rPr>
                                <w:rFonts w:ascii="Arial" w:eastAsia="MS Mincho" w:hAnsi="Arial" w:cs="Arial"/>
                                <w:lang w:eastAsia="ja-JP"/>
                              </w:rPr>
                            </w:pPr>
                            <w:r w:rsidRPr="002C1F73">
                              <w:rPr>
                                <w:rFonts w:ascii="Arial" w:eastAsia="MS Mincho" w:hAnsi="Arial" w:cs="Arial"/>
                                <w:lang w:eastAsia="ja-JP"/>
                              </w:rPr>
                              <w:t>Type 2:</w:t>
                            </w:r>
                            <w:r w:rsidRPr="002C1F73">
                              <w:rPr>
                                <w:rFonts w:ascii="Arial" w:eastAsia="MS Mincho" w:hAnsi="Arial" w:cs="Arial"/>
                                <w:lang w:eastAsia="ja-JP"/>
                              </w:rPr>
                              <w:tab/>
                              <w:t xml:space="preserve">Layer-1 features </w:t>
                            </w:r>
                            <w:r w:rsidRPr="002C1F73">
                              <w:rPr>
                                <w:rFonts w:ascii="Arial" w:eastAsia="MS Mincho" w:hAnsi="Arial" w:cs="Arial" w:hint="eastAsia"/>
                                <w:lang w:eastAsia="ja-JP"/>
                              </w:rPr>
                              <w:t>that influence</w:t>
                            </w:r>
                            <w:r w:rsidRPr="002C1F73">
                              <w:rPr>
                                <w:rFonts w:ascii="Arial" w:eastAsia="MS Mincho" w:hAnsi="Arial" w:cs="Arial"/>
                                <w:lang w:eastAsia="ja-JP"/>
                              </w:rPr>
                              <w:t xml:space="preserve"> baseband processing when UE is configured with NR CA/MR-DC/SUL</w:t>
                            </w:r>
                          </w:p>
                          <w:p w:rsidR="00CD7423" w:rsidRPr="002C1F73" w:rsidRDefault="00CD7423" w:rsidP="00CD7423">
                            <w:pPr>
                              <w:numPr>
                                <w:ilvl w:val="4"/>
                                <w:numId w:val="7"/>
                              </w:numPr>
                              <w:overflowPunct/>
                              <w:autoSpaceDE/>
                              <w:autoSpaceDN/>
                              <w:adjustRightInd/>
                              <w:spacing w:after="0"/>
                              <w:textAlignment w:val="auto"/>
                              <w:rPr>
                                <w:rFonts w:ascii="Arial" w:eastAsia="MS Mincho" w:hAnsi="Arial" w:cs="Arial"/>
                                <w:lang w:eastAsia="ja-JP"/>
                              </w:rPr>
                            </w:pPr>
                            <w:r w:rsidRPr="002C1F73">
                              <w:rPr>
                                <w:rFonts w:ascii="Arial" w:eastAsia="MS Mincho" w:hAnsi="Arial" w:cs="Arial"/>
                                <w:lang w:eastAsia="ja-JP"/>
                              </w:rPr>
                              <w:t>They are reported in the baseband capability combination signaling.</w:t>
                            </w:r>
                          </w:p>
                          <w:p w:rsidR="00CD7423" w:rsidRPr="002C1F73" w:rsidRDefault="00CD7423" w:rsidP="00CD7423">
                            <w:pPr>
                              <w:overflowPunct/>
                              <w:autoSpaceDE/>
                              <w:autoSpaceDN/>
                              <w:adjustRightInd/>
                              <w:spacing w:after="0"/>
                              <w:ind w:left="1440" w:hanging="720"/>
                              <w:textAlignment w:val="auto"/>
                              <w:rPr>
                                <w:rFonts w:ascii="Arial" w:eastAsia="MS Mincho" w:hAnsi="Arial" w:cs="Arial"/>
                                <w:lang w:eastAsia="ja-JP"/>
                              </w:rPr>
                            </w:pPr>
                            <w:r w:rsidRPr="002C1F73">
                              <w:rPr>
                                <w:rFonts w:ascii="Arial" w:eastAsia="MS Mincho" w:hAnsi="Arial" w:cs="Arial"/>
                                <w:lang w:eastAsia="ja-JP"/>
                              </w:rPr>
                              <w:t>Type 3;</w:t>
                            </w:r>
                            <w:r w:rsidRPr="002C1F73">
                              <w:rPr>
                                <w:rFonts w:ascii="Arial" w:eastAsia="MS Mincho" w:hAnsi="Arial" w:cs="Arial"/>
                                <w:lang w:eastAsia="ja-JP"/>
                              </w:rPr>
                              <w:tab/>
                              <w:t>Layer-1 features having both Type 1 and Type</w:t>
                            </w:r>
                            <w:r w:rsidRPr="002C1F73">
                              <w:rPr>
                                <w:rFonts w:ascii="Arial" w:eastAsia="MS Mincho" w:hAnsi="Arial" w:cs="Arial" w:hint="eastAsia"/>
                                <w:lang w:eastAsia="ja-JP"/>
                              </w:rPr>
                              <w:t xml:space="preserve"> </w:t>
                            </w:r>
                            <w:r w:rsidRPr="002C1F73">
                              <w:rPr>
                                <w:rFonts w:ascii="Arial" w:eastAsia="MS Mincho" w:hAnsi="Arial" w:cs="Arial"/>
                                <w:lang w:eastAsia="ja-JP"/>
                              </w:rPr>
                              <w:t>2 characteristics (like the MIMO capability</w:t>
                            </w:r>
                            <w:r w:rsidRPr="002C1F73">
                              <w:rPr>
                                <w:rFonts w:ascii="Arial" w:eastAsia="MS Mincho" w:hAnsi="Arial" w:cs="Arial" w:hint="eastAsia"/>
                                <w:lang w:eastAsia="ja-JP"/>
                              </w:rPr>
                              <w:t xml:space="preserve"> and the other LTE UE capabilities included per band in the band combination or per band combination</w:t>
                            </w:r>
                            <w:r w:rsidRPr="002C1F73">
                              <w:rPr>
                                <w:rFonts w:ascii="Arial" w:eastAsia="MS Mincho" w:hAnsi="Arial" w:cs="Arial"/>
                                <w:lang w:eastAsia="ja-JP"/>
                              </w:rPr>
                              <w:t>)</w:t>
                            </w:r>
                          </w:p>
                          <w:p w:rsidR="00CD7423" w:rsidRPr="002C1F73" w:rsidRDefault="00CD7423" w:rsidP="00CD7423">
                            <w:pPr>
                              <w:numPr>
                                <w:ilvl w:val="4"/>
                                <w:numId w:val="7"/>
                              </w:numPr>
                              <w:overflowPunct/>
                              <w:autoSpaceDE/>
                              <w:autoSpaceDN/>
                              <w:adjustRightInd/>
                              <w:spacing w:after="0"/>
                              <w:textAlignment w:val="auto"/>
                              <w:rPr>
                                <w:rFonts w:ascii="Arial" w:eastAsia="MS Mincho" w:hAnsi="Arial" w:cs="Arial"/>
                                <w:lang w:eastAsia="ja-JP"/>
                              </w:rPr>
                            </w:pPr>
                            <w:r w:rsidRPr="002C1F73">
                              <w:rPr>
                                <w:rFonts w:ascii="Arial" w:eastAsia="MS Mincho" w:hAnsi="Arial" w:cs="Arial"/>
                                <w:lang w:eastAsia="ja-JP"/>
                              </w:rPr>
                              <w:t>It is noted that for type</w:t>
                            </w:r>
                            <w:r w:rsidRPr="002C1F73">
                              <w:rPr>
                                <w:rFonts w:ascii="Arial" w:eastAsia="MS Mincho" w:hAnsi="Arial" w:cs="Arial" w:hint="eastAsia"/>
                                <w:lang w:eastAsia="ja-JP"/>
                              </w:rPr>
                              <w:t>-3</w:t>
                            </w:r>
                            <w:r w:rsidRPr="002C1F73">
                              <w:rPr>
                                <w:rFonts w:ascii="Arial" w:eastAsia="MS Mincho" w:hAnsi="Arial" w:cs="Arial"/>
                                <w:lang w:eastAsia="ja-JP"/>
                              </w:rPr>
                              <w:t xml:space="preserve"> features </w:t>
                            </w:r>
                            <w:r w:rsidRPr="002C1F73">
                              <w:rPr>
                                <w:rFonts w:ascii="Arial" w:eastAsia="MS Mincho" w:hAnsi="Arial" w:cs="Arial" w:hint="eastAsia"/>
                                <w:lang w:eastAsia="ja-JP"/>
                              </w:rPr>
                              <w:t>RAN2 aims to follow the above agreements and working assumptions made for the MIMO capability</w:t>
                            </w:r>
                            <w:r w:rsidRPr="002C1F73">
                              <w:rPr>
                                <w:rFonts w:ascii="Arial" w:eastAsia="MS Mincho" w:hAnsi="Arial" w:cs="Arial"/>
                                <w:lang w:eastAsia="ja-JP"/>
                              </w:rPr>
                              <w:t>.</w:t>
                            </w:r>
                          </w:p>
                          <w:p w:rsidR="00CD7423" w:rsidRPr="002C1F73" w:rsidRDefault="00CD7423" w:rsidP="00CD7423">
                            <w:pPr>
                              <w:overflowPunct/>
                              <w:autoSpaceDE/>
                              <w:autoSpaceDN/>
                              <w:adjustRightInd/>
                              <w:spacing w:after="0"/>
                              <w:ind w:leftChars="354" w:left="1416" w:hangingChars="354" w:hanging="708"/>
                              <w:textAlignment w:val="auto"/>
                              <w:rPr>
                                <w:rFonts w:ascii="Arial" w:eastAsia="MS Mincho" w:hAnsi="Arial" w:cs="Arial"/>
                                <w:lang w:eastAsia="ja-JP"/>
                              </w:rPr>
                            </w:pPr>
                            <w:r w:rsidRPr="002C1F73">
                              <w:rPr>
                                <w:rFonts w:ascii="Arial" w:eastAsia="MS Mincho" w:hAnsi="Arial" w:cs="Arial"/>
                                <w:lang w:eastAsia="ja-JP"/>
                              </w:rPr>
                              <w:t>Type 4:</w:t>
                            </w:r>
                            <w:r w:rsidRPr="002C1F73">
                              <w:rPr>
                                <w:rFonts w:ascii="Arial" w:eastAsia="MS Mincho" w:hAnsi="Arial" w:cs="Arial"/>
                                <w:lang w:eastAsia="ja-JP"/>
                              </w:rPr>
                              <w:tab/>
                              <w:t>Layer-1 features independent from the other features and not categorized into any of the above types</w:t>
                            </w:r>
                          </w:p>
                          <w:p w:rsidR="00CD7423" w:rsidRDefault="00CD7423" w:rsidP="00CD7423"/>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21F0C50" id="_x0000_s1029" type="#_x0000_t202" style="position:absolute;margin-left:15.8pt;margin-top:34.9pt;width:466.85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">
                <v:textbox style="mso-fit-shape-to-text:t">
                  <w:txbxContent>
                    <w:p w:rsidR="00CD7423" w:rsidRPr="002C1F73" w:rsidRDefault="00CD7423" w:rsidP="00CD7423">
                      <w:pPr>
                        <w:pStyle w:val="Header"/>
                        <w:rPr>
                          <w:rFonts w:ascii="Arial" w:eastAsia="MS Mincho" w:hAnsi="Arial" w:cs="Arial"/>
                          <w:lang w:eastAsia="ja-JP"/>
                        </w:rPr>
                      </w:pPr>
                      <w:r w:rsidRPr="002C1F73">
                        <w:rPr>
                          <w:rFonts w:ascii="Arial" w:eastAsia="MS Mincho" w:hAnsi="Arial" w:cs="Arial"/>
                          <w:lang w:eastAsia="ja-JP"/>
                        </w:rPr>
                        <w:t>RAN2 would like to inform of the further decision made at RAN2 #99bis as shown below:</w:t>
                      </w:r>
                    </w:p>
                    <w:p w:rsidR="00CD7423" w:rsidRPr="002C1F73" w:rsidRDefault="00CD7423" w:rsidP="00CD7423">
                      <w:pPr>
                        <w:overflowPunct/>
                        <w:autoSpaceDE/>
                        <w:autoSpaceDN/>
                        <w:adjustRightInd/>
                        <w:spacing w:after="0"/>
                        <w:textAlignment w:val="auto"/>
                        <w:rPr>
                          <w:rFonts w:ascii="Arial" w:eastAsia="MS Mincho" w:hAnsi="Arial" w:cs="Arial"/>
                          <w:lang w:eastAsia="ja-JP"/>
                        </w:rPr>
                      </w:pPr>
                    </w:p>
                    <w:p w:rsidR="00CD7423" w:rsidRPr="002C1F73" w:rsidRDefault="00CD7423" w:rsidP="00CD7423">
                      <w:pPr>
                        <w:overflowPunct/>
                        <w:autoSpaceDE/>
                        <w:autoSpaceDN/>
                        <w:adjustRightInd/>
                        <w:spacing w:after="0"/>
                        <w:textAlignment w:val="auto"/>
                        <w:rPr>
                          <w:rFonts w:ascii="Arial" w:eastAsia="MS Mincho" w:hAnsi="Arial" w:cs="Arial"/>
                          <w:i/>
                          <w:u w:val="single"/>
                          <w:lang w:eastAsia="ja-JP"/>
                        </w:rPr>
                      </w:pPr>
                      <w:r w:rsidRPr="002C1F73">
                        <w:rPr>
                          <w:rFonts w:ascii="Arial" w:eastAsia="MS Mincho" w:hAnsi="Arial" w:cs="Arial"/>
                          <w:lang w:eastAsia="ja-JP"/>
                        </w:rPr>
                        <w:tab/>
                      </w:r>
                      <w:r w:rsidRPr="002C1F73">
                        <w:rPr>
                          <w:rFonts w:ascii="Arial" w:eastAsia="MS Mincho" w:hAnsi="Arial" w:cs="Arial"/>
                          <w:i/>
                          <w:u w:val="single"/>
                          <w:lang w:eastAsia="ja-JP"/>
                        </w:rPr>
                        <w:t>Agreements:</w:t>
                      </w:r>
                    </w:p>
                    <w:p w:rsidR="00CD7423" w:rsidRPr="002C1F73" w:rsidRDefault="00CD7423" w:rsidP="00CD7423">
                      <w:pPr>
                        <w:numPr>
                          <w:ilvl w:val="0"/>
                          <w:numId w:val="5"/>
                        </w:numPr>
                        <w:overflowPunct/>
                        <w:autoSpaceDE/>
                        <w:autoSpaceDN/>
                        <w:adjustRightInd/>
                        <w:spacing w:after="0"/>
                        <w:textAlignment w:val="auto"/>
                        <w:rPr>
                          <w:rFonts w:ascii="Arial" w:eastAsia="MS Mincho" w:hAnsi="Arial" w:cs="Arial"/>
                          <w:i/>
                          <w:lang w:eastAsia="ja-JP"/>
                        </w:rPr>
                      </w:pPr>
                      <w:r w:rsidRPr="002C1F73">
                        <w:rPr>
                          <w:rFonts w:ascii="Arial" w:eastAsia="MS Mincho" w:hAnsi="Arial" w:cs="Arial"/>
                          <w:i/>
                          <w:lang w:eastAsia="ja-JP"/>
                        </w:rPr>
                        <w:t>UE can report the number of MIMO layers per band.</w:t>
                      </w:r>
                    </w:p>
                    <w:p w:rsidR="00CD7423" w:rsidRPr="002C1F73" w:rsidRDefault="00CD7423" w:rsidP="00CD7423">
                      <w:pPr>
                        <w:numPr>
                          <w:ilvl w:val="0"/>
                          <w:numId w:val="5"/>
                        </w:numPr>
                        <w:overflowPunct/>
                        <w:autoSpaceDE/>
                        <w:autoSpaceDN/>
                        <w:adjustRightInd/>
                        <w:spacing w:after="0"/>
                        <w:textAlignment w:val="auto"/>
                        <w:rPr>
                          <w:rFonts w:ascii="Arial" w:eastAsia="MS Mincho" w:hAnsi="Arial" w:cs="Arial"/>
                          <w:i/>
                          <w:lang w:eastAsia="ja-JP"/>
                        </w:rPr>
                      </w:pPr>
                      <w:r w:rsidRPr="002C1F73">
                        <w:rPr>
                          <w:rFonts w:ascii="Arial" w:eastAsia="MS Mincho" w:hAnsi="Arial" w:cs="Arial"/>
                          <w:i/>
                          <w:lang w:eastAsia="ja-JP"/>
                        </w:rPr>
                        <w:t xml:space="preserve">The concept of baseband capability combination is applied at least for the LTE part of </w:t>
                      </w:r>
                      <w:r w:rsidRPr="002C1F73">
                        <w:rPr>
                          <w:rFonts w:ascii="Arial" w:eastAsia="MS Mincho" w:hAnsi="Arial" w:cs="Arial" w:hint="eastAsia"/>
                          <w:i/>
                          <w:lang w:eastAsia="ja-JP"/>
                        </w:rPr>
                        <w:t>MR</w:t>
                      </w:r>
                      <w:r w:rsidRPr="002C1F73">
                        <w:rPr>
                          <w:rFonts w:ascii="Arial" w:eastAsia="MS Mincho" w:hAnsi="Arial" w:cs="Arial"/>
                          <w:i/>
                          <w:lang w:eastAsia="ja-JP"/>
                        </w:rPr>
                        <w:t>-DC.</w:t>
                      </w:r>
                      <w:r w:rsidRPr="002C1F73">
                        <w:rPr>
                          <w:rFonts w:ascii="Arial" w:eastAsia="MS Mincho" w:hAnsi="Arial" w:cs="Arial"/>
                          <w:lang w:eastAsia="ja-JP"/>
                        </w:rPr>
                        <w:t xml:space="preserve"> </w:t>
                      </w:r>
                      <w:r w:rsidRPr="002C1F73">
                        <w:rPr>
                          <w:rFonts w:ascii="Arial" w:eastAsia="MS Mincho" w:hAnsi="Arial" w:cs="Arial"/>
                          <w:i/>
                          <w:lang w:eastAsia="ja-JP"/>
                        </w:rPr>
                        <w:t>The fallback mechanism similar to Rel-14 LTE CA is considered for the baseband processing combination signaling. Details are FFS.</w:t>
                      </w:r>
                    </w:p>
                    <w:p w:rsidR="00CD7423" w:rsidRPr="002C1F73" w:rsidRDefault="00CD7423" w:rsidP="00CD7423">
                      <w:pPr>
                        <w:overflowPunct/>
                        <w:autoSpaceDE/>
                        <w:autoSpaceDN/>
                        <w:adjustRightInd/>
                        <w:spacing w:after="0"/>
                        <w:ind w:leftChars="360" w:left="720"/>
                        <w:textAlignment w:val="auto"/>
                        <w:rPr>
                          <w:rFonts w:ascii="Arial" w:eastAsia="MS Mincho" w:hAnsi="Arial" w:cs="Arial"/>
                          <w:i/>
                          <w:lang w:eastAsia="ja-JP"/>
                        </w:rPr>
                      </w:pPr>
                    </w:p>
                    <w:p w:rsidR="00CD7423" w:rsidRPr="002C1F73" w:rsidRDefault="00CD7423" w:rsidP="00CD7423">
                      <w:pPr>
                        <w:overflowPunct/>
                        <w:autoSpaceDE/>
                        <w:autoSpaceDN/>
                        <w:adjustRightInd/>
                        <w:spacing w:after="0"/>
                        <w:ind w:leftChars="360" w:left="720"/>
                        <w:textAlignment w:val="auto"/>
                        <w:rPr>
                          <w:rFonts w:ascii="Arial" w:eastAsia="MS Mincho" w:hAnsi="Arial" w:cs="Arial"/>
                          <w:i/>
                          <w:u w:val="single"/>
                          <w:lang w:eastAsia="ja-JP"/>
                        </w:rPr>
                      </w:pPr>
                      <w:r w:rsidRPr="002C1F73">
                        <w:rPr>
                          <w:rFonts w:ascii="Arial" w:eastAsia="MS Mincho" w:hAnsi="Arial" w:cs="Arial"/>
                          <w:i/>
                          <w:u w:val="single"/>
                          <w:lang w:eastAsia="ja-JP"/>
                        </w:rPr>
                        <w:t>Working assumptions:</w:t>
                      </w:r>
                    </w:p>
                    <w:p w:rsidR="00CD7423" w:rsidRPr="002C1F73" w:rsidRDefault="00CD7423" w:rsidP="00CD7423">
                      <w:pPr>
                        <w:numPr>
                          <w:ilvl w:val="0"/>
                          <w:numId w:val="6"/>
                        </w:numPr>
                        <w:overflowPunct/>
                        <w:autoSpaceDE/>
                        <w:autoSpaceDN/>
                        <w:adjustRightInd/>
                        <w:spacing w:after="0"/>
                        <w:textAlignment w:val="auto"/>
                        <w:rPr>
                          <w:rFonts w:ascii="Arial" w:eastAsia="MS Mincho" w:hAnsi="Arial" w:cs="Arial"/>
                          <w:i/>
                          <w:lang w:eastAsia="ja-JP"/>
                        </w:rPr>
                      </w:pPr>
                      <w:r w:rsidRPr="002C1F73">
                        <w:rPr>
                          <w:rFonts w:ascii="Arial" w:eastAsia="MS Mincho" w:hAnsi="Arial" w:cs="Arial"/>
                          <w:i/>
                          <w:lang w:eastAsia="ja-JP"/>
                        </w:rPr>
                        <w:t>The UE reports the MIMO capability per CC as part of the baseband processing capabilities.</w:t>
                      </w:r>
                    </w:p>
                    <w:p w:rsidR="00CD7423" w:rsidRPr="002C1F73" w:rsidRDefault="00CD7423" w:rsidP="00CD7423">
                      <w:pPr>
                        <w:numPr>
                          <w:ilvl w:val="0"/>
                          <w:numId w:val="6"/>
                        </w:numPr>
                        <w:overflowPunct/>
                        <w:autoSpaceDE/>
                        <w:autoSpaceDN/>
                        <w:adjustRightInd/>
                        <w:spacing w:after="0"/>
                        <w:textAlignment w:val="auto"/>
                        <w:rPr>
                          <w:rFonts w:ascii="Arial" w:eastAsia="MS Mincho" w:hAnsi="Arial" w:cs="Arial"/>
                          <w:i/>
                          <w:lang w:eastAsia="ja-JP"/>
                        </w:rPr>
                      </w:pPr>
                      <w:r w:rsidRPr="002C1F73">
                        <w:rPr>
                          <w:rFonts w:ascii="Arial" w:eastAsia="MS Mincho" w:hAnsi="Arial" w:cs="Arial"/>
                          <w:i/>
                          <w:lang w:eastAsia="ja-JP"/>
                        </w:rPr>
                        <w:t xml:space="preserve">The MIMO capability is not included in the band combination </w:t>
                      </w:r>
                      <w:proofErr w:type="spellStart"/>
                      <w:r w:rsidRPr="002C1F73">
                        <w:rPr>
                          <w:rFonts w:ascii="Arial" w:eastAsia="MS Mincho" w:hAnsi="Arial" w:cs="Arial"/>
                          <w:i/>
                          <w:lang w:eastAsia="ja-JP"/>
                        </w:rPr>
                        <w:t>signalling</w:t>
                      </w:r>
                      <w:proofErr w:type="spellEnd"/>
                      <w:r w:rsidRPr="002C1F73">
                        <w:rPr>
                          <w:rFonts w:ascii="Arial" w:eastAsia="MS Mincho" w:hAnsi="Arial" w:cs="Arial"/>
                          <w:i/>
                          <w:lang w:eastAsia="ja-JP"/>
                        </w:rPr>
                        <w:t>.</w:t>
                      </w:r>
                    </w:p>
                    <w:p w:rsidR="00CD7423" w:rsidRPr="002C1F73" w:rsidRDefault="00CD7423" w:rsidP="00CD7423">
                      <w:pPr>
                        <w:overflowPunct/>
                        <w:autoSpaceDE/>
                        <w:autoSpaceDN/>
                        <w:adjustRightInd/>
                        <w:spacing w:after="0"/>
                        <w:textAlignment w:val="auto"/>
                        <w:rPr>
                          <w:rFonts w:ascii="Arial" w:eastAsia="MS Mincho" w:hAnsi="Arial" w:cs="Arial"/>
                          <w:lang w:eastAsia="ja-JP"/>
                        </w:rPr>
                      </w:pPr>
                    </w:p>
                    <w:p w:rsidR="00CD7423" w:rsidRPr="002C1F73" w:rsidRDefault="00CD7423" w:rsidP="00CD7423">
                      <w:pPr>
                        <w:overflowPunct/>
                        <w:autoSpaceDE/>
                        <w:autoSpaceDN/>
                        <w:adjustRightInd/>
                        <w:spacing w:after="0"/>
                        <w:textAlignment w:val="auto"/>
                        <w:rPr>
                          <w:rFonts w:ascii="Arial" w:eastAsia="MS Mincho" w:hAnsi="Arial" w:cs="Arial"/>
                          <w:lang w:eastAsia="ja-JP"/>
                        </w:rPr>
                      </w:pPr>
                      <w:r w:rsidRPr="002C1F73">
                        <w:rPr>
                          <w:rFonts w:ascii="Arial" w:eastAsia="MS Mincho" w:hAnsi="Arial" w:cs="Arial"/>
                          <w:lang w:eastAsia="ja-JP"/>
                        </w:rPr>
                        <w:t>Besides that, RAN2 is aware that RAN1 has been doing an exercise to develop the Layer-1 UE feature list for NR. To define proper capability signaling for each Layer-1 feature, it is helpful from RAN2 point of view if the Layer-1 features can be classified into the following types:</w:t>
                      </w:r>
                    </w:p>
                    <w:p w:rsidR="00CD7423" w:rsidRPr="002C1F73" w:rsidRDefault="00CD7423" w:rsidP="00CD7423">
                      <w:pPr>
                        <w:overflowPunct/>
                        <w:autoSpaceDE/>
                        <w:autoSpaceDN/>
                        <w:adjustRightInd/>
                        <w:spacing w:after="0"/>
                        <w:textAlignment w:val="auto"/>
                        <w:rPr>
                          <w:rFonts w:ascii="Arial" w:eastAsia="MS Mincho" w:hAnsi="Arial" w:cs="Arial"/>
                          <w:lang w:eastAsia="ja-JP"/>
                        </w:rPr>
                      </w:pPr>
                    </w:p>
                    <w:p w:rsidR="00CD7423" w:rsidRPr="002C1F73" w:rsidRDefault="00CD7423" w:rsidP="00CD7423">
                      <w:pPr>
                        <w:overflowPunct/>
                        <w:autoSpaceDE/>
                        <w:autoSpaceDN/>
                        <w:adjustRightInd/>
                        <w:spacing w:after="0"/>
                        <w:textAlignment w:val="auto"/>
                        <w:rPr>
                          <w:rFonts w:ascii="Arial" w:eastAsia="MS Mincho" w:hAnsi="Arial" w:cs="Arial"/>
                          <w:lang w:eastAsia="ja-JP"/>
                        </w:rPr>
                      </w:pPr>
                      <w:r w:rsidRPr="002C1F73">
                        <w:rPr>
                          <w:rFonts w:ascii="Arial" w:eastAsia="MS Mincho" w:hAnsi="Arial" w:cs="Arial"/>
                          <w:lang w:eastAsia="ja-JP"/>
                        </w:rPr>
                        <w:tab/>
                        <w:t>Type 1:</w:t>
                      </w:r>
                      <w:r w:rsidRPr="002C1F73">
                        <w:rPr>
                          <w:rFonts w:ascii="Arial" w:eastAsia="MS Mincho" w:hAnsi="Arial" w:cs="Arial"/>
                          <w:lang w:eastAsia="ja-JP"/>
                        </w:rPr>
                        <w:tab/>
                        <w:t>Layer-1 features relevant to RF characteristics</w:t>
                      </w:r>
                    </w:p>
                    <w:p w:rsidR="00CD7423" w:rsidRPr="002C1F73" w:rsidRDefault="00CD7423" w:rsidP="00CD7423">
                      <w:pPr>
                        <w:numPr>
                          <w:ilvl w:val="4"/>
                          <w:numId w:val="7"/>
                        </w:numPr>
                        <w:overflowPunct/>
                        <w:autoSpaceDE/>
                        <w:autoSpaceDN/>
                        <w:adjustRightInd/>
                        <w:spacing w:after="0"/>
                        <w:textAlignment w:val="auto"/>
                        <w:rPr>
                          <w:rFonts w:ascii="Arial" w:eastAsia="MS Mincho" w:hAnsi="Arial" w:cs="Arial"/>
                          <w:lang w:eastAsia="ja-JP"/>
                        </w:rPr>
                      </w:pPr>
                      <w:r w:rsidRPr="002C1F73">
                        <w:rPr>
                          <w:rFonts w:ascii="Arial" w:eastAsia="MS Mincho" w:hAnsi="Arial" w:cs="Arial"/>
                          <w:lang w:eastAsia="ja-JP"/>
                        </w:rPr>
                        <w:t>They are reported per band (not per band combination).</w:t>
                      </w:r>
                    </w:p>
                    <w:p w:rsidR="00CD7423" w:rsidRPr="002C1F73" w:rsidRDefault="00CD7423" w:rsidP="00CD7423">
                      <w:pPr>
                        <w:overflowPunct/>
                        <w:autoSpaceDE/>
                        <w:autoSpaceDN/>
                        <w:adjustRightInd/>
                        <w:spacing w:after="0"/>
                        <w:ind w:left="1440" w:hanging="720"/>
                        <w:textAlignment w:val="auto"/>
                        <w:rPr>
                          <w:rFonts w:ascii="Arial" w:eastAsia="MS Mincho" w:hAnsi="Arial" w:cs="Arial"/>
                          <w:lang w:eastAsia="ja-JP"/>
                        </w:rPr>
                      </w:pPr>
                      <w:r w:rsidRPr="002C1F73">
                        <w:rPr>
                          <w:rFonts w:ascii="Arial" w:eastAsia="MS Mincho" w:hAnsi="Arial" w:cs="Arial"/>
                          <w:lang w:eastAsia="ja-JP"/>
                        </w:rPr>
                        <w:t>Type 2:</w:t>
                      </w:r>
                      <w:r w:rsidRPr="002C1F73">
                        <w:rPr>
                          <w:rFonts w:ascii="Arial" w:eastAsia="MS Mincho" w:hAnsi="Arial" w:cs="Arial"/>
                          <w:lang w:eastAsia="ja-JP"/>
                        </w:rPr>
                        <w:tab/>
                        <w:t xml:space="preserve">Layer-1 features </w:t>
                      </w:r>
                      <w:r w:rsidRPr="002C1F73">
                        <w:rPr>
                          <w:rFonts w:ascii="Arial" w:eastAsia="MS Mincho" w:hAnsi="Arial" w:cs="Arial" w:hint="eastAsia"/>
                          <w:lang w:eastAsia="ja-JP"/>
                        </w:rPr>
                        <w:t>that influence</w:t>
                      </w:r>
                      <w:r w:rsidRPr="002C1F73">
                        <w:rPr>
                          <w:rFonts w:ascii="Arial" w:eastAsia="MS Mincho" w:hAnsi="Arial" w:cs="Arial"/>
                          <w:lang w:eastAsia="ja-JP"/>
                        </w:rPr>
                        <w:t xml:space="preserve"> baseband processing when UE is configured with NR CA/MR-DC/SUL</w:t>
                      </w:r>
                    </w:p>
                    <w:p w:rsidR="00CD7423" w:rsidRPr="002C1F73" w:rsidRDefault="00CD7423" w:rsidP="00CD7423">
                      <w:pPr>
                        <w:numPr>
                          <w:ilvl w:val="4"/>
                          <w:numId w:val="7"/>
                        </w:numPr>
                        <w:overflowPunct/>
                        <w:autoSpaceDE/>
                        <w:autoSpaceDN/>
                        <w:adjustRightInd/>
                        <w:spacing w:after="0"/>
                        <w:textAlignment w:val="auto"/>
                        <w:rPr>
                          <w:rFonts w:ascii="Arial" w:eastAsia="MS Mincho" w:hAnsi="Arial" w:cs="Arial"/>
                          <w:lang w:eastAsia="ja-JP"/>
                        </w:rPr>
                      </w:pPr>
                      <w:r w:rsidRPr="002C1F73">
                        <w:rPr>
                          <w:rFonts w:ascii="Arial" w:eastAsia="MS Mincho" w:hAnsi="Arial" w:cs="Arial"/>
                          <w:lang w:eastAsia="ja-JP"/>
                        </w:rPr>
                        <w:t>They are reported in the baseband capability combination signaling.</w:t>
                      </w:r>
                    </w:p>
                    <w:p w:rsidR="00CD7423" w:rsidRPr="002C1F73" w:rsidRDefault="00CD7423" w:rsidP="00CD7423">
                      <w:pPr>
                        <w:overflowPunct/>
                        <w:autoSpaceDE/>
                        <w:autoSpaceDN/>
                        <w:adjustRightInd/>
                        <w:spacing w:after="0"/>
                        <w:ind w:left="1440" w:hanging="720"/>
                        <w:textAlignment w:val="auto"/>
                        <w:rPr>
                          <w:rFonts w:ascii="Arial" w:eastAsia="MS Mincho" w:hAnsi="Arial" w:cs="Arial"/>
                          <w:lang w:eastAsia="ja-JP"/>
                        </w:rPr>
                      </w:pPr>
                      <w:r w:rsidRPr="002C1F73">
                        <w:rPr>
                          <w:rFonts w:ascii="Arial" w:eastAsia="MS Mincho" w:hAnsi="Arial" w:cs="Arial"/>
                          <w:lang w:eastAsia="ja-JP"/>
                        </w:rPr>
                        <w:t>Type 3;</w:t>
                      </w:r>
                      <w:r w:rsidRPr="002C1F73">
                        <w:rPr>
                          <w:rFonts w:ascii="Arial" w:eastAsia="MS Mincho" w:hAnsi="Arial" w:cs="Arial"/>
                          <w:lang w:eastAsia="ja-JP"/>
                        </w:rPr>
                        <w:tab/>
                        <w:t>Layer-1 features having both Type 1 and Type</w:t>
                      </w:r>
                      <w:r w:rsidRPr="002C1F73">
                        <w:rPr>
                          <w:rFonts w:ascii="Arial" w:eastAsia="MS Mincho" w:hAnsi="Arial" w:cs="Arial" w:hint="eastAsia"/>
                          <w:lang w:eastAsia="ja-JP"/>
                        </w:rPr>
                        <w:t xml:space="preserve"> </w:t>
                      </w:r>
                      <w:r w:rsidRPr="002C1F73">
                        <w:rPr>
                          <w:rFonts w:ascii="Arial" w:eastAsia="MS Mincho" w:hAnsi="Arial" w:cs="Arial"/>
                          <w:lang w:eastAsia="ja-JP"/>
                        </w:rPr>
                        <w:t>2 characteristics (like the MIMO capability</w:t>
                      </w:r>
                      <w:r w:rsidRPr="002C1F73">
                        <w:rPr>
                          <w:rFonts w:ascii="Arial" w:eastAsia="MS Mincho" w:hAnsi="Arial" w:cs="Arial" w:hint="eastAsia"/>
                          <w:lang w:eastAsia="ja-JP"/>
                        </w:rPr>
                        <w:t xml:space="preserve"> and the other LTE UE capabilities included per band in the band combination or per band combination</w:t>
                      </w:r>
                      <w:r w:rsidRPr="002C1F73">
                        <w:rPr>
                          <w:rFonts w:ascii="Arial" w:eastAsia="MS Mincho" w:hAnsi="Arial" w:cs="Arial"/>
                          <w:lang w:eastAsia="ja-JP"/>
                        </w:rPr>
                        <w:t>)</w:t>
                      </w:r>
                    </w:p>
                    <w:p w:rsidR="00CD7423" w:rsidRPr="002C1F73" w:rsidRDefault="00CD7423" w:rsidP="00CD7423">
                      <w:pPr>
                        <w:numPr>
                          <w:ilvl w:val="4"/>
                          <w:numId w:val="7"/>
                        </w:numPr>
                        <w:overflowPunct/>
                        <w:autoSpaceDE/>
                        <w:autoSpaceDN/>
                        <w:adjustRightInd/>
                        <w:spacing w:after="0"/>
                        <w:textAlignment w:val="auto"/>
                        <w:rPr>
                          <w:rFonts w:ascii="Arial" w:eastAsia="MS Mincho" w:hAnsi="Arial" w:cs="Arial"/>
                          <w:lang w:eastAsia="ja-JP"/>
                        </w:rPr>
                      </w:pPr>
                      <w:r w:rsidRPr="002C1F73">
                        <w:rPr>
                          <w:rFonts w:ascii="Arial" w:eastAsia="MS Mincho" w:hAnsi="Arial" w:cs="Arial"/>
                          <w:lang w:eastAsia="ja-JP"/>
                        </w:rPr>
                        <w:t>It is noted that for type</w:t>
                      </w:r>
                      <w:r w:rsidRPr="002C1F73">
                        <w:rPr>
                          <w:rFonts w:ascii="Arial" w:eastAsia="MS Mincho" w:hAnsi="Arial" w:cs="Arial" w:hint="eastAsia"/>
                          <w:lang w:eastAsia="ja-JP"/>
                        </w:rPr>
                        <w:t>-3</w:t>
                      </w:r>
                      <w:r w:rsidRPr="002C1F73">
                        <w:rPr>
                          <w:rFonts w:ascii="Arial" w:eastAsia="MS Mincho" w:hAnsi="Arial" w:cs="Arial"/>
                          <w:lang w:eastAsia="ja-JP"/>
                        </w:rPr>
                        <w:t xml:space="preserve"> features </w:t>
                      </w:r>
                      <w:r w:rsidRPr="002C1F73">
                        <w:rPr>
                          <w:rFonts w:ascii="Arial" w:eastAsia="MS Mincho" w:hAnsi="Arial" w:cs="Arial" w:hint="eastAsia"/>
                          <w:lang w:eastAsia="ja-JP"/>
                        </w:rPr>
                        <w:t>RAN2 aims to follow the above agreements and working assumptions made for the MIMO capability</w:t>
                      </w:r>
                      <w:r w:rsidRPr="002C1F73">
                        <w:rPr>
                          <w:rFonts w:ascii="Arial" w:eastAsia="MS Mincho" w:hAnsi="Arial" w:cs="Arial"/>
                          <w:lang w:eastAsia="ja-JP"/>
                        </w:rPr>
                        <w:t>.</w:t>
                      </w:r>
                    </w:p>
                    <w:p w:rsidR="00CD7423" w:rsidRPr="002C1F73" w:rsidRDefault="00CD7423" w:rsidP="00CD7423">
                      <w:pPr>
                        <w:overflowPunct/>
                        <w:autoSpaceDE/>
                        <w:autoSpaceDN/>
                        <w:adjustRightInd/>
                        <w:spacing w:after="0"/>
                        <w:ind w:leftChars="354" w:left="1416" w:hangingChars="354" w:hanging="708"/>
                        <w:textAlignment w:val="auto"/>
                        <w:rPr>
                          <w:rFonts w:ascii="Arial" w:eastAsia="MS Mincho" w:hAnsi="Arial" w:cs="Arial"/>
                          <w:lang w:eastAsia="ja-JP"/>
                        </w:rPr>
                      </w:pPr>
                      <w:r w:rsidRPr="002C1F73">
                        <w:rPr>
                          <w:rFonts w:ascii="Arial" w:eastAsia="MS Mincho" w:hAnsi="Arial" w:cs="Arial"/>
                          <w:lang w:eastAsia="ja-JP"/>
                        </w:rPr>
                        <w:t>Type 4:</w:t>
                      </w:r>
                      <w:r w:rsidRPr="002C1F73">
                        <w:rPr>
                          <w:rFonts w:ascii="Arial" w:eastAsia="MS Mincho" w:hAnsi="Arial" w:cs="Arial"/>
                          <w:lang w:eastAsia="ja-JP"/>
                        </w:rPr>
                        <w:tab/>
                        <w:t>Layer-1 features independent from the other features and not categorized into any of the above types</w:t>
                      </w:r>
                    </w:p>
                    <w:p w:rsidR="00CD7423" w:rsidRDefault="00CD7423" w:rsidP="00CD7423"/>
                  </w:txbxContent>
                </v:textbox>
                <w10:wrap type="square"/>
              </v:shape>
            </w:pict>
          </mc:Fallback>
        </mc:AlternateContent>
      </w:r>
      <w:r>
        <w:t>Annex A</w:t>
      </w:r>
    </w:p>
    <w:p w:rsidR="00CD7423" w:rsidRDefault="00CD7423" w:rsidP="00CD7423"/>
    <w:p w:rsidR="002B39F2" w:rsidRDefault="002B39F2"/>
    <w:sectPr w:rsidR="002B39F2" w:rsidSect="00A81625">
      <w:headerReference w:type="even" r:id="rId55"/>
      <w:footerReference w:type="even" r:id="rId56"/>
      <w:footerReference w:type="default" r:id="rId57"/>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30A6" w:rsidRDefault="000D30A6">
      <w:pPr>
        <w:spacing w:after="0"/>
      </w:pPr>
      <w:r>
        <w:separator/>
      </w:r>
    </w:p>
  </w:endnote>
  <w:endnote w:type="continuationSeparator" w:id="0">
    <w:p w:rsidR="000D30A6" w:rsidRDefault="000D30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364E" w:rsidRDefault="00F001D9" w:rsidP="00A8162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7364E" w:rsidRDefault="000D30A6" w:rsidP="00A8162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1840227700"/>
      <w:docPartObj>
        <w:docPartGallery w:val="Page Numbers (Bottom of Page)"/>
        <w:docPartUnique/>
      </w:docPartObj>
    </w:sdtPr>
    <w:sdtEndPr>
      <w:rPr>
        <w:noProof/>
        <w:color w:val="7F7F7F" w:themeColor="background1" w:themeShade="7F"/>
        <w:spacing w:val="60"/>
      </w:rPr>
    </w:sdtEndPr>
    <w:sdtContent>
      <w:p w:rsidR="0077364E" w:rsidRDefault="00F001D9">
        <w:pPr>
          <w:pStyle w:val="Footer"/>
          <w:pBdr>
            <w:top w:val="single" w:sz="4" w:space="1" w:color="D9D9D9" w:themeColor="background1" w:themeShade="D9"/>
          </w:pBdr>
          <w:jc w:val="right"/>
        </w:pPr>
        <w:r>
          <w:rPr>
            <w:noProof w:val="0"/>
          </w:rPr>
          <w:fldChar w:fldCharType="begin"/>
        </w:r>
        <w:r>
          <w:instrText xml:space="preserve"> PAGE   \* MERGEFORMAT </w:instrText>
        </w:r>
        <w:r>
          <w:rPr>
            <w:noProof w:val="0"/>
          </w:rPr>
          <w:fldChar w:fldCharType="separate"/>
        </w:r>
        <w:r w:rsidR="00BE50E4">
          <w:t>4</w:t>
        </w:r>
        <w:r>
          <w:fldChar w:fldCharType="end"/>
        </w:r>
        <w:r>
          <w:t xml:space="preserve"> | </w:t>
        </w:r>
        <w:r>
          <w:rPr>
            <w:color w:val="7F7F7F" w:themeColor="background1" w:themeShade="7F"/>
            <w:spacing w:val="60"/>
          </w:rPr>
          <w:t>Page</w:t>
        </w:r>
      </w:p>
    </w:sdtContent>
  </w:sdt>
  <w:p w:rsidR="0077364E" w:rsidRDefault="000D30A6" w:rsidP="00A81625">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30A6" w:rsidRDefault="000D30A6">
      <w:pPr>
        <w:spacing w:after="0"/>
      </w:pPr>
      <w:r>
        <w:separator/>
      </w:r>
    </w:p>
  </w:footnote>
  <w:footnote w:type="continuationSeparator" w:id="0">
    <w:p w:rsidR="000D30A6" w:rsidRDefault="000D30A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364E" w:rsidRDefault="00F001D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E05825"/>
    <w:multiLevelType w:val="hybridMultilevel"/>
    <w:tmpl w:val="7AA8E9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24574F75"/>
    <w:multiLevelType w:val="hybridMultilevel"/>
    <w:tmpl w:val="12D85378"/>
    <w:lvl w:ilvl="0" w:tplc="0409000F">
      <w:start w:val="1"/>
      <w:numFmt w:val="decimal"/>
      <w:lvlText w:val="%1."/>
      <w:lvlJc w:val="left"/>
      <w:pPr>
        <w:ind w:left="1140" w:hanging="420"/>
      </w:p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2" w15:restartNumberingAfterBreak="0">
    <w:nsid w:val="313F7965"/>
    <w:multiLevelType w:val="hybridMultilevel"/>
    <w:tmpl w:val="EEC6EB14"/>
    <w:lvl w:ilvl="0" w:tplc="3884916C">
      <w:start w:val="1"/>
      <w:numFmt w:val="bullet"/>
      <w:lvlText w:val="‒"/>
      <w:lvlJc w:val="left"/>
      <w:pPr>
        <w:ind w:left="1860" w:hanging="420"/>
      </w:pPr>
      <w:rPr>
        <w:rFonts w:ascii="MS Mincho" w:eastAsia="MS Mincho" w:hAnsi="MS Mincho" w:hint="eastAsia"/>
      </w:rPr>
    </w:lvl>
    <w:lvl w:ilvl="1" w:tplc="0409000B" w:tentative="1">
      <w:start w:val="1"/>
      <w:numFmt w:val="bullet"/>
      <w:lvlText w:val=""/>
      <w:lvlJc w:val="left"/>
      <w:pPr>
        <w:ind w:left="840" w:hanging="420"/>
      </w:pPr>
      <w:rPr>
        <w:rFonts w:ascii="Wingdings" w:hAnsi="Wingdings" w:hint="default"/>
      </w:rPr>
    </w:lvl>
    <w:lvl w:ilvl="2" w:tplc="5722137C">
      <w:start w:val="1"/>
      <w:numFmt w:val="bullet"/>
      <w:lvlText w:val="-"/>
      <w:lvlJc w:val="left"/>
      <w:pPr>
        <w:ind w:left="1260" w:hanging="420"/>
      </w:pPr>
      <w:rPr>
        <w:rFonts w:ascii="Arial" w:hAnsi="Arial" w:hint="default"/>
      </w:rPr>
    </w:lvl>
    <w:lvl w:ilvl="3" w:tplc="5722137C">
      <w:start w:val="1"/>
      <w:numFmt w:val="bullet"/>
      <w:lvlText w:val="-"/>
      <w:lvlJc w:val="left"/>
      <w:pPr>
        <w:ind w:left="1680" w:hanging="420"/>
      </w:pPr>
      <w:rPr>
        <w:rFonts w:ascii="Arial" w:hAnsi="Arial" w:hint="default"/>
      </w:rPr>
    </w:lvl>
    <w:lvl w:ilvl="4" w:tplc="5722137C">
      <w:start w:val="1"/>
      <w:numFmt w:val="bullet"/>
      <w:lvlText w:val="-"/>
      <w:lvlJc w:val="left"/>
      <w:pPr>
        <w:ind w:left="2100" w:hanging="420"/>
      </w:pPr>
      <w:rPr>
        <w:rFonts w:ascii="Arial" w:hAnsi="Arial"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3211693E"/>
    <w:multiLevelType w:val="hybridMultilevel"/>
    <w:tmpl w:val="93E89866"/>
    <w:lvl w:ilvl="0" w:tplc="0409000F">
      <w:start w:val="1"/>
      <w:numFmt w:val="decimal"/>
      <w:lvlText w:val="%1."/>
      <w:lvlJc w:val="left"/>
      <w:pPr>
        <w:ind w:left="1140" w:hanging="420"/>
      </w:p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4" w15:restartNumberingAfterBreak="0">
    <w:nsid w:val="55862AC2"/>
    <w:multiLevelType w:val="hybridMultilevel"/>
    <w:tmpl w:val="723007EC"/>
    <w:lvl w:ilvl="0" w:tplc="4FD4CE36">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88401BC"/>
    <w:multiLevelType w:val="hybridMultilevel"/>
    <w:tmpl w:val="BBA43B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7987E81"/>
    <w:multiLevelType w:val="hybridMultilevel"/>
    <w:tmpl w:val="F86868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E2D000C"/>
    <w:multiLevelType w:val="hybridMultilevel"/>
    <w:tmpl w:val="D736C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6"/>
  </w:num>
  <w:num w:numId="4">
    <w:abstractNumId w:val="7"/>
  </w:num>
  <w:num w:numId="5">
    <w:abstractNumId w:val="3"/>
  </w:num>
  <w:num w:numId="6">
    <w:abstractNumId w:val="1"/>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7423"/>
    <w:rsid w:val="000D30A6"/>
    <w:rsid w:val="002B39F2"/>
    <w:rsid w:val="004D6404"/>
    <w:rsid w:val="00730235"/>
    <w:rsid w:val="00BE50E4"/>
    <w:rsid w:val="00C11C84"/>
    <w:rsid w:val="00CD7423"/>
    <w:rsid w:val="00F001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CE5434-4000-4550-985A-607772D76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742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CD742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CD7423"/>
    <w:rPr>
      <w:rFonts w:asciiTheme="majorHAnsi" w:eastAsiaTheme="majorEastAsia" w:hAnsiTheme="majorHAnsi" w:cstheme="majorBidi"/>
      <w:color w:val="2E74B5" w:themeColor="accent1" w:themeShade="BF"/>
      <w:sz w:val="32"/>
      <w:szCs w:val="32"/>
    </w:rPr>
  </w:style>
  <w:style w:type="paragraph" w:styleId="Footer">
    <w:name w:val="footer"/>
    <w:basedOn w:val="Header"/>
    <w:link w:val="FooterChar"/>
    <w:uiPriority w:val="99"/>
    <w:rsid w:val="00CD7423"/>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CD7423"/>
    <w:rPr>
      <w:rFonts w:ascii="Arial" w:eastAsia="SimSun" w:hAnsi="Arial" w:cs="Times New Roman"/>
      <w:b/>
      <w:i/>
      <w:noProof/>
      <w:sz w:val="18"/>
      <w:szCs w:val="20"/>
    </w:rPr>
  </w:style>
  <w:style w:type="character" w:styleId="PageNumber">
    <w:name w:val="page number"/>
    <w:basedOn w:val="DefaultParagraphFont"/>
    <w:rsid w:val="00CD7423"/>
  </w:style>
  <w:style w:type="character" w:customStyle="1" w:styleId="Heading1Char1">
    <w:name w:val="Heading 1 Char1"/>
    <w:link w:val="Heading1"/>
    <w:rsid w:val="00CD7423"/>
    <w:rPr>
      <w:rFonts w:ascii="Arial" w:eastAsia="SimSun" w:hAnsi="Arial" w:cs="Times New Roman"/>
      <w:sz w:val="36"/>
      <w:szCs w:val="20"/>
      <w:lang w:val="en-GB"/>
    </w:rPr>
  </w:style>
  <w:style w:type="paragraph" w:styleId="Caption">
    <w:name w:val="caption"/>
    <w:basedOn w:val="Normal"/>
    <w:next w:val="Normal"/>
    <w:uiPriority w:val="35"/>
    <w:unhideWhenUsed/>
    <w:qFormat/>
    <w:rsid w:val="00CD7423"/>
    <w:pPr>
      <w:spacing w:after="200"/>
    </w:pPr>
    <w:rPr>
      <w:i/>
      <w:iCs/>
      <w:color w:val="44546A" w:themeColor="text2"/>
      <w:sz w:val="18"/>
      <w:szCs w:val="18"/>
    </w:rPr>
  </w:style>
  <w:style w:type="paragraph" w:styleId="Header">
    <w:name w:val="header"/>
    <w:basedOn w:val="Normal"/>
    <w:link w:val="HeaderChar"/>
    <w:uiPriority w:val="99"/>
    <w:unhideWhenUsed/>
    <w:rsid w:val="00CD7423"/>
    <w:pPr>
      <w:tabs>
        <w:tab w:val="center" w:pos="4680"/>
        <w:tab w:val="right" w:pos="9360"/>
      </w:tabs>
      <w:spacing w:after="0"/>
    </w:pPr>
  </w:style>
  <w:style w:type="character" w:customStyle="1" w:styleId="HeaderChar">
    <w:name w:val="Header Char"/>
    <w:basedOn w:val="DefaultParagraphFont"/>
    <w:link w:val="Header"/>
    <w:uiPriority w:val="99"/>
    <w:rsid w:val="00CD7423"/>
    <w:rPr>
      <w:rFonts w:ascii="Times New Roman" w:eastAsia="SimSun" w:hAnsi="Times New Roman" w:cs="Times New Roman"/>
      <w:sz w:val="20"/>
      <w:szCs w:val="20"/>
    </w:rPr>
  </w:style>
  <w:style w:type="paragraph" w:styleId="BodyText">
    <w:name w:val="Body Text"/>
    <w:aliases w:val="bt"/>
    <w:basedOn w:val="Normal"/>
    <w:link w:val="BodyTextChar"/>
    <w:rsid w:val="00CD7423"/>
    <w:pPr>
      <w:overflowPunct/>
      <w:autoSpaceDE/>
      <w:autoSpaceDN/>
      <w:adjustRightInd/>
      <w:spacing w:after="120"/>
      <w:ind w:left="720" w:hanging="720"/>
      <w:jc w:val="both"/>
      <w:textAlignment w:val="auto"/>
    </w:pPr>
    <w:rPr>
      <w:rFonts w:ascii="Times" w:eastAsia="Batang" w:hAnsi="Times"/>
      <w:szCs w:val="24"/>
      <w:lang w:val="en-GB" w:eastAsia="x-none"/>
    </w:rPr>
  </w:style>
  <w:style w:type="character" w:customStyle="1" w:styleId="BodyTextChar">
    <w:name w:val="Body Text Char"/>
    <w:aliases w:val="bt Char"/>
    <w:basedOn w:val="DefaultParagraphFont"/>
    <w:link w:val="BodyText"/>
    <w:rsid w:val="00CD7423"/>
    <w:rPr>
      <w:rFonts w:ascii="Times" w:eastAsia="Batang" w:hAnsi="Times" w:cs="Times New Roman"/>
      <w:sz w:val="20"/>
      <w:szCs w:val="24"/>
      <w:lang w:val="en-GB" w:eastAsia="x-none"/>
    </w:rPr>
  </w:style>
  <w:style w:type="paragraph" w:styleId="ListParagraph">
    <w:name w:val="List Paragraph"/>
    <w:aliases w:val="- Bullets,목록 단락"/>
    <w:basedOn w:val="Normal"/>
    <w:link w:val="ListParagraphChar"/>
    <w:uiPriority w:val="34"/>
    <w:qFormat/>
    <w:rsid w:val="00CD7423"/>
    <w:pPr>
      <w:overflowPunct/>
      <w:autoSpaceDE/>
      <w:autoSpaceDN/>
      <w:adjustRightInd/>
      <w:spacing w:after="0"/>
      <w:ind w:leftChars="400" w:left="840" w:hanging="720"/>
      <w:textAlignment w:val="auto"/>
    </w:pPr>
    <w:rPr>
      <w:rFonts w:ascii="Times" w:eastAsia="Batang" w:hAnsi="Times"/>
      <w:szCs w:val="24"/>
      <w:lang w:val="en-GB" w:eastAsia="x-none"/>
    </w:rPr>
  </w:style>
  <w:style w:type="character" w:customStyle="1" w:styleId="ListParagraphChar">
    <w:name w:val="List Paragraph Char"/>
    <w:aliases w:val="- Bullets Char,목록 단락 Char"/>
    <w:link w:val="ListParagraph"/>
    <w:uiPriority w:val="34"/>
    <w:qFormat/>
    <w:rsid w:val="00CD7423"/>
    <w:rPr>
      <w:rFonts w:ascii="Times" w:eastAsia="Batang" w:hAnsi="Times" w:cs="Times New Roman"/>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image" Target="media/image40.wmf"/><Relationship Id="rId39" Type="http://schemas.openxmlformats.org/officeDocument/2006/relationships/oleObject" Target="embeddings/oleObject17.bin"/><Relationship Id="rId21" Type="http://schemas.openxmlformats.org/officeDocument/2006/relationships/oleObject" Target="embeddings/oleObject8.bin"/><Relationship Id="rId34" Type="http://schemas.openxmlformats.org/officeDocument/2006/relationships/image" Target="media/image70.wmf"/><Relationship Id="rId42" Type="http://schemas.openxmlformats.org/officeDocument/2006/relationships/image" Target="media/image11.wmf"/><Relationship Id="rId47" Type="http://schemas.openxmlformats.org/officeDocument/2006/relationships/image" Target="media/image100.wmf"/><Relationship Id="rId50" Type="http://schemas.openxmlformats.org/officeDocument/2006/relationships/oleObject" Target="embeddings/oleObject23.bin"/><Relationship Id="rId55"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90.wmf"/><Relationship Id="rId46" Type="http://schemas.openxmlformats.org/officeDocument/2006/relationships/oleObject" Target="embeddings/oleObject21.bin"/><Relationship Id="rId59"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image" Target="media/image7.wmf"/><Relationship Id="rId29" Type="http://schemas.openxmlformats.org/officeDocument/2006/relationships/oleObject" Target="embeddings/oleObject12.bin"/><Relationship Id="rId41" Type="http://schemas.openxmlformats.org/officeDocument/2006/relationships/oleObject" Target="embeddings/oleObject18.bin"/><Relationship Id="rId54" Type="http://schemas.openxmlformats.org/officeDocument/2006/relationships/oleObject" Target="embeddings/oleObject2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image" Target="media/image20.wmf"/><Relationship Id="rId37" Type="http://schemas.openxmlformats.org/officeDocument/2006/relationships/oleObject" Target="embeddings/oleObject16.bin"/><Relationship Id="rId40" Type="http://schemas.openxmlformats.org/officeDocument/2006/relationships/image" Target="media/image10.wmf"/><Relationship Id="rId45" Type="http://schemas.openxmlformats.org/officeDocument/2006/relationships/image" Target="media/image12.wmf"/><Relationship Id="rId53" Type="http://schemas.openxmlformats.org/officeDocument/2006/relationships/image" Target="media/image120.wmf"/><Relationship Id="rId58"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9.bin"/><Relationship Id="rId28" Type="http://schemas.openxmlformats.org/officeDocument/2006/relationships/image" Target="media/image50.wmf"/><Relationship Id="rId36" Type="http://schemas.openxmlformats.org/officeDocument/2006/relationships/image" Target="media/image81.wmf"/><Relationship Id="rId49" Type="http://schemas.openxmlformats.org/officeDocument/2006/relationships/image" Target="media/image110.wmf"/><Relationship Id="rId57" Type="http://schemas.openxmlformats.org/officeDocument/2006/relationships/footer" Target="footer2.xml"/><Relationship Id="rId10" Type="http://schemas.openxmlformats.org/officeDocument/2006/relationships/oleObject" Target="embeddings/oleObject2.bin"/><Relationship Id="rId19" Type="http://schemas.openxmlformats.org/officeDocument/2006/relationships/oleObject" Target="embeddings/oleObject7.bin"/><Relationship Id="rId31" Type="http://schemas.openxmlformats.org/officeDocument/2006/relationships/oleObject" Target="embeddings/oleObject13.bin"/><Relationship Id="rId44" Type="http://schemas.openxmlformats.org/officeDocument/2006/relationships/oleObject" Target="embeddings/oleObject20.bin"/><Relationship Id="rId52" Type="http://schemas.openxmlformats.org/officeDocument/2006/relationships/oleObject" Target="embeddings/oleObject24.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image" Target="media/image8.wmf"/><Relationship Id="rId27" Type="http://schemas.openxmlformats.org/officeDocument/2006/relationships/oleObject" Target="embeddings/oleObject11.bin"/><Relationship Id="rId30" Type="http://schemas.openxmlformats.org/officeDocument/2006/relationships/image" Target="media/image60.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oleObject" Target="embeddings/oleObject22.bin"/><Relationship Id="rId56" Type="http://schemas.openxmlformats.org/officeDocument/2006/relationships/footer" Target="footer1.xml"/><Relationship Id="rId8" Type="http://schemas.openxmlformats.org/officeDocument/2006/relationships/oleObject" Target="embeddings/oleObject1.bin"/><Relationship Id="rId51" Type="http://schemas.openxmlformats.org/officeDocument/2006/relationships/image" Target="media/image80.wmf"/><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1764</Words>
  <Characters>10055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11796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dc:creator>
  <cp:keywords/>
  <dc:description/>
  <cp:lastModifiedBy>Ajit</cp:lastModifiedBy>
  <cp:revision>3</cp:revision>
  <dcterms:created xsi:type="dcterms:W3CDTF">2017-11-18T06:13:00Z</dcterms:created>
  <dcterms:modified xsi:type="dcterms:W3CDTF">2017-11-18T06:14:00Z</dcterms:modified>
</cp:coreProperties>
</file>