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36896" w14:textId="4E362FB2" w:rsidR="00D55E4E" w:rsidRPr="00446F9D" w:rsidRDefault="00D55E4E" w:rsidP="00D55E4E">
      <w:pPr>
        <w:pStyle w:val="Header"/>
        <w:tabs>
          <w:tab w:val="clear" w:pos="4536"/>
        </w:tabs>
        <w:rPr>
          <w:i/>
        </w:rPr>
      </w:pPr>
      <w:r w:rsidRPr="001A7D2E">
        <w:t>3GPP TSG RAN WG1 Meeting #</w:t>
      </w:r>
      <w:r w:rsidR="003C735B">
        <w:t>89</w:t>
      </w:r>
      <w:r w:rsidRPr="00446F9D">
        <w:tab/>
      </w:r>
      <w:r w:rsidRPr="00A13044">
        <w:t>R1-</w:t>
      </w:r>
      <w:r w:rsidRPr="002E5B4B">
        <w:t xml:space="preserve"> </w:t>
      </w:r>
      <w:bookmarkStart w:id="0" w:name="_GoBack"/>
      <w:bookmarkEnd w:id="0"/>
      <w:r w:rsidRPr="00815C69">
        <w:t>17</w:t>
      </w:r>
      <w:r w:rsidR="00815C69" w:rsidRPr="00815C69">
        <w:t>09088</w:t>
      </w:r>
    </w:p>
    <w:p w14:paraId="1E401477" w14:textId="31B13974" w:rsidR="00D55E4E" w:rsidRPr="003C735B" w:rsidRDefault="003C735B" w:rsidP="00D55E4E">
      <w:pPr>
        <w:pStyle w:val="Header"/>
        <w:rPr>
          <w:color w:val="000000"/>
          <w:lang w:val="en-GB"/>
        </w:rPr>
      </w:pPr>
      <w:r w:rsidRPr="003C735B">
        <w:t>Hangzhou, China, 15th-19th May 2017</w:t>
      </w:r>
    </w:p>
    <w:p w14:paraId="1B5DE822" w14:textId="77777777" w:rsidR="00D55E4E" w:rsidRPr="000833FA" w:rsidRDefault="00D55E4E" w:rsidP="00D55E4E">
      <w:pPr>
        <w:pStyle w:val="Header"/>
      </w:pPr>
    </w:p>
    <w:p w14:paraId="7C9F1E17" w14:textId="77777777" w:rsidR="00D55E4E" w:rsidRPr="0003368D" w:rsidRDefault="00D55E4E" w:rsidP="00D55E4E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F524BF7" w14:textId="5CAC3133" w:rsidR="00D55E4E" w:rsidRPr="00E220C0" w:rsidRDefault="00D55E4E" w:rsidP="00D55E4E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Pr="00A057EA">
        <w:t xml:space="preserve">On </w:t>
      </w:r>
      <w:r w:rsidR="00F67C14">
        <w:t xml:space="preserve">long </w:t>
      </w:r>
      <w:r>
        <w:t>PUCCH with simultaneous data transmission</w:t>
      </w:r>
    </w:p>
    <w:p w14:paraId="13394D6D" w14:textId="2F7A06F1" w:rsidR="00D55E4E" w:rsidRPr="00E220C0" w:rsidRDefault="00D55E4E" w:rsidP="00D55E4E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3C735B">
        <w:t>7</w:t>
      </w:r>
      <w:r>
        <w:t>.1.3.2.4</w:t>
      </w:r>
    </w:p>
    <w:p w14:paraId="185C0A78" w14:textId="77777777" w:rsidR="00D55E4E" w:rsidRPr="0003368D" w:rsidRDefault="00D55E4E" w:rsidP="00D55E4E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1E0A5618" w14:textId="77777777" w:rsidR="00D55E4E" w:rsidRPr="002100D2" w:rsidRDefault="00D55E4E" w:rsidP="00D55E4E">
      <w:pPr>
        <w:pBdr>
          <w:bottom w:val="single" w:sz="4" w:space="1" w:color="auto"/>
        </w:pBdr>
        <w:tabs>
          <w:tab w:val="left" w:pos="2552"/>
        </w:tabs>
      </w:pPr>
    </w:p>
    <w:p w14:paraId="0D95888D" w14:textId="77777777" w:rsidR="00D55E4E" w:rsidRDefault="00D55E4E" w:rsidP="00D55E4E">
      <w:pPr>
        <w:pStyle w:val="Heading1"/>
        <w:spacing w:before="180"/>
        <w:ind w:left="562" w:hanging="562"/>
      </w:pPr>
      <w:r>
        <w:t>Introduction</w:t>
      </w:r>
    </w:p>
    <w:p w14:paraId="3CA434AE" w14:textId="29E29D3A" w:rsidR="00D55E4E" w:rsidRDefault="007B197B" w:rsidP="00D55E4E">
      <w:pPr>
        <w:pStyle w:val="BodyText"/>
      </w:pPr>
      <w:r>
        <w:t>Up to RAN1 #88</w:t>
      </w:r>
      <w:r w:rsidR="00D55E4E">
        <w:t>, the following related to simultaneous transmission of PUSCH and PUCCH has been agreed:</w:t>
      </w:r>
    </w:p>
    <w:p w14:paraId="0285DE8B" w14:textId="77777777" w:rsidR="00D55E4E" w:rsidRPr="000B16E0" w:rsidRDefault="00D55E4E" w:rsidP="00D55E4E">
      <w:pPr>
        <w:rPr>
          <w:rFonts w:eastAsia="MS Mincho"/>
          <w:b/>
          <w:i/>
          <w:u w:val="single"/>
          <w:lang w:eastAsia="ja-JP"/>
        </w:rPr>
      </w:pPr>
      <w:r w:rsidRPr="000B16E0">
        <w:rPr>
          <w:rFonts w:eastAsia="MS Mincho" w:hint="eastAsia"/>
          <w:b/>
          <w:i/>
          <w:u w:val="single"/>
          <w:lang w:eastAsia="ja-JP"/>
        </w:rPr>
        <w:t>A</w:t>
      </w:r>
      <w:r w:rsidRPr="000B16E0">
        <w:rPr>
          <w:rFonts w:eastAsia="MS Mincho"/>
          <w:b/>
          <w:i/>
          <w:u w:val="single"/>
          <w:lang w:eastAsia="ja-JP"/>
        </w:rPr>
        <w:t>greements</w:t>
      </w:r>
      <w:r w:rsidRPr="000B16E0">
        <w:rPr>
          <w:rFonts w:eastAsia="MS Mincho"/>
        </w:rPr>
        <w:t xml:space="preserve"> </w:t>
      </w:r>
      <w:r w:rsidRPr="000B16E0">
        <w:rPr>
          <w:rFonts w:eastAsia="MS Mincho"/>
        </w:rPr>
        <w:fldChar w:fldCharType="begin"/>
      </w:r>
      <w:r w:rsidRPr="000B16E0">
        <w:rPr>
          <w:rFonts w:eastAsia="MS Mincho"/>
        </w:rPr>
        <w:instrText xml:space="preserve"> REF _Ref469998875 \r \h  \* MERGEFORMAT </w:instrText>
      </w:r>
      <w:r w:rsidRPr="000B16E0">
        <w:rPr>
          <w:rFonts w:eastAsia="MS Mincho"/>
        </w:rPr>
      </w:r>
      <w:r w:rsidRPr="000B16E0">
        <w:rPr>
          <w:rFonts w:eastAsia="MS Mincho"/>
        </w:rPr>
        <w:fldChar w:fldCharType="separate"/>
      </w:r>
      <w:r w:rsidRPr="000B16E0">
        <w:rPr>
          <w:rFonts w:eastAsia="MS Mincho"/>
        </w:rPr>
        <w:t>[1]</w:t>
      </w:r>
      <w:r w:rsidRPr="000B16E0">
        <w:rPr>
          <w:rFonts w:eastAsia="MS Mincho"/>
        </w:rPr>
        <w:fldChar w:fldCharType="end"/>
      </w:r>
    </w:p>
    <w:p w14:paraId="64B71A1D" w14:textId="77777777" w:rsidR="00D55E4E" w:rsidRPr="000B16E0" w:rsidRDefault="00D55E4E" w:rsidP="00D55E4E">
      <w:pPr>
        <w:numPr>
          <w:ilvl w:val="0"/>
          <w:numId w:val="2"/>
        </w:numPr>
        <w:rPr>
          <w:rFonts w:eastAsia="MS Mincho"/>
          <w:i/>
          <w:lang w:eastAsia="ja-JP"/>
        </w:rPr>
      </w:pPr>
      <w:r w:rsidRPr="000B16E0">
        <w:rPr>
          <w:rFonts w:eastAsia="MS Mincho"/>
          <w:i/>
          <w:lang w:eastAsia="ja-JP"/>
        </w:rPr>
        <w:t>Study at least the following operations to be supported in NR, from a single UE perspective</w:t>
      </w:r>
    </w:p>
    <w:p w14:paraId="5F71BD67" w14:textId="77777777" w:rsidR="00D55E4E" w:rsidRPr="000B16E0" w:rsidRDefault="00D55E4E" w:rsidP="00D55E4E">
      <w:pPr>
        <w:numPr>
          <w:ilvl w:val="1"/>
          <w:numId w:val="2"/>
        </w:numPr>
        <w:rPr>
          <w:rFonts w:eastAsia="MS Mincho"/>
          <w:i/>
          <w:lang w:eastAsia="ja-JP"/>
        </w:rPr>
      </w:pPr>
      <w:r w:rsidRPr="000B16E0">
        <w:rPr>
          <w:rFonts w:eastAsia="MS Mincho"/>
          <w:i/>
          <w:lang w:eastAsia="ja-JP"/>
        </w:rPr>
        <w:t xml:space="preserve">Case 1: UL data and UCI are </w:t>
      </w:r>
      <w:proofErr w:type="spellStart"/>
      <w:r w:rsidRPr="000B16E0">
        <w:rPr>
          <w:rFonts w:eastAsia="MS Mincho"/>
          <w:i/>
          <w:lang w:eastAsia="ja-JP"/>
        </w:rPr>
        <w:t>FDMed</w:t>
      </w:r>
      <w:proofErr w:type="spellEnd"/>
      <w:r w:rsidRPr="000B16E0">
        <w:rPr>
          <w:rFonts w:eastAsia="MS Mincho"/>
          <w:i/>
          <w:lang w:eastAsia="ja-JP"/>
        </w:rPr>
        <w:t xml:space="preserve"> where the resource for UCI is not   a part of the resource allocated for UL data </w:t>
      </w:r>
    </w:p>
    <w:p w14:paraId="297BF45B" w14:textId="77777777" w:rsidR="00D55E4E" w:rsidRPr="000B16E0" w:rsidRDefault="00D55E4E" w:rsidP="00D55E4E">
      <w:pPr>
        <w:numPr>
          <w:ilvl w:val="1"/>
          <w:numId w:val="2"/>
        </w:numPr>
        <w:rPr>
          <w:rFonts w:eastAsia="MS Mincho"/>
          <w:i/>
          <w:lang w:eastAsia="ja-JP"/>
        </w:rPr>
      </w:pPr>
      <w:r w:rsidRPr="000B16E0">
        <w:rPr>
          <w:rFonts w:eastAsia="MS Mincho"/>
          <w:i/>
          <w:lang w:eastAsia="ja-JP"/>
        </w:rPr>
        <w:t xml:space="preserve">Case 2: UL data and UCI are </w:t>
      </w:r>
      <w:proofErr w:type="spellStart"/>
      <w:r w:rsidRPr="000B16E0">
        <w:rPr>
          <w:rFonts w:eastAsia="MS Mincho"/>
          <w:i/>
          <w:lang w:eastAsia="ja-JP"/>
        </w:rPr>
        <w:t>TDMed</w:t>
      </w:r>
      <w:proofErr w:type="spellEnd"/>
      <w:r w:rsidRPr="000B16E0">
        <w:rPr>
          <w:rFonts w:eastAsia="MS Mincho"/>
          <w:i/>
          <w:lang w:eastAsia="ja-JP"/>
        </w:rPr>
        <w:t xml:space="preserve"> where the resource for UCI is not   a part of the resource allocated for UL data </w:t>
      </w:r>
    </w:p>
    <w:p w14:paraId="135A1C08" w14:textId="77777777" w:rsidR="00D55E4E" w:rsidRPr="000B16E0" w:rsidRDefault="00D55E4E" w:rsidP="00D55E4E">
      <w:pPr>
        <w:numPr>
          <w:ilvl w:val="1"/>
          <w:numId w:val="2"/>
        </w:numPr>
        <w:rPr>
          <w:rFonts w:eastAsia="MS Mincho"/>
          <w:i/>
          <w:lang w:eastAsia="ja-JP"/>
        </w:rPr>
      </w:pPr>
      <w:r w:rsidRPr="000B16E0">
        <w:rPr>
          <w:rFonts w:eastAsia="MS Mincho"/>
          <w:i/>
          <w:lang w:eastAsia="ja-JP"/>
        </w:rPr>
        <w:t xml:space="preserve">Case 3: UL data and UCI are multiplexed where the resource for UCI </w:t>
      </w:r>
      <w:proofErr w:type="gramStart"/>
      <w:r w:rsidRPr="000B16E0">
        <w:rPr>
          <w:rFonts w:eastAsia="MS Mincho"/>
          <w:i/>
          <w:lang w:eastAsia="ja-JP"/>
        </w:rPr>
        <w:t>is  a</w:t>
      </w:r>
      <w:proofErr w:type="gramEnd"/>
      <w:r w:rsidRPr="000B16E0">
        <w:rPr>
          <w:rFonts w:eastAsia="MS Mincho"/>
          <w:i/>
          <w:lang w:eastAsia="ja-JP"/>
        </w:rPr>
        <w:t xml:space="preserve"> part of the resource allocated for UL data</w:t>
      </w:r>
    </w:p>
    <w:p w14:paraId="02F211A3" w14:textId="77777777" w:rsidR="00D55E4E" w:rsidRPr="000B16E0" w:rsidRDefault="00D55E4E" w:rsidP="00D55E4E">
      <w:pPr>
        <w:numPr>
          <w:ilvl w:val="0"/>
          <w:numId w:val="2"/>
        </w:numPr>
        <w:rPr>
          <w:rFonts w:eastAsia="MS Mincho"/>
          <w:i/>
          <w:lang w:eastAsia="ja-JP"/>
        </w:rPr>
      </w:pPr>
      <w:r w:rsidRPr="000B16E0">
        <w:rPr>
          <w:rFonts w:eastAsia="MS Mincho"/>
          <w:i/>
          <w:lang w:eastAsia="ja-JP"/>
        </w:rPr>
        <w:t>FFS: how different types of UCI are handled</w:t>
      </w:r>
    </w:p>
    <w:p w14:paraId="1B9B4C92" w14:textId="77777777" w:rsidR="00D55E4E" w:rsidRPr="000B16E0" w:rsidRDefault="00D55E4E" w:rsidP="00D55E4E">
      <w:pPr>
        <w:pStyle w:val="BodyText"/>
        <w:rPr>
          <w:i/>
          <w:lang w:eastAsia="ja-JP"/>
        </w:rPr>
      </w:pPr>
      <w:r w:rsidRPr="000B16E0">
        <w:rPr>
          <w:i/>
          <w:lang w:eastAsia="ja-JP"/>
        </w:rPr>
        <w:t>Further study on other possibilities is not precluded</w:t>
      </w:r>
    </w:p>
    <w:p w14:paraId="2FD532EB" w14:textId="77777777" w:rsidR="00D55E4E" w:rsidRPr="000B16E0" w:rsidRDefault="00D55E4E" w:rsidP="00D55E4E">
      <w:pPr>
        <w:pStyle w:val="BodyText"/>
        <w:spacing w:after="0"/>
        <w:rPr>
          <w:i/>
        </w:rPr>
      </w:pPr>
      <w:r w:rsidRPr="000B16E0">
        <w:rPr>
          <w:rFonts w:hint="eastAsia"/>
          <w:b/>
          <w:i/>
          <w:u w:val="single"/>
          <w:lang w:eastAsia="ja-JP"/>
        </w:rPr>
        <w:t>Agreements</w:t>
      </w:r>
      <w:r w:rsidRPr="000B16E0">
        <w:t xml:space="preserve"> </w:t>
      </w:r>
      <w:r w:rsidRPr="000B16E0">
        <w:fldChar w:fldCharType="begin"/>
      </w:r>
      <w:r w:rsidRPr="000B16E0">
        <w:instrText xml:space="preserve"> REF _Ref469998882 \r \h  \* MERGEFORMAT </w:instrText>
      </w:r>
      <w:r w:rsidRPr="000B16E0">
        <w:fldChar w:fldCharType="separate"/>
      </w:r>
      <w:r w:rsidRPr="000B16E0">
        <w:t>[2]</w:t>
      </w:r>
      <w:r w:rsidRPr="000B16E0">
        <w:fldChar w:fldCharType="end"/>
      </w:r>
    </w:p>
    <w:p w14:paraId="210F1C7E" w14:textId="77777777" w:rsidR="00D55E4E" w:rsidRPr="000B16E0" w:rsidRDefault="00D55E4E" w:rsidP="00D55E4E">
      <w:pPr>
        <w:pStyle w:val="BodyText"/>
        <w:numPr>
          <w:ilvl w:val="0"/>
          <w:numId w:val="3"/>
        </w:numPr>
        <w:spacing w:after="0"/>
        <w:rPr>
          <w:i/>
        </w:rPr>
      </w:pPr>
      <w:r w:rsidRPr="000B16E0">
        <w:rPr>
          <w:rFonts w:hint="eastAsia"/>
          <w:i/>
          <w:lang w:eastAsia="ja-JP"/>
        </w:rPr>
        <w:t xml:space="preserve">Physical </w:t>
      </w:r>
      <w:proofErr w:type="gramStart"/>
      <w:r w:rsidRPr="000B16E0">
        <w:rPr>
          <w:rFonts w:hint="eastAsia"/>
          <w:i/>
          <w:lang w:eastAsia="ja-JP"/>
        </w:rPr>
        <w:t>u</w:t>
      </w:r>
      <w:r w:rsidRPr="000B16E0">
        <w:rPr>
          <w:i/>
        </w:rPr>
        <w:t>plink  control</w:t>
      </w:r>
      <w:proofErr w:type="gramEnd"/>
      <w:r w:rsidRPr="000B16E0">
        <w:rPr>
          <w:i/>
        </w:rPr>
        <w:t xml:space="preserve"> signaling should be able to carry at least hybrid-ARQ acknowledgements, CSI reports (possibly including beamforming information), and scheduling requests</w:t>
      </w:r>
    </w:p>
    <w:p w14:paraId="5BC4CD50" w14:textId="77777777" w:rsidR="00D55E4E" w:rsidRPr="000B16E0" w:rsidRDefault="00D55E4E" w:rsidP="00D55E4E">
      <w:pPr>
        <w:pStyle w:val="BodyText"/>
        <w:numPr>
          <w:ilvl w:val="0"/>
          <w:numId w:val="4"/>
        </w:numPr>
        <w:spacing w:after="0"/>
        <w:rPr>
          <w:i/>
        </w:rPr>
      </w:pPr>
      <w:r w:rsidRPr="000B16E0">
        <w:rPr>
          <w:i/>
        </w:rPr>
        <w:t>Support ‘UCI on PUSCH’, i.e. using some of the scheduled resources for UCI in case of simultaneous UCI and data</w:t>
      </w:r>
    </w:p>
    <w:p w14:paraId="2805511A" w14:textId="77777777" w:rsidR="00D55E4E" w:rsidRPr="000B16E0" w:rsidRDefault="00D55E4E" w:rsidP="00D55E4E">
      <w:pPr>
        <w:pStyle w:val="BodyText"/>
        <w:numPr>
          <w:ilvl w:val="0"/>
          <w:numId w:val="4"/>
        </w:numPr>
        <w:spacing w:after="0"/>
        <w:rPr>
          <w:i/>
        </w:rPr>
      </w:pPr>
      <w:r w:rsidRPr="000B16E0">
        <w:rPr>
          <w:rFonts w:hint="eastAsia"/>
          <w:i/>
          <w:lang w:eastAsia="ja-JP"/>
        </w:rPr>
        <w:t>S</w:t>
      </w:r>
      <w:r w:rsidRPr="000B16E0">
        <w:rPr>
          <w:i/>
        </w:rPr>
        <w:t>upport ‘simultaneous PUSCH and PUCCH</w:t>
      </w:r>
      <w:r w:rsidRPr="000B16E0">
        <w:rPr>
          <w:rFonts w:hint="eastAsia"/>
          <w:i/>
          <w:lang w:eastAsia="ja-JP"/>
        </w:rPr>
        <w:t xml:space="preserve"> at least for the long PUCCH format</w:t>
      </w:r>
      <w:r w:rsidRPr="000B16E0">
        <w:rPr>
          <w:i/>
        </w:rPr>
        <w:t>’, i.e. transmit uplink control on PUCCH resources even in presence of data</w:t>
      </w:r>
    </w:p>
    <w:p w14:paraId="6F052085" w14:textId="77777777" w:rsidR="00D55E4E" w:rsidRPr="000B16E0" w:rsidRDefault="00D55E4E" w:rsidP="00D55E4E">
      <w:pPr>
        <w:pStyle w:val="BodyText"/>
        <w:numPr>
          <w:ilvl w:val="0"/>
          <w:numId w:val="4"/>
        </w:numPr>
        <w:spacing w:after="0"/>
        <w:rPr>
          <w:i/>
        </w:rPr>
      </w:pPr>
      <w:r w:rsidRPr="000B16E0">
        <w:rPr>
          <w:rFonts w:hint="eastAsia"/>
          <w:i/>
          <w:lang w:eastAsia="ja-JP"/>
        </w:rPr>
        <w:t xml:space="preserve">At least </w:t>
      </w:r>
      <w:r w:rsidRPr="000B16E0">
        <w:rPr>
          <w:i/>
        </w:rPr>
        <w:t>a low PAPR/CM design</w:t>
      </w:r>
      <w:r w:rsidRPr="000B16E0">
        <w:rPr>
          <w:rFonts w:hint="eastAsia"/>
          <w:i/>
          <w:lang w:eastAsia="ja-JP"/>
        </w:rPr>
        <w:t xml:space="preserve"> should be supported for t</w:t>
      </w:r>
      <w:r w:rsidRPr="000B16E0">
        <w:rPr>
          <w:i/>
        </w:rPr>
        <w:t>he ‘long PUCCH’</w:t>
      </w:r>
    </w:p>
    <w:p w14:paraId="32BD727F" w14:textId="77777777" w:rsidR="00D55E4E" w:rsidRPr="000B16E0" w:rsidRDefault="00D55E4E" w:rsidP="00D55E4E">
      <w:pPr>
        <w:pStyle w:val="BodyText"/>
        <w:numPr>
          <w:ilvl w:val="0"/>
          <w:numId w:val="4"/>
        </w:numPr>
        <w:spacing w:after="0"/>
        <w:rPr>
          <w:i/>
        </w:rPr>
      </w:pPr>
      <w:r w:rsidRPr="000B16E0">
        <w:rPr>
          <w:i/>
        </w:rPr>
        <w:t>A combination of semi-static configuration and (</w:t>
      </w:r>
      <w:r w:rsidRPr="000B16E0">
        <w:rPr>
          <w:rFonts w:hint="eastAsia"/>
          <w:i/>
          <w:lang w:eastAsia="ja-JP"/>
        </w:rPr>
        <w:t xml:space="preserve">at least </w:t>
      </w:r>
      <w:r w:rsidRPr="000B16E0">
        <w:rPr>
          <w:i/>
        </w:rPr>
        <w:t>for some types of UCI information) dynamic signaling is used to determine</w:t>
      </w:r>
      <w:r w:rsidRPr="000B16E0">
        <w:rPr>
          <w:rFonts w:hint="eastAsia"/>
          <w:i/>
          <w:lang w:eastAsia="ja-JP"/>
        </w:rPr>
        <w:t xml:space="preserve"> the PUCCH resource both for </w:t>
      </w:r>
      <w:r w:rsidRPr="000B16E0">
        <w:rPr>
          <w:i/>
        </w:rPr>
        <w:t xml:space="preserve">the ‘long </w:t>
      </w:r>
      <w:r w:rsidRPr="000B16E0">
        <w:rPr>
          <w:rFonts w:hint="eastAsia"/>
          <w:i/>
          <w:lang w:eastAsia="ja-JP"/>
        </w:rPr>
        <w:t xml:space="preserve">and short </w:t>
      </w:r>
      <w:r w:rsidRPr="000B16E0">
        <w:rPr>
          <w:i/>
        </w:rPr>
        <w:t>PUCCH</w:t>
      </w:r>
      <w:r w:rsidRPr="000B16E0">
        <w:rPr>
          <w:rFonts w:hint="eastAsia"/>
          <w:i/>
          <w:lang w:eastAsia="ja-JP"/>
        </w:rPr>
        <w:t xml:space="preserve"> formats</w:t>
      </w:r>
      <w:r w:rsidRPr="000B16E0">
        <w:rPr>
          <w:i/>
        </w:rPr>
        <w:t>’</w:t>
      </w:r>
    </w:p>
    <w:p w14:paraId="28DE466F" w14:textId="77777777" w:rsidR="00D55E4E" w:rsidRDefault="00D55E4E" w:rsidP="00D55E4E">
      <w:pPr>
        <w:pStyle w:val="BodyText"/>
        <w:numPr>
          <w:ilvl w:val="0"/>
          <w:numId w:val="5"/>
        </w:numPr>
        <w:rPr>
          <w:i/>
          <w:szCs w:val="20"/>
        </w:rPr>
      </w:pPr>
      <w:r w:rsidRPr="000B16E0">
        <w:rPr>
          <w:i/>
          <w:szCs w:val="20"/>
        </w:rPr>
        <w:t xml:space="preserve">It should be possible to </w:t>
      </w:r>
      <w:r w:rsidRPr="000B16E0">
        <w:rPr>
          <w:rFonts w:hint="eastAsia"/>
          <w:i/>
          <w:szCs w:val="20"/>
          <w:lang w:eastAsia="ja-JP"/>
        </w:rPr>
        <w:t xml:space="preserve">dynamically </w:t>
      </w:r>
      <w:r w:rsidRPr="000B16E0">
        <w:rPr>
          <w:i/>
          <w:szCs w:val="20"/>
        </w:rPr>
        <w:t>indicate (at least in combination with RRC) the timing between data reception and hybrid-ARQ acknowledgement transmission as part of the DCI.</w:t>
      </w:r>
    </w:p>
    <w:p w14:paraId="7240D10F" w14:textId="77777777" w:rsidR="00D55E4E" w:rsidRPr="00975470" w:rsidRDefault="00D55E4E" w:rsidP="00D55E4E">
      <w:pPr>
        <w:rPr>
          <w:rFonts w:eastAsia="MS Mincho"/>
          <w:b/>
          <w:color w:val="000000" w:themeColor="text1"/>
          <w:u w:val="single"/>
          <w:lang w:eastAsia="ja-JP"/>
        </w:rPr>
      </w:pPr>
      <w:r w:rsidRPr="001A7D2E">
        <w:rPr>
          <w:rFonts w:eastAsia="MS Mincho" w:hint="eastAsia"/>
          <w:b/>
          <w:i/>
          <w:color w:val="000000" w:themeColor="text1"/>
          <w:u w:val="single"/>
          <w:lang w:eastAsia="ja-JP"/>
        </w:rPr>
        <w:t>Agreements:</w:t>
      </w:r>
      <w:r w:rsidRPr="00975470">
        <w:rPr>
          <w:rFonts w:eastAsia="MS Mincho"/>
          <w:color w:val="000000" w:themeColor="text1"/>
          <w:lang w:eastAsia="ja-JP"/>
        </w:rPr>
        <w:t xml:space="preserve"> </w:t>
      </w:r>
      <w:r w:rsidRPr="00975470">
        <w:rPr>
          <w:rFonts w:eastAsia="MS Mincho"/>
          <w:color w:val="000000" w:themeColor="text1"/>
          <w:lang w:eastAsia="ja-JP"/>
        </w:rPr>
        <w:fldChar w:fldCharType="begin"/>
      </w:r>
      <w:r w:rsidRPr="00975470">
        <w:rPr>
          <w:rFonts w:eastAsia="MS Mincho"/>
          <w:color w:val="000000" w:themeColor="text1"/>
          <w:lang w:eastAsia="ja-JP"/>
        </w:rPr>
        <w:instrText xml:space="preserve"> REF _Ref473562398 \r \h  \* MERGEFORMAT </w:instrText>
      </w:r>
      <w:r w:rsidRPr="00975470">
        <w:rPr>
          <w:rFonts w:eastAsia="MS Mincho"/>
          <w:color w:val="000000" w:themeColor="text1"/>
          <w:lang w:eastAsia="ja-JP"/>
        </w:rPr>
      </w:r>
      <w:r w:rsidRPr="00975470">
        <w:rPr>
          <w:rFonts w:eastAsia="MS Mincho"/>
          <w:color w:val="000000" w:themeColor="text1"/>
          <w:lang w:eastAsia="ja-JP"/>
        </w:rPr>
        <w:fldChar w:fldCharType="separate"/>
      </w:r>
      <w:r w:rsidRPr="00975470">
        <w:rPr>
          <w:rFonts w:eastAsia="MS Mincho"/>
          <w:color w:val="000000" w:themeColor="text1"/>
          <w:lang w:eastAsia="ja-JP"/>
        </w:rPr>
        <w:t>[3]</w:t>
      </w:r>
      <w:r w:rsidRPr="00975470">
        <w:rPr>
          <w:rFonts w:eastAsia="MS Mincho"/>
          <w:color w:val="000000" w:themeColor="text1"/>
          <w:lang w:eastAsia="ja-JP"/>
        </w:rPr>
        <w:fldChar w:fldCharType="end"/>
      </w:r>
    </w:p>
    <w:p w14:paraId="3BA12A41" w14:textId="77777777" w:rsidR="00D55E4E" w:rsidRPr="001A7D2E" w:rsidRDefault="00D55E4E" w:rsidP="00D55E4E">
      <w:pPr>
        <w:numPr>
          <w:ilvl w:val="0"/>
          <w:numId w:val="7"/>
        </w:numPr>
        <w:rPr>
          <w:rFonts w:eastAsia="MS Mincho"/>
          <w:i/>
          <w:color w:val="000000" w:themeColor="text1"/>
          <w:lang w:eastAsia="ja-JP"/>
        </w:rPr>
      </w:pPr>
      <w:r w:rsidRPr="001A7D2E">
        <w:rPr>
          <w:rFonts w:eastAsia="MS Mincho"/>
          <w:i/>
          <w:color w:val="000000" w:themeColor="text1"/>
          <w:lang w:eastAsia="ja-JP"/>
        </w:rPr>
        <w:t>For PUCCH in long-duration,</w:t>
      </w:r>
    </w:p>
    <w:p w14:paraId="30DED88E" w14:textId="77777777" w:rsidR="00D55E4E" w:rsidRPr="001A7D2E" w:rsidRDefault="00D55E4E" w:rsidP="00D55E4E">
      <w:pPr>
        <w:numPr>
          <w:ilvl w:val="1"/>
          <w:numId w:val="7"/>
        </w:numPr>
        <w:rPr>
          <w:rFonts w:eastAsia="MS Mincho"/>
          <w:i/>
          <w:color w:val="000000" w:themeColor="text1"/>
          <w:lang w:eastAsia="ja-JP"/>
        </w:rPr>
      </w:pPr>
      <w:r w:rsidRPr="001A7D2E">
        <w:rPr>
          <w:rFonts w:eastAsia="MS Mincho"/>
          <w:i/>
          <w:color w:val="000000" w:themeColor="text1"/>
          <w:lang w:eastAsia="ja-JP"/>
        </w:rPr>
        <w:t>Long UL-part of a slot can be used for transmission of PUCCH in long-duration</w:t>
      </w:r>
      <w:r w:rsidRPr="001A7D2E">
        <w:rPr>
          <w:i/>
          <w:szCs w:val="20"/>
        </w:rPr>
        <w:t>.</w:t>
      </w:r>
    </w:p>
    <w:p w14:paraId="70268A5D" w14:textId="77777777" w:rsidR="00D55E4E" w:rsidRPr="001A7D2E" w:rsidRDefault="00D55E4E" w:rsidP="00D55E4E">
      <w:pPr>
        <w:numPr>
          <w:ilvl w:val="2"/>
          <w:numId w:val="7"/>
        </w:numPr>
        <w:rPr>
          <w:rFonts w:eastAsia="MS Mincho"/>
          <w:i/>
          <w:color w:val="000000" w:themeColor="text1"/>
          <w:lang w:eastAsia="ja-JP"/>
        </w:rPr>
      </w:pPr>
      <w:r w:rsidRPr="001A7D2E">
        <w:rPr>
          <w:rFonts w:eastAsia="MS Mincho" w:hint="eastAsia"/>
          <w:i/>
          <w:szCs w:val="20"/>
          <w:lang w:eastAsia="ja-JP"/>
        </w:rPr>
        <w:t>i</w:t>
      </w:r>
      <w:r w:rsidRPr="001A7D2E">
        <w:rPr>
          <w:i/>
          <w:szCs w:val="20"/>
        </w:rPr>
        <w:t>.e., PUCCH in long-duration is supported for both UL-only slot and a slot with the number of uplink symbols greater than X (X &gt;= 2).</w:t>
      </w:r>
    </w:p>
    <w:p w14:paraId="1196F644" w14:textId="77777777" w:rsidR="00D55E4E" w:rsidRPr="001A7D2E" w:rsidRDefault="00D55E4E" w:rsidP="00D55E4E">
      <w:pPr>
        <w:numPr>
          <w:ilvl w:val="3"/>
          <w:numId w:val="7"/>
        </w:numPr>
        <w:rPr>
          <w:rFonts w:eastAsia="MS Mincho"/>
          <w:i/>
          <w:color w:val="000000" w:themeColor="text1"/>
          <w:lang w:eastAsia="ja-JP"/>
        </w:rPr>
      </w:pPr>
      <w:r w:rsidRPr="001A7D2E">
        <w:rPr>
          <w:rFonts w:eastAsia="MS Mincho" w:hint="eastAsia"/>
          <w:i/>
          <w:szCs w:val="20"/>
          <w:lang w:eastAsia="ja-JP"/>
        </w:rPr>
        <w:t>FFS exact value of X</w:t>
      </w:r>
    </w:p>
    <w:p w14:paraId="67725881" w14:textId="77777777" w:rsidR="00D55E4E" w:rsidRDefault="00D55E4E" w:rsidP="00D55E4E">
      <w:pPr>
        <w:numPr>
          <w:ilvl w:val="1"/>
          <w:numId w:val="7"/>
        </w:numPr>
        <w:rPr>
          <w:i/>
          <w:szCs w:val="20"/>
        </w:rPr>
      </w:pPr>
      <w:r w:rsidRPr="001A7D2E">
        <w:rPr>
          <w:i/>
          <w:szCs w:val="20"/>
        </w:rPr>
        <w:t xml:space="preserve">In </w:t>
      </w:r>
      <w:r w:rsidRPr="001A7D2E">
        <w:rPr>
          <w:rFonts w:eastAsia="MS Mincho"/>
          <w:i/>
          <w:color w:val="000000" w:themeColor="text1"/>
          <w:lang w:eastAsia="ja-JP"/>
        </w:rPr>
        <w:t>addition</w:t>
      </w:r>
      <w:r w:rsidRPr="001A7D2E">
        <w:rPr>
          <w:i/>
          <w:szCs w:val="20"/>
        </w:rPr>
        <w:t xml:space="preserve"> </w:t>
      </w:r>
      <w:proofErr w:type="gramStart"/>
      <w:r w:rsidRPr="001A7D2E">
        <w:rPr>
          <w:i/>
          <w:szCs w:val="20"/>
        </w:rPr>
        <w:t>to</w:t>
      </w:r>
      <w:proofErr w:type="gramEnd"/>
      <w:r w:rsidRPr="001A7D2E">
        <w:rPr>
          <w:i/>
          <w:szCs w:val="20"/>
        </w:rPr>
        <w:t xml:space="preserve"> simultaneous PUCCH-PUSCH transmission, UCI on PUSCH is supported.</w:t>
      </w:r>
    </w:p>
    <w:p w14:paraId="28BA49D8" w14:textId="77777777" w:rsidR="00D55E4E" w:rsidRPr="001D643F" w:rsidRDefault="00D55E4E" w:rsidP="00D55E4E">
      <w:pPr>
        <w:numPr>
          <w:ilvl w:val="1"/>
          <w:numId w:val="7"/>
        </w:numPr>
        <w:rPr>
          <w:i/>
          <w:szCs w:val="20"/>
        </w:rPr>
      </w:pPr>
      <w:r w:rsidRPr="001D643F">
        <w:rPr>
          <w:i/>
          <w:szCs w:val="20"/>
        </w:rPr>
        <w:t>Intra-</w:t>
      </w:r>
      <w:r w:rsidRPr="001D643F">
        <w:rPr>
          <w:rFonts w:eastAsia="MS Mincho"/>
          <w:i/>
          <w:szCs w:val="20"/>
          <w:lang w:eastAsia="ja-JP"/>
        </w:rPr>
        <w:t>slot</w:t>
      </w:r>
      <w:r w:rsidRPr="001D643F">
        <w:rPr>
          <w:i/>
          <w:szCs w:val="20"/>
        </w:rPr>
        <w:t xml:space="preserve"> frequency-</w:t>
      </w:r>
      <w:r w:rsidRPr="001D643F">
        <w:rPr>
          <w:rFonts w:eastAsia="MS Mincho"/>
          <w:i/>
          <w:color w:val="000000" w:themeColor="text1"/>
          <w:lang w:eastAsia="ja-JP"/>
        </w:rPr>
        <w:t>hopping</w:t>
      </w:r>
      <w:r w:rsidRPr="001D643F">
        <w:rPr>
          <w:i/>
          <w:szCs w:val="20"/>
        </w:rPr>
        <w:t xml:space="preserve"> is supported</w:t>
      </w:r>
    </w:p>
    <w:p w14:paraId="0DAFBC69" w14:textId="77777777" w:rsidR="00D55E4E" w:rsidRDefault="00D55E4E" w:rsidP="00D55E4E">
      <w:pPr>
        <w:pStyle w:val="BodyText"/>
        <w:rPr>
          <w:lang w:eastAsia="ja-JP"/>
        </w:rPr>
      </w:pPr>
    </w:p>
    <w:p w14:paraId="29DBD2ED" w14:textId="7E3EFA59" w:rsidR="00D55E4E" w:rsidRPr="0022072F" w:rsidRDefault="00D55E4E" w:rsidP="00D55E4E">
      <w:pPr>
        <w:pStyle w:val="BodyText"/>
      </w:pPr>
      <w:r>
        <w:rPr>
          <w:lang w:eastAsia="ja-JP"/>
        </w:rPr>
        <w:t xml:space="preserve">In this contribution we discuss simultaneous transmission of PUSCH and </w:t>
      </w:r>
      <w:r w:rsidR="00F67C14">
        <w:rPr>
          <w:lang w:eastAsia="ja-JP"/>
        </w:rPr>
        <w:t xml:space="preserve">long </w:t>
      </w:r>
      <w:r>
        <w:rPr>
          <w:lang w:eastAsia="ja-JP"/>
        </w:rPr>
        <w:t>PUCCH.</w:t>
      </w:r>
    </w:p>
    <w:p w14:paraId="71378C36" w14:textId="77777777" w:rsidR="00D55E4E" w:rsidRDefault="00D55E4E" w:rsidP="00D55E4E">
      <w:pPr>
        <w:pStyle w:val="Heading1"/>
        <w:spacing w:before="180"/>
        <w:ind w:left="562" w:hanging="562"/>
      </w:pPr>
      <w:r>
        <w:t>Discussion</w:t>
      </w:r>
    </w:p>
    <w:p w14:paraId="7B0AE3B5" w14:textId="4A3A57F6" w:rsidR="00D55E4E" w:rsidRDefault="00D55E4E" w:rsidP="00D55E4E">
      <w:pPr>
        <w:pStyle w:val="BodyText"/>
      </w:pPr>
      <w:r>
        <w:t xml:space="preserve">Simultaneous transmission of PUSCH and </w:t>
      </w:r>
      <w:r w:rsidR="00F67C14">
        <w:t xml:space="preserve">long </w:t>
      </w:r>
      <w:r>
        <w:t xml:space="preserve">PUCCH can lead to severe intermodulation products if PUSCH and </w:t>
      </w:r>
      <w:r w:rsidR="00F67C14">
        <w:t xml:space="preserve">long </w:t>
      </w:r>
      <w:r>
        <w:t xml:space="preserve">PUCCH occupy frequency resources that are widely separated. PUSCH is typically dynamically scheduled. How </w:t>
      </w:r>
      <w:r w:rsidR="00F67C14">
        <w:t xml:space="preserve">long </w:t>
      </w:r>
      <w:r>
        <w:t xml:space="preserve">PUCCH resources are determined is not yet decided but one can expect </w:t>
      </w:r>
      <w:r w:rsidR="00F67C14">
        <w:t xml:space="preserve">long </w:t>
      </w:r>
      <w:r>
        <w:t xml:space="preserve">PUCCH resources are often allocated close to the UE bandwidth edge to obtain frequency diversity. Gaps between PUSCH and </w:t>
      </w:r>
      <w:r w:rsidR="00F67C14">
        <w:t xml:space="preserve">long </w:t>
      </w:r>
      <w:r>
        <w:t xml:space="preserve">PUCCH resources are therefore likely to occur. Contribution </w:t>
      </w:r>
      <w:r>
        <w:fldChar w:fldCharType="begin"/>
      </w:r>
      <w:r>
        <w:instrText xml:space="preserve"> REF _Ref469999546 \r \h </w:instrText>
      </w:r>
      <w:r>
        <w:fldChar w:fldCharType="separate"/>
      </w:r>
      <w:r>
        <w:t>[4]</w:t>
      </w:r>
      <w:r>
        <w:fldChar w:fldCharType="end"/>
      </w:r>
      <w:r>
        <w:t xml:space="preserve"> therefore suggests to consider for simultaneous transmission of PUSCH and </w:t>
      </w:r>
      <w:r w:rsidR="00F67C14">
        <w:t xml:space="preserve">long </w:t>
      </w:r>
      <w:r>
        <w:t xml:space="preserve">PUCCH moving the </w:t>
      </w:r>
      <w:r w:rsidR="00F67C14">
        <w:t xml:space="preserve">long </w:t>
      </w:r>
      <w:r>
        <w:t xml:space="preserve">PUCCH resources adjacent to allocated PUSCH resource. </w:t>
      </w:r>
      <w:r w:rsidRPr="000032FD">
        <w:fldChar w:fldCharType="begin"/>
      </w:r>
      <w:r w:rsidRPr="000032FD">
        <w:instrText xml:space="preserve"> REF _Ref470000260 \h  \* MERGEFORMAT </w:instrText>
      </w:r>
      <w:r w:rsidRPr="000032FD">
        <w:fldChar w:fldCharType="separate"/>
      </w:r>
      <w:r w:rsidRPr="000032FD">
        <w:rPr>
          <w:color w:val="000000" w:themeColor="text1"/>
        </w:rPr>
        <w:t xml:space="preserve">Figure </w:t>
      </w:r>
      <w:r w:rsidRPr="000032FD">
        <w:rPr>
          <w:noProof/>
          <w:color w:val="000000" w:themeColor="text1"/>
        </w:rPr>
        <w:t>1</w:t>
      </w:r>
      <w:r w:rsidRPr="000032FD">
        <w:fldChar w:fldCharType="end"/>
      </w:r>
      <w:r w:rsidRPr="000032FD">
        <w:t xml:space="preserve"> d</w:t>
      </w:r>
      <w:r>
        <w:t xml:space="preserve">epicts this approach where it is assumed that </w:t>
      </w:r>
      <w:r w:rsidR="00F67C14">
        <w:t xml:space="preserve">long </w:t>
      </w:r>
      <w:r>
        <w:t>PUCCH applies frequency hopping to obtain frequency-diversity. One potential drawback of this scheme is how to address the orange resources marked with “???” in</w:t>
      </w:r>
      <w:r w:rsidRPr="00825A6B">
        <w:t xml:space="preserve"> </w:t>
      </w:r>
      <w:r w:rsidRPr="00825A6B">
        <w:fldChar w:fldCharType="begin"/>
      </w:r>
      <w:r w:rsidRPr="00825A6B">
        <w:instrText xml:space="preserve"> REF _Ref470000260 \h  \* MERGEFORMAT </w:instrText>
      </w:r>
      <w:r w:rsidRPr="00825A6B">
        <w:fldChar w:fldCharType="separate"/>
      </w:r>
      <w:r w:rsidRPr="00825A6B">
        <w:rPr>
          <w:color w:val="000000" w:themeColor="text1"/>
        </w:rPr>
        <w:t xml:space="preserve">Figure </w:t>
      </w:r>
      <w:r w:rsidRPr="00825A6B">
        <w:rPr>
          <w:noProof/>
          <w:color w:val="000000" w:themeColor="text1"/>
        </w:rPr>
        <w:t>1</w:t>
      </w:r>
      <w:r w:rsidRPr="00825A6B">
        <w:fldChar w:fldCharType="end"/>
      </w:r>
      <w:r w:rsidRPr="00825A6B">
        <w:t>.</w:t>
      </w:r>
    </w:p>
    <w:p w14:paraId="6BCE8CC3" w14:textId="77777777" w:rsidR="00D55E4E" w:rsidRDefault="00D55E4E" w:rsidP="00D55E4E">
      <w:pPr>
        <w:pStyle w:val="BodyText"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4E959E53" wp14:editId="5CE7C711">
            <wp:extent cx="4057200" cy="2059200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200" cy="20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B1856" w14:textId="646A2DBE" w:rsidR="00D55E4E" w:rsidRPr="000032FD" w:rsidRDefault="00D55E4E" w:rsidP="00D55E4E">
      <w:pPr>
        <w:pStyle w:val="Caption"/>
        <w:rPr>
          <w:i w:val="0"/>
        </w:rPr>
      </w:pPr>
      <w:bookmarkStart w:id="4" w:name="_Ref470000260"/>
      <w:r w:rsidRPr="000032FD">
        <w:rPr>
          <w:i w:val="0"/>
          <w:color w:val="000000" w:themeColor="text1"/>
        </w:rPr>
        <w:t xml:space="preserve">Figure </w:t>
      </w:r>
      <w:r w:rsidRPr="000032FD">
        <w:rPr>
          <w:i w:val="0"/>
          <w:color w:val="000000" w:themeColor="text1"/>
        </w:rPr>
        <w:fldChar w:fldCharType="begin"/>
      </w:r>
      <w:r w:rsidRPr="000032FD">
        <w:rPr>
          <w:i w:val="0"/>
          <w:color w:val="000000" w:themeColor="text1"/>
        </w:rPr>
        <w:instrText xml:space="preserve"> SEQ Figure \* ARABIC </w:instrText>
      </w:r>
      <w:r w:rsidRPr="000032FD">
        <w:rPr>
          <w:i w:val="0"/>
          <w:color w:val="000000" w:themeColor="text1"/>
        </w:rPr>
        <w:fldChar w:fldCharType="separate"/>
      </w:r>
      <w:r w:rsidRPr="000032FD">
        <w:rPr>
          <w:i w:val="0"/>
          <w:noProof/>
          <w:color w:val="000000" w:themeColor="text1"/>
        </w:rPr>
        <w:t>1</w:t>
      </w:r>
      <w:r w:rsidRPr="000032FD">
        <w:rPr>
          <w:i w:val="0"/>
          <w:color w:val="000000" w:themeColor="text1"/>
        </w:rPr>
        <w:fldChar w:fldCharType="end"/>
      </w:r>
      <w:bookmarkEnd w:id="4"/>
      <w:r w:rsidRPr="000032FD">
        <w:rPr>
          <w:i w:val="0"/>
          <w:color w:val="000000" w:themeColor="text1"/>
        </w:rPr>
        <w:tab/>
      </w:r>
      <w:r w:rsidR="00F67C14">
        <w:rPr>
          <w:i w:val="0"/>
          <w:color w:val="000000" w:themeColor="text1"/>
        </w:rPr>
        <w:t xml:space="preserve">Long </w:t>
      </w:r>
      <w:r w:rsidRPr="000032FD">
        <w:rPr>
          <w:i w:val="0"/>
          <w:color w:val="000000" w:themeColor="text1"/>
        </w:rPr>
        <w:t xml:space="preserve">PUCCH resources are moved adjacent to PUSCH for simultaneous transmission of PUSCH and </w:t>
      </w:r>
      <w:r w:rsidR="00F67C14">
        <w:rPr>
          <w:i w:val="0"/>
          <w:color w:val="000000" w:themeColor="text1"/>
        </w:rPr>
        <w:t xml:space="preserve">long </w:t>
      </w:r>
      <w:r w:rsidRPr="000032FD">
        <w:rPr>
          <w:i w:val="0"/>
          <w:color w:val="000000" w:themeColor="text1"/>
        </w:rPr>
        <w:t>PUCCH</w:t>
      </w:r>
      <w:r>
        <w:rPr>
          <w:i w:val="0"/>
          <w:color w:val="000000" w:themeColor="text1"/>
        </w:rPr>
        <w:t xml:space="preserve"> (the dashed </w:t>
      </w:r>
      <w:r w:rsidR="00F67C14">
        <w:rPr>
          <w:i w:val="0"/>
          <w:color w:val="000000" w:themeColor="text1"/>
        </w:rPr>
        <w:t xml:space="preserve">long </w:t>
      </w:r>
      <w:r>
        <w:rPr>
          <w:i w:val="0"/>
          <w:color w:val="000000" w:themeColor="text1"/>
        </w:rPr>
        <w:t>PUCCH is not transmitted)</w:t>
      </w:r>
      <w:r w:rsidRPr="000032FD">
        <w:rPr>
          <w:i w:val="0"/>
          <w:color w:val="000000" w:themeColor="text1"/>
        </w:rPr>
        <w:t>.</w:t>
      </w:r>
      <w:r>
        <w:rPr>
          <w:i w:val="0"/>
          <w:color w:val="000000" w:themeColor="text1"/>
        </w:rPr>
        <w:t xml:space="preserve"> </w:t>
      </w:r>
    </w:p>
    <w:p w14:paraId="54E1930D" w14:textId="5EF11E1D" w:rsidR="00D55E4E" w:rsidRDefault="00D55E4E" w:rsidP="00D55E4E">
      <w:pPr>
        <w:pStyle w:val="BodyText"/>
      </w:pPr>
      <w:r>
        <w:t xml:space="preserve">One possibility to overcome this difficulty is to move </w:t>
      </w:r>
      <w:r w:rsidR="00F67C14">
        <w:t xml:space="preserve">long </w:t>
      </w:r>
      <w:r>
        <w:t>PUCCH not adjacent to but inside the scheduled PUSCH res</w:t>
      </w:r>
      <w:r w:rsidRPr="000032FD">
        <w:t xml:space="preserve">ources, see </w:t>
      </w:r>
      <w:r w:rsidRPr="000032FD">
        <w:fldChar w:fldCharType="begin"/>
      </w:r>
      <w:r w:rsidRPr="000032FD">
        <w:instrText xml:space="preserve"> REF _Ref470000301 \h  \* MERGEFORMAT </w:instrText>
      </w:r>
      <w:r w:rsidRPr="000032FD">
        <w:fldChar w:fldCharType="separate"/>
      </w:r>
      <w:r w:rsidRPr="000032FD">
        <w:rPr>
          <w:color w:val="000000" w:themeColor="text1"/>
        </w:rPr>
        <w:t>Figure 2</w:t>
      </w:r>
      <w:r w:rsidRPr="000032FD">
        <w:fldChar w:fldCharType="end"/>
      </w:r>
      <w:r w:rsidRPr="000032FD">
        <w:t xml:space="preserve">. The </w:t>
      </w:r>
      <w:r>
        <w:t xml:space="preserve">combined </w:t>
      </w:r>
      <w:r w:rsidRPr="000032FD">
        <w:t>PUSCH</w:t>
      </w:r>
      <w:r>
        <w:t xml:space="preserve"> and </w:t>
      </w:r>
      <w:r w:rsidR="00F67C14">
        <w:t xml:space="preserve">long </w:t>
      </w:r>
      <w:r w:rsidRPr="000032FD">
        <w:t>P</w:t>
      </w:r>
      <w:r>
        <w:t xml:space="preserve">UCCH shape is still rectangle in time-frequency and adjacent resources can be addressed. </w:t>
      </w:r>
    </w:p>
    <w:p w14:paraId="6CD344A5" w14:textId="77777777" w:rsidR="00D55E4E" w:rsidRDefault="00D55E4E" w:rsidP="00D55E4E">
      <w:pPr>
        <w:pStyle w:val="BodyText"/>
        <w:jc w:val="center"/>
      </w:pPr>
      <w:r>
        <w:rPr>
          <w:noProof/>
          <w:lang w:val="sv-SE" w:eastAsia="sv-SE"/>
        </w:rPr>
        <w:drawing>
          <wp:inline distT="0" distB="0" distL="0" distR="0" wp14:anchorId="42CCCD1D" wp14:editId="45E5A7A1">
            <wp:extent cx="4057200" cy="20592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200" cy="20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D4F7F" w14:textId="7F43E7B7" w:rsidR="00D55E4E" w:rsidRPr="000032FD" w:rsidRDefault="00D55E4E" w:rsidP="00D55E4E">
      <w:pPr>
        <w:pStyle w:val="Caption"/>
        <w:rPr>
          <w:b/>
          <w:i w:val="0"/>
          <w:color w:val="000000" w:themeColor="text1"/>
        </w:rPr>
      </w:pPr>
      <w:bookmarkStart w:id="5" w:name="_Ref470000301"/>
      <w:r w:rsidRPr="000032FD">
        <w:rPr>
          <w:i w:val="0"/>
          <w:color w:val="000000" w:themeColor="text1"/>
        </w:rPr>
        <w:t xml:space="preserve">Figure </w:t>
      </w:r>
      <w:r w:rsidRPr="000032FD">
        <w:rPr>
          <w:i w:val="0"/>
          <w:color w:val="000000" w:themeColor="text1"/>
        </w:rPr>
        <w:fldChar w:fldCharType="begin"/>
      </w:r>
      <w:r w:rsidRPr="000032FD">
        <w:rPr>
          <w:i w:val="0"/>
          <w:color w:val="000000" w:themeColor="text1"/>
        </w:rPr>
        <w:instrText xml:space="preserve"> SEQ Figure \* ARABIC </w:instrText>
      </w:r>
      <w:r w:rsidRPr="000032FD">
        <w:rPr>
          <w:i w:val="0"/>
          <w:color w:val="000000" w:themeColor="text1"/>
        </w:rPr>
        <w:fldChar w:fldCharType="separate"/>
      </w:r>
      <w:r w:rsidRPr="000032FD">
        <w:rPr>
          <w:i w:val="0"/>
          <w:color w:val="000000" w:themeColor="text1"/>
        </w:rPr>
        <w:t>2</w:t>
      </w:r>
      <w:r w:rsidRPr="000032FD">
        <w:rPr>
          <w:i w:val="0"/>
          <w:color w:val="000000" w:themeColor="text1"/>
        </w:rPr>
        <w:fldChar w:fldCharType="end"/>
      </w:r>
      <w:bookmarkEnd w:id="5"/>
      <w:r w:rsidRPr="000032FD">
        <w:rPr>
          <w:i w:val="0"/>
          <w:color w:val="000000" w:themeColor="text1"/>
        </w:rPr>
        <w:tab/>
      </w:r>
      <w:r w:rsidR="00F67C14">
        <w:rPr>
          <w:i w:val="0"/>
          <w:color w:val="000000" w:themeColor="text1"/>
        </w:rPr>
        <w:t xml:space="preserve">Long </w:t>
      </w:r>
      <w:r w:rsidRPr="000032FD">
        <w:rPr>
          <w:i w:val="0"/>
          <w:color w:val="000000" w:themeColor="text1"/>
        </w:rPr>
        <w:t xml:space="preserve">PUCCH resources are moved inside PUSCH for simultaneous transmission of PUSCH and </w:t>
      </w:r>
      <w:r w:rsidR="00F67C14">
        <w:rPr>
          <w:i w:val="0"/>
          <w:color w:val="000000" w:themeColor="text1"/>
        </w:rPr>
        <w:t xml:space="preserve">long </w:t>
      </w:r>
      <w:r w:rsidRPr="000032FD">
        <w:rPr>
          <w:i w:val="0"/>
          <w:color w:val="000000" w:themeColor="text1"/>
        </w:rPr>
        <w:t>PUCCH</w:t>
      </w:r>
      <w:r>
        <w:rPr>
          <w:i w:val="0"/>
          <w:color w:val="000000" w:themeColor="text1"/>
        </w:rPr>
        <w:t xml:space="preserve"> (the dashed PUCCH is not transmitted)</w:t>
      </w:r>
      <w:r w:rsidRPr="000032FD">
        <w:rPr>
          <w:i w:val="0"/>
          <w:color w:val="000000" w:themeColor="text1"/>
        </w:rPr>
        <w:t>.</w:t>
      </w:r>
    </w:p>
    <w:p w14:paraId="2642EB76" w14:textId="56A945C5" w:rsidR="00D55E4E" w:rsidRDefault="00D55E4E" w:rsidP="00D55E4E">
      <w:pPr>
        <w:pStyle w:val="BodyText"/>
      </w:pPr>
      <w:r>
        <w:t xml:space="preserve">The gNB is aware when it expects simultaneous transmission of PUSCH and </w:t>
      </w:r>
      <w:r w:rsidR="00F67C14">
        <w:t xml:space="preserve">long </w:t>
      </w:r>
      <w:r>
        <w:t xml:space="preserve">PUCCH (and thus </w:t>
      </w:r>
      <w:r w:rsidR="00F67C14">
        <w:t xml:space="preserve">long </w:t>
      </w:r>
      <w:r>
        <w:t xml:space="preserve">PUCCH within PUSCH) and can schedule a slightly larger UL grant to accommodate PUSCH and </w:t>
      </w:r>
      <w:r w:rsidR="00F67C14">
        <w:t xml:space="preserve">long </w:t>
      </w:r>
      <w:r>
        <w:t xml:space="preserve">PUCCH (this is similar to the case of </w:t>
      </w:r>
      <w:r w:rsidR="00F67C14">
        <w:t xml:space="preserve">long </w:t>
      </w:r>
      <w:r>
        <w:t xml:space="preserve">PUCCH moved adjacent to PUSCH, also here the scheduler must be aware when </w:t>
      </w:r>
      <w:r w:rsidR="00F67C14">
        <w:t xml:space="preserve">long </w:t>
      </w:r>
      <w:r>
        <w:t xml:space="preserve">PUCCH is moved adjacent to PUSCH to avoid collisions between moved </w:t>
      </w:r>
      <w:r w:rsidR="00F67C14">
        <w:t xml:space="preserve">long </w:t>
      </w:r>
      <w:r>
        <w:t>PUCCH and other transmissions).</w:t>
      </w:r>
    </w:p>
    <w:p w14:paraId="704FDB0A" w14:textId="2D69F7F3" w:rsidR="00D55E4E" w:rsidRDefault="00D55E4E" w:rsidP="00D55E4E">
      <w:pPr>
        <w:pStyle w:val="BodyText"/>
      </w:pPr>
      <w:r>
        <w:t xml:space="preserve">The problem of intermodulation products is especially severe for wide gaps between PUSCH and </w:t>
      </w:r>
      <w:r w:rsidR="00F67C14">
        <w:t xml:space="preserve">long </w:t>
      </w:r>
      <w:r>
        <w:t xml:space="preserve">PUCCH resources, one can therefore consider to keep (i.e. not to move) original </w:t>
      </w:r>
      <w:r w:rsidR="00F67C14">
        <w:t xml:space="preserve">long </w:t>
      </w:r>
      <w:r>
        <w:t xml:space="preserve">PUCCH resources if they are close (but not necessarily adjacent) to PUSCH and move </w:t>
      </w:r>
      <w:r w:rsidR="00F67C14">
        <w:t xml:space="preserve">long </w:t>
      </w:r>
      <w:r>
        <w:t xml:space="preserve">PUCCH resources if original </w:t>
      </w:r>
      <w:r w:rsidR="00F67C14">
        <w:t xml:space="preserve">long </w:t>
      </w:r>
      <w:r>
        <w:t>PUCCH reso</w:t>
      </w:r>
      <w:r w:rsidR="003D7D7E">
        <w:t xml:space="preserve">urces are far away from PUSCH. </w:t>
      </w:r>
    </w:p>
    <w:p w14:paraId="555A01F6" w14:textId="70496972" w:rsidR="003D7D7E" w:rsidRDefault="003D7D7E" w:rsidP="00D55E4E">
      <w:pPr>
        <w:pStyle w:val="BodyText"/>
      </w:pPr>
      <w:proofErr w:type="spellStart"/>
      <w:r>
        <w:t>Transmisison</w:t>
      </w:r>
      <w:proofErr w:type="spellEnd"/>
      <w:r>
        <w:t xml:space="preserve"> </w:t>
      </w:r>
      <w:proofErr w:type="spellStart"/>
      <w:r>
        <w:t>duratrions</w:t>
      </w:r>
      <w:proofErr w:type="spellEnd"/>
      <w:r>
        <w:t xml:space="preserve"> of long PUCCH and PUSCH should be the same. One could consider PUSCH is transmitted until the end of a slot while long PUCCH stops a bit earlier to make space for a </w:t>
      </w:r>
      <w:proofErr w:type="spellStart"/>
      <w:r>
        <w:t>TDMed</w:t>
      </w:r>
      <w:proofErr w:type="spellEnd"/>
      <w:r>
        <w:t xml:space="preserve"> short PUCCH. However, short and long PUCCH are </w:t>
      </w:r>
      <w:proofErr w:type="spellStart"/>
      <w:r>
        <w:t>indepentley</w:t>
      </w:r>
      <w:proofErr w:type="spellEnd"/>
      <w:r>
        <w:t xml:space="preserve"> power controlled or occur at different frequencies; both cases probably result in different UE output powers. This may lead phase changes in the UE power amplifier, an earlier obtained (PUSCH) channel estimate may no longer be </w:t>
      </w:r>
      <w:proofErr w:type="spellStart"/>
      <w:proofErr w:type="gramStart"/>
      <w:r>
        <w:t>valied.Therefore</w:t>
      </w:r>
      <w:proofErr w:type="spellEnd"/>
      <w:proofErr w:type="gramEnd"/>
      <w:r>
        <w:t xml:space="preserve"> PUSCH and long PUCCH should have the same transmission time and duration.</w:t>
      </w:r>
    </w:p>
    <w:p w14:paraId="3D9317BD" w14:textId="368087E9" w:rsidR="00D55E4E" w:rsidRPr="003C735B" w:rsidRDefault="00D55E4E" w:rsidP="00D55E4E">
      <w:pPr>
        <w:pStyle w:val="BodyText"/>
        <w:rPr>
          <w:b/>
          <w:i/>
        </w:rPr>
      </w:pPr>
      <w:r w:rsidRPr="00293521">
        <w:rPr>
          <w:b/>
          <w:i/>
        </w:rPr>
        <w:t xml:space="preserve">Proposal: For simultaneous transmission of PUSCH and </w:t>
      </w:r>
      <w:r w:rsidR="00F67C14">
        <w:rPr>
          <w:b/>
          <w:i/>
        </w:rPr>
        <w:t xml:space="preserve">long </w:t>
      </w:r>
      <w:r w:rsidRPr="00293521">
        <w:rPr>
          <w:b/>
          <w:i/>
        </w:rPr>
        <w:t xml:space="preserve">PUCCH, consider to move </w:t>
      </w:r>
      <w:r w:rsidR="00F67C14">
        <w:rPr>
          <w:b/>
          <w:i/>
        </w:rPr>
        <w:t xml:space="preserve">long </w:t>
      </w:r>
      <w:r w:rsidRPr="00293521">
        <w:rPr>
          <w:b/>
          <w:i/>
        </w:rPr>
        <w:t>PUCCH resource</w:t>
      </w:r>
      <w:r>
        <w:rPr>
          <w:b/>
          <w:i/>
        </w:rPr>
        <w:t>s</w:t>
      </w:r>
      <w:r w:rsidRPr="00293521">
        <w:rPr>
          <w:b/>
          <w:i/>
        </w:rPr>
        <w:t xml:space="preserve"> adjacent/inside PUSCH to avoid intermodulation products, at least for the case of large frequency separation between PUSCH and </w:t>
      </w:r>
      <w:r w:rsidR="00F67C14">
        <w:rPr>
          <w:b/>
          <w:i/>
        </w:rPr>
        <w:t xml:space="preserve">long </w:t>
      </w:r>
      <w:r w:rsidRPr="00293521">
        <w:rPr>
          <w:b/>
          <w:i/>
        </w:rPr>
        <w:t>PUCCH resource</w:t>
      </w:r>
      <w:r>
        <w:rPr>
          <w:b/>
          <w:i/>
        </w:rPr>
        <w:t>s</w:t>
      </w:r>
      <w:r w:rsidRPr="00293521">
        <w:rPr>
          <w:b/>
          <w:i/>
        </w:rPr>
        <w:t>.</w:t>
      </w:r>
    </w:p>
    <w:p w14:paraId="4F0288FF" w14:textId="77777777" w:rsidR="00D55E4E" w:rsidRDefault="00D55E4E" w:rsidP="00D55E4E">
      <w:pPr>
        <w:pStyle w:val="Heading1"/>
        <w:spacing w:before="180"/>
        <w:ind w:left="562" w:hanging="562"/>
      </w:pPr>
      <w:r>
        <w:lastRenderedPageBreak/>
        <w:t>Conclusion</w:t>
      </w:r>
    </w:p>
    <w:p w14:paraId="2F4E8896" w14:textId="42BABD91" w:rsidR="00D55E4E" w:rsidRDefault="00D55E4E" w:rsidP="00D55E4E">
      <w:pPr>
        <w:pStyle w:val="BodyText"/>
      </w:pPr>
      <w:r>
        <w:t xml:space="preserve">This paper discusses simultaneous transmission of PUSCH and </w:t>
      </w:r>
      <w:r w:rsidR="00F67C14">
        <w:t xml:space="preserve">long </w:t>
      </w:r>
      <w:r>
        <w:t xml:space="preserve">PUCCH and intermodulation products that occur if PUSCH and </w:t>
      </w:r>
      <w:r w:rsidR="00F67C14">
        <w:t xml:space="preserve">long </w:t>
      </w:r>
      <w:r>
        <w:t>PUCCH resource are widely separated in frequency. The following is proposed:</w:t>
      </w:r>
    </w:p>
    <w:p w14:paraId="72DAB62F" w14:textId="5A4B046E" w:rsidR="00D55E4E" w:rsidRPr="00293521" w:rsidRDefault="00D55E4E" w:rsidP="00D55E4E">
      <w:pPr>
        <w:pStyle w:val="BodyText"/>
        <w:rPr>
          <w:b/>
          <w:i/>
        </w:rPr>
      </w:pPr>
      <w:r w:rsidRPr="00293521">
        <w:rPr>
          <w:b/>
          <w:i/>
        </w:rPr>
        <w:t xml:space="preserve">Proposal: For simultaneous transmission of PUSCH and </w:t>
      </w:r>
      <w:r w:rsidR="00F67C14">
        <w:rPr>
          <w:b/>
          <w:i/>
        </w:rPr>
        <w:t xml:space="preserve">long </w:t>
      </w:r>
      <w:r w:rsidRPr="00293521">
        <w:rPr>
          <w:b/>
          <w:i/>
        </w:rPr>
        <w:t xml:space="preserve">PUCCH, consider to move </w:t>
      </w:r>
      <w:r w:rsidR="00F67C14">
        <w:rPr>
          <w:b/>
          <w:i/>
        </w:rPr>
        <w:t xml:space="preserve">long </w:t>
      </w:r>
      <w:r w:rsidRPr="00293521">
        <w:rPr>
          <w:b/>
          <w:i/>
        </w:rPr>
        <w:t>PUCCH resource</w:t>
      </w:r>
      <w:r>
        <w:rPr>
          <w:b/>
          <w:i/>
        </w:rPr>
        <w:t>s</w:t>
      </w:r>
      <w:r w:rsidRPr="00293521">
        <w:rPr>
          <w:b/>
          <w:i/>
        </w:rPr>
        <w:t xml:space="preserve"> adjacent/inside PUSCH to avoid intermodulation products, at least for the case of large frequency separation between PUSCH and </w:t>
      </w:r>
      <w:r w:rsidR="00F67C14">
        <w:rPr>
          <w:b/>
          <w:i/>
        </w:rPr>
        <w:t xml:space="preserve">long </w:t>
      </w:r>
      <w:r w:rsidRPr="00293521">
        <w:rPr>
          <w:b/>
          <w:i/>
        </w:rPr>
        <w:t>PUCCH resource</w:t>
      </w:r>
      <w:r>
        <w:rPr>
          <w:b/>
          <w:i/>
        </w:rPr>
        <w:t>s</w:t>
      </w:r>
      <w:r w:rsidRPr="00293521">
        <w:rPr>
          <w:b/>
          <w:i/>
        </w:rPr>
        <w:t>.</w:t>
      </w:r>
    </w:p>
    <w:p w14:paraId="4B8C2528" w14:textId="77777777" w:rsidR="00D55E4E" w:rsidRDefault="00D55E4E" w:rsidP="00D55E4E">
      <w:pPr>
        <w:pStyle w:val="Heading1"/>
        <w:numPr>
          <w:ilvl w:val="0"/>
          <w:numId w:val="0"/>
        </w:numPr>
        <w:spacing w:before="180"/>
      </w:pPr>
      <w:r>
        <w:t>References</w:t>
      </w:r>
    </w:p>
    <w:p w14:paraId="5A7A4194" w14:textId="77777777" w:rsidR="00D55E4E" w:rsidRDefault="00D55E4E" w:rsidP="00D55E4E">
      <w:pPr>
        <w:pStyle w:val="BodyText"/>
        <w:numPr>
          <w:ilvl w:val="0"/>
          <w:numId w:val="6"/>
        </w:numPr>
        <w:ind w:left="426" w:hanging="426"/>
      </w:pPr>
      <w:bookmarkStart w:id="6" w:name="_Ref469998875"/>
      <w:r>
        <w:t>“RAN1 Chairman’s Notes”, 3GPP TSG RAN WG1 Meeting #86bis, October 2016.</w:t>
      </w:r>
      <w:bookmarkEnd w:id="6"/>
    </w:p>
    <w:p w14:paraId="1F32A0A3" w14:textId="77777777" w:rsidR="00D55E4E" w:rsidRDefault="00D55E4E" w:rsidP="00D55E4E">
      <w:pPr>
        <w:pStyle w:val="BodyText"/>
        <w:numPr>
          <w:ilvl w:val="0"/>
          <w:numId w:val="6"/>
        </w:numPr>
        <w:ind w:left="426" w:hanging="426"/>
      </w:pPr>
      <w:bookmarkStart w:id="7" w:name="_Ref469998882"/>
      <w:r>
        <w:t>“RAN1 Chairman’s Notes”, 3GPP TSG RAN WG1 Meeting #87, November 2016.</w:t>
      </w:r>
      <w:bookmarkEnd w:id="7"/>
    </w:p>
    <w:p w14:paraId="744946D5" w14:textId="77777777" w:rsidR="00D55E4E" w:rsidRDefault="00D55E4E" w:rsidP="00D55E4E">
      <w:pPr>
        <w:pStyle w:val="BodyText"/>
        <w:numPr>
          <w:ilvl w:val="0"/>
          <w:numId w:val="6"/>
        </w:numPr>
        <w:ind w:left="426" w:hanging="426"/>
      </w:pPr>
      <w:bookmarkStart w:id="8" w:name="_Ref473562398"/>
      <w:r>
        <w:t>“RAN1 Chairman’s Notes”, 3GPP TSG RAN WG1 Meeting #87ah, January 2017.</w:t>
      </w:r>
      <w:bookmarkEnd w:id="8"/>
    </w:p>
    <w:p w14:paraId="43B7EFE2" w14:textId="233AF8B0" w:rsidR="00AA5700" w:rsidRDefault="00D55E4E" w:rsidP="003022C8">
      <w:pPr>
        <w:pStyle w:val="BodyText"/>
        <w:numPr>
          <w:ilvl w:val="0"/>
          <w:numId w:val="6"/>
        </w:numPr>
        <w:ind w:left="426" w:hanging="426"/>
      </w:pPr>
      <w:bookmarkStart w:id="9" w:name="_Ref469999546"/>
      <w:r>
        <w:t>R1-1612074, “UL channelization in long UL duration”, Qualcomm</w:t>
      </w:r>
      <w:bookmarkEnd w:id="9"/>
      <w:r w:rsidR="006309D6">
        <w:t>.</w:t>
      </w:r>
    </w:p>
    <w:sectPr w:rsidR="00AA5700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586619"/>
    <w:multiLevelType w:val="hybridMultilevel"/>
    <w:tmpl w:val="23B89538"/>
    <w:lvl w:ilvl="0" w:tplc="A0C05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E4E"/>
    <w:rsid w:val="000D2862"/>
    <w:rsid w:val="00102568"/>
    <w:rsid w:val="00156EB9"/>
    <w:rsid w:val="00214367"/>
    <w:rsid w:val="00234647"/>
    <w:rsid w:val="002C5696"/>
    <w:rsid w:val="002D3FAC"/>
    <w:rsid w:val="003022C8"/>
    <w:rsid w:val="00317B95"/>
    <w:rsid w:val="003329E6"/>
    <w:rsid w:val="003C735B"/>
    <w:rsid w:val="003D7D7E"/>
    <w:rsid w:val="00490ED0"/>
    <w:rsid w:val="006309D6"/>
    <w:rsid w:val="00680386"/>
    <w:rsid w:val="006C4E38"/>
    <w:rsid w:val="00745B1F"/>
    <w:rsid w:val="007B197B"/>
    <w:rsid w:val="00815C69"/>
    <w:rsid w:val="009A4CC8"/>
    <w:rsid w:val="009D4F44"/>
    <w:rsid w:val="00A203C0"/>
    <w:rsid w:val="00A35D5C"/>
    <w:rsid w:val="00A657BB"/>
    <w:rsid w:val="00AA5700"/>
    <w:rsid w:val="00AB3A37"/>
    <w:rsid w:val="00BE4FEE"/>
    <w:rsid w:val="00C70C21"/>
    <w:rsid w:val="00D55E4E"/>
    <w:rsid w:val="00F57A7B"/>
    <w:rsid w:val="00F67C14"/>
    <w:rsid w:val="00F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D4CB6"/>
  <w15:chartTrackingRefBased/>
  <w15:docId w15:val="{A5BA8AB8-FC7F-4A16-8EB2-DD940A948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55E4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55E4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D55E4E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55E4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D55E4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55E4E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55E4E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5E4E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55E4E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D55E4E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D55E4E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55E4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55E4E"/>
    <w:rPr>
      <w:rFonts w:ascii="Arial" w:eastAsia="MS Mincho" w:hAnsi="Arial" w:cs="Times New Roman"/>
      <w:b/>
      <w:sz w:val="20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D55E4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5NUHHDQN7SK2-1-114664</_dlc_DocId>
    <_dlc_DocIdUrl xmlns="08b2df90-05d3-4030-90d4-c9feeb4a1cd9">
      <Url>https://ericoll.internal.ericsson.com/sites/STAR/_layouts/DocIdRedir.aspx?ID=5NUHHDQN7SK2-1-114664</Url>
      <Description>5NUHHDQN7SK2-1-114664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Props1.xml><?xml version="1.0" encoding="utf-8"?>
<ds:datastoreItem xmlns:ds="http://schemas.openxmlformats.org/officeDocument/2006/customXml" ds:itemID="{93F82A01-CDE2-45BA-BAE8-814109E8E7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761980-0966-43DE-AB90-12C7F05455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47082-3E22-4EB8-9949-010C4DCB756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04CF8276-28FA-41B7-BE3B-91B7D0813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AD9320-82E1-4F33-B199-1062E896D68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Baldemair</dc:creator>
  <cp:keywords/>
  <dc:description/>
  <cp:lastModifiedBy>Sorour Falahati</cp:lastModifiedBy>
  <cp:revision>2</cp:revision>
  <dcterms:created xsi:type="dcterms:W3CDTF">2017-05-06T12:14:00Z</dcterms:created>
  <dcterms:modified xsi:type="dcterms:W3CDTF">2017-05-06T12:14:00Z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3;#GFTE ER WAN RN Deployment ＆ Spectrum Man|644d70e3-351b-4c06-8b80-4aa32d170e18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fe01fbfb-084d-42ad-9ce5-76ac7870ee4d</vt:lpwstr>
  </property>
</Properties>
</file>