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87323" w14:textId="77777777" w:rsidR="0015645C" w:rsidRDefault="0015645C" w:rsidP="00C07E87">
      <w:pPr>
        <w:pStyle w:val="3GPPHeader"/>
        <w:spacing w:after="60"/>
      </w:pPr>
    </w:p>
    <w:p w14:paraId="4645196F" w14:textId="4C62AC70" w:rsidR="0015645C" w:rsidRPr="00D22346" w:rsidRDefault="0015645C" w:rsidP="0015645C">
      <w:pPr>
        <w:pStyle w:val="3GPPHeader"/>
        <w:spacing w:after="60"/>
        <w:rPr>
          <w:sz w:val="32"/>
          <w:szCs w:val="32"/>
          <w:highlight w:val="yellow"/>
        </w:rPr>
      </w:pPr>
      <w:r w:rsidRPr="00D22346">
        <w:t xml:space="preserve">3GPP TSG-RAN WG1 </w:t>
      </w:r>
      <w:r>
        <w:t>Meeting</w:t>
      </w:r>
      <w:r w:rsidR="008C7231">
        <w:t>#89</w:t>
      </w:r>
      <w:r w:rsidRPr="00D22346">
        <w:tab/>
      </w:r>
      <w:r w:rsidRPr="003220D0">
        <w:rPr>
          <w:sz w:val="22"/>
        </w:rPr>
        <w:t xml:space="preserve"> </w:t>
      </w:r>
      <w:r w:rsidRPr="0059423E">
        <w:rPr>
          <w:szCs w:val="32"/>
        </w:rPr>
        <w:t>R1-17</w:t>
      </w:r>
      <w:r w:rsidR="00374472">
        <w:rPr>
          <w:szCs w:val="32"/>
        </w:rPr>
        <w:t>09072</w:t>
      </w:r>
    </w:p>
    <w:p w14:paraId="63ED9775" w14:textId="2A2EABC9" w:rsidR="0015645C" w:rsidRDefault="008C7231" w:rsidP="0015645C">
      <w:pPr>
        <w:pStyle w:val="CRCoverPage"/>
        <w:outlineLvl w:val="0"/>
        <w:rPr>
          <w:b/>
          <w:noProof/>
          <w:sz w:val="24"/>
        </w:rPr>
      </w:pPr>
      <w:r>
        <w:rPr>
          <w:b/>
          <w:noProof/>
          <w:sz w:val="24"/>
        </w:rPr>
        <w:t>Hangzhou</w:t>
      </w:r>
      <w:r w:rsidR="0015645C" w:rsidRPr="00AB78B2">
        <w:rPr>
          <w:b/>
          <w:noProof/>
          <w:sz w:val="24"/>
        </w:rPr>
        <w:t>,</w:t>
      </w:r>
      <w:r>
        <w:rPr>
          <w:b/>
          <w:noProof/>
          <w:sz w:val="24"/>
        </w:rPr>
        <w:t xml:space="preserve"> China</w:t>
      </w:r>
      <w:r w:rsidR="0015645C">
        <w:rPr>
          <w:b/>
          <w:noProof/>
          <w:sz w:val="24"/>
        </w:rPr>
        <w:t>,</w:t>
      </w:r>
      <w:r w:rsidR="0015645C" w:rsidRPr="00AB78B2">
        <w:rPr>
          <w:b/>
          <w:noProof/>
          <w:sz w:val="24"/>
        </w:rPr>
        <w:t xml:space="preserve"> </w:t>
      </w:r>
      <w:r>
        <w:rPr>
          <w:b/>
          <w:noProof/>
          <w:sz w:val="24"/>
        </w:rPr>
        <w:t>15</w:t>
      </w:r>
      <w:r>
        <w:rPr>
          <w:b/>
          <w:noProof/>
          <w:sz w:val="24"/>
          <w:vertAlign w:val="superscript"/>
        </w:rPr>
        <w:t>th</w:t>
      </w:r>
      <w:r w:rsidR="0015645C">
        <w:rPr>
          <w:b/>
          <w:noProof/>
          <w:sz w:val="24"/>
          <w:vertAlign w:val="superscript"/>
        </w:rPr>
        <w:t xml:space="preserve"> </w:t>
      </w:r>
      <w:r>
        <w:rPr>
          <w:b/>
          <w:noProof/>
          <w:sz w:val="24"/>
        </w:rPr>
        <w:t>- 19</w:t>
      </w:r>
      <w:r w:rsidR="0015645C" w:rsidRPr="00BD6748">
        <w:rPr>
          <w:b/>
          <w:noProof/>
          <w:sz w:val="24"/>
          <w:vertAlign w:val="superscript"/>
        </w:rPr>
        <w:t>th</w:t>
      </w:r>
      <w:r>
        <w:rPr>
          <w:b/>
          <w:noProof/>
          <w:sz w:val="24"/>
        </w:rPr>
        <w:t xml:space="preserve"> May</w:t>
      </w:r>
      <w:r w:rsidR="0015645C">
        <w:rPr>
          <w:b/>
          <w:noProof/>
          <w:sz w:val="24"/>
        </w:rPr>
        <w:t xml:space="preserve"> 2017</w:t>
      </w:r>
    </w:p>
    <w:p w14:paraId="293CC8DE" w14:textId="028B6099"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8C7231">
        <w:rPr>
          <w:sz w:val="22"/>
          <w:szCs w:val="22"/>
        </w:rPr>
        <w:t>7</w:t>
      </w:r>
      <w:r w:rsidR="00AE553B" w:rsidRPr="00AE553B">
        <w:rPr>
          <w:sz w:val="22"/>
          <w:szCs w:val="22"/>
        </w:rPr>
        <w:t>.1.3.1.</w:t>
      </w:r>
      <w:r w:rsidR="008C7231">
        <w:rPr>
          <w:sz w:val="22"/>
          <w:szCs w:val="22"/>
        </w:rPr>
        <w:t>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499EAFF"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2130DB">
        <w:rPr>
          <w:sz w:val="22"/>
          <w:szCs w:val="22"/>
        </w:rPr>
        <w:t>Resource Sharing Between PDCCH and PDSCH</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CAC7ACF" w:rsidR="008E0156" w:rsidRDefault="00E30225" w:rsidP="00D22346">
      <w:pPr>
        <w:pStyle w:val="Heading1"/>
      </w:pPr>
      <w:r w:rsidRPr="00CE0424">
        <w:t>Introduction</w:t>
      </w:r>
    </w:p>
    <w:p w14:paraId="4645BE6F" w14:textId="62BDC574" w:rsidR="0015645C" w:rsidRPr="0015645C" w:rsidRDefault="0015645C" w:rsidP="003579EB">
      <w:pPr>
        <w:rPr>
          <w:rFonts w:cs="Arial"/>
        </w:rPr>
      </w:pPr>
      <w:r>
        <w:rPr>
          <w:rFonts w:cs="Arial"/>
        </w:rPr>
        <w:t xml:space="preserve">The </w:t>
      </w:r>
      <w:r w:rsidRPr="002F4C18">
        <w:rPr>
          <w:rFonts w:cs="Arial"/>
          <w:b/>
        </w:rPr>
        <w:t>NR Study Item</w:t>
      </w:r>
      <w:r>
        <w:rPr>
          <w:rFonts w:cs="Arial"/>
        </w:rPr>
        <w:t xml:space="preserve"> was completed and closed in RAN plenary meeting</w:t>
      </w:r>
      <w:r w:rsidR="00A11920">
        <w:rPr>
          <w:rFonts w:cs="Arial"/>
        </w:rPr>
        <w:t xml:space="preserve"> </w:t>
      </w:r>
      <w:r>
        <w:rPr>
          <w:rFonts w:cs="Arial"/>
        </w:rPr>
        <w:t xml:space="preserve">#75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851471">
        <w:rPr>
          <w:rFonts w:cs="Arial"/>
        </w:rPr>
        <w:t>[1]</w:t>
      </w:r>
      <w:r>
        <w:rPr>
          <w:rFonts w:cs="Arial"/>
        </w:rPr>
        <w:fldChar w:fldCharType="end"/>
      </w:r>
      <w:r>
        <w:rPr>
          <w:rFonts w:cs="Arial"/>
        </w:rPr>
        <w:t xml:space="preserve">. The </w:t>
      </w:r>
      <w:r w:rsidRPr="002F4C18">
        <w:rPr>
          <w:rFonts w:cs="Arial"/>
          <w:b/>
        </w:rPr>
        <w:t>NR Work Item</w:t>
      </w:r>
      <w:r w:rsidR="00A11920">
        <w:rPr>
          <w:rFonts w:cs="Arial"/>
        </w:rPr>
        <w:t xml:space="preserve"> was also </w:t>
      </w:r>
      <w:r>
        <w:rPr>
          <w:rFonts w:cs="Arial"/>
        </w:rPr>
        <w:t xml:space="preserve">approved in </w:t>
      </w:r>
      <w:r>
        <w:rPr>
          <w:rFonts w:cs="Arial"/>
        </w:rPr>
        <w:fldChar w:fldCharType="begin"/>
      </w:r>
      <w:r>
        <w:rPr>
          <w:rFonts w:cs="Arial"/>
        </w:rPr>
        <w:instrText xml:space="preserve"> REF _Ref477803338 \n \h </w:instrText>
      </w:r>
      <w:r>
        <w:rPr>
          <w:rFonts w:cs="Arial"/>
        </w:rPr>
      </w:r>
      <w:r>
        <w:rPr>
          <w:rFonts w:cs="Arial"/>
        </w:rPr>
        <w:fldChar w:fldCharType="separate"/>
      </w:r>
      <w:r w:rsidR="00851471">
        <w:rPr>
          <w:rFonts w:cs="Arial"/>
        </w:rPr>
        <w:t>[2]</w:t>
      </w:r>
      <w:r>
        <w:rPr>
          <w:rFonts w:cs="Arial"/>
        </w:rPr>
        <w:fldChar w:fldCharType="end"/>
      </w:r>
      <w:r w:rsidR="00A11920">
        <w:rPr>
          <w:rFonts w:cs="Arial"/>
        </w:rPr>
        <w:t xml:space="preserve"> where the WI targets </w:t>
      </w:r>
      <w:r>
        <w:rPr>
          <w:rFonts w:cs="Arial"/>
        </w:rPr>
        <w:t>meet</w:t>
      </w:r>
      <w:r w:rsidR="00A11920">
        <w:rPr>
          <w:rFonts w:cs="Arial"/>
        </w:rPr>
        <w:t>ing</w:t>
      </w:r>
      <w:r>
        <w:rPr>
          <w:rFonts w:cs="Arial"/>
        </w:rPr>
        <w:t xml:space="preserve"> both eMBB and URLLC related 5G requirements in Rel-15. </w:t>
      </w:r>
      <w:r w:rsidRPr="008116DC">
        <w:t>The design of DL control channel is an essential part of the WI.</w:t>
      </w:r>
    </w:p>
    <w:p w14:paraId="11E7B77D" w14:textId="75C89466" w:rsidR="00D16E32" w:rsidRPr="0055245F" w:rsidRDefault="0055245F" w:rsidP="003579EB">
      <w:pPr>
        <w:rPr>
          <w:rFonts w:eastAsia="MS Mincho"/>
          <w:lang w:eastAsia="ja-JP"/>
        </w:rPr>
      </w:pPr>
      <w:r>
        <w:rPr>
          <w:rFonts w:eastAsia="MS Mincho"/>
          <w:lang w:eastAsia="ja-JP"/>
        </w:rPr>
        <w:t>NR supports configuration of a time-fr</w:t>
      </w:r>
      <w:r w:rsidR="00B67A45">
        <w:rPr>
          <w:rFonts w:eastAsia="MS Mincho"/>
          <w:lang w:eastAsia="ja-JP"/>
        </w:rPr>
        <w:t xml:space="preserve">equency allocation containing one or multiple search spaces for </w:t>
      </w:r>
      <w:r w:rsidR="00076453">
        <w:rPr>
          <w:rFonts w:eastAsia="MS Mincho"/>
          <w:lang w:eastAsia="ja-JP"/>
        </w:rPr>
        <w:t xml:space="preserve">DL </w:t>
      </w:r>
      <w:r w:rsidR="00B67A45">
        <w:rPr>
          <w:rFonts w:eastAsia="MS Mincho"/>
          <w:lang w:eastAsia="ja-JP"/>
        </w:rPr>
        <w:t>control channel which is referred to as the Control resource set</w:t>
      </w:r>
      <w:r w:rsidR="00A11920">
        <w:rPr>
          <w:rFonts w:eastAsia="MS Mincho"/>
          <w:lang w:eastAsia="ja-JP"/>
        </w:rPr>
        <w:t xml:space="preserve"> (CORESET)</w:t>
      </w:r>
      <w:r w:rsidR="00B67A45">
        <w:rPr>
          <w:rFonts w:eastAsia="MS Mincho"/>
          <w:lang w:eastAsia="ja-JP"/>
        </w:rPr>
        <w:t>.</w:t>
      </w:r>
      <w:r>
        <w:rPr>
          <w:rFonts w:eastAsia="MS Mincho"/>
          <w:lang w:eastAsia="ja-JP"/>
        </w:rPr>
        <w:t xml:space="preserve"> </w:t>
      </w:r>
      <w:r w:rsidR="00976AB0">
        <w:rPr>
          <w:rFonts w:eastAsia="MS Mincho"/>
          <w:lang w:eastAsia="ja-JP"/>
        </w:rPr>
        <w:t>In the following we list the relevant agreements achieved in the last previous RAN1 meeting</w:t>
      </w:r>
      <w:r w:rsidR="00C12DA1">
        <w:rPr>
          <w:rFonts w:eastAsia="MS Mincho"/>
          <w:lang w:eastAsia="ja-JP"/>
        </w:rPr>
        <w:t xml:space="preserve">s </w:t>
      </w:r>
      <w:r w:rsidR="00C12DA1">
        <w:rPr>
          <w:rFonts w:eastAsia="MS Mincho"/>
          <w:lang w:eastAsia="ja-JP"/>
        </w:rPr>
        <w:fldChar w:fldCharType="begin"/>
      </w:r>
      <w:r w:rsidR="00C12DA1">
        <w:rPr>
          <w:rFonts w:eastAsia="MS Mincho"/>
          <w:lang w:eastAsia="ja-JP"/>
        </w:rPr>
        <w:instrText xml:space="preserve"> REF _Ref473896379 \n \h </w:instrText>
      </w:r>
      <w:r w:rsidR="00C12DA1">
        <w:rPr>
          <w:rFonts w:eastAsia="MS Mincho"/>
          <w:lang w:eastAsia="ja-JP"/>
        </w:rPr>
      </w:r>
      <w:r w:rsidR="00C12DA1">
        <w:rPr>
          <w:rFonts w:eastAsia="MS Mincho"/>
          <w:lang w:eastAsia="ja-JP"/>
        </w:rPr>
        <w:fldChar w:fldCharType="separate"/>
      </w:r>
      <w:r w:rsidR="00851471">
        <w:rPr>
          <w:rFonts w:eastAsia="MS Mincho"/>
          <w:lang w:eastAsia="ja-JP"/>
        </w:rPr>
        <w:t>[3]</w:t>
      </w:r>
      <w:r w:rsidR="00C12DA1">
        <w:rPr>
          <w:rFonts w:eastAsia="MS Mincho"/>
          <w:lang w:eastAsia="ja-JP"/>
        </w:rPr>
        <w:fldChar w:fldCharType="end"/>
      </w:r>
      <w:r w:rsidR="00C12DA1">
        <w:rPr>
          <w:rFonts w:eastAsia="MS Mincho"/>
          <w:lang w:eastAsia="ja-JP"/>
        </w:rPr>
        <w:fldChar w:fldCharType="begin"/>
      </w:r>
      <w:r w:rsidR="00C12DA1">
        <w:rPr>
          <w:rFonts w:eastAsia="MS Mincho"/>
          <w:lang w:eastAsia="ja-JP"/>
        </w:rPr>
        <w:instrText xml:space="preserve"> REF _Ref473896381 \n \h </w:instrText>
      </w:r>
      <w:r w:rsidR="00C12DA1">
        <w:rPr>
          <w:rFonts w:eastAsia="MS Mincho"/>
          <w:lang w:eastAsia="ja-JP"/>
        </w:rPr>
      </w:r>
      <w:r w:rsidR="00C12DA1">
        <w:rPr>
          <w:rFonts w:eastAsia="MS Mincho"/>
          <w:lang w:eastAsia="ja-JP"/>
        </w:rPr>
        <w:fldChar w:fldCharType="separate"/>
      </w:r>
      <w:r w:rsidR="00851471">
        <w:rPr>
          <w:rFonts w:eastAsia="MS Mincho"/>
          <w:lang w:eastAsia="ja-JP"/>
        </w:rPr>
        <w:t>[4]</w:t>
      </w:r>
      <w:r w:rsidR="00C12DA1">
        <w:rPr>
          <w:rFonts w:eastAsia="MS Mincho"/>
          <w:lang w:eastAsia="ja-JP"/>
        </w:rPr>
        <w:fldChar w:fldCharType="end"/>
      </w:r>
      <w:r w:rsidR="00A11920">
        <w:rPr>
          <w:rFonts w:eastAsia="MS Mincho"/>
          <w:lang w:eastAsia="ja-JP"/>
        </w:rPr>
        <w:t xml:space="preserve"> on the topic of resource sharing between PDCCH and PDSCH</w:t>
      </w:r>
      <w:r w:rsidR="00C12DA1">
        <w:rPr>
          <w:rFonts w:eastAsia="MS Mincho"/>
          <w:lang w:eastAsia="ja-JP"/>
        </w:rPr>
        <w:t>.</w:t>
      </w:r>
      <w:r w:rsidR="00076453">
        <w:rPr>
          <w:rFonts w:eastAsia="MS Mincho"/>
          <w:lang w:eastAsia="ja-JP"/>
        </w:rPr>
        <w:t xml:space="preserve"> </w:t>
      </w:r>
    </w:p>
    <w:p w14:paraId="762B7E7B" w14:textId="0C6A5020" w:rsidR="00F35BF2" w:rsidRDefault="00F35BF2" w:rsidP="003579EB">
      <w:pPr>
        <w:rPr>
          <w:rFonts w:eastAsia="MS Mincho"/>
          <w:b/>
          <w:highlight w:val="green"/>
          <w:u w:val="single"/>
          <w:lang w:eastAsia="ja-JP"/>
        </w:rPr>
      </w:pPr>
    </w:p>
    <w:p w14:paraId="6A2DB5C8" w14:textId="7BA89703" w:rsidR="003579EB" w:rsidRPr="00226669" w:rsidRDefault="003579EB" w:rsidP="003579EB">
      <w:pPr>
        <w:rPr>
          <w:rFonts w:eastAsia="MS Mincho"/>
          <w:b/>
          <w:u w:val="single"/>
          <w:lang w:eastAsia="ja-JP"/>
        </w:rPr>
      </w:pPr>
      <w:r w:rsidRPr="005F37DC">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w:t>
      </w:r>
      <w:r w:rsidR="00D16E32">
        <w:rPr>
          <w:rFonts w:eastAsia="MS Mincho"/>
          <w:b/>
          <w:highlight w:val="green"/>
          <w:u w:val="single"/>
          <w:lang w:eastAsia="ja-JP"/>
        </w:rPr>
        <w:t>RAN1#87</w:t>
      </w:r>
      <w:r w:rsidR="00D16E32" w:rsidRPr="00D16E32">
        <w:rPr>
          <w:rFonts w:eastAsia="MS Mincho"/>
          <w:b/>
          <w:highlight w:val="green"/>
          <w:u w:val="single"/>
          <w:lang w:eastAsia="ja-JP"/>
        </w:rPr>
        <w:t>)</w:t>
      </w:r>
      <w:r w:rsidR="00D16E32" w:rsidRPr="00D16E32">
        <w:rPr>
          <w:rFonts w:eastAsia="MS Mincho" w:hint="eastAsia"/>
          <w:b/>
          <w:highlight w:val="green"/>
          <w:u w:val="single"/>
          <w:lang w:eastAsia="ja-JP"/>
        </w:rPr>
        <w:t>:</w:t>
      </w:r>
    </w:p>
    <w:p w14:paraId="76A3B3B6" w14:textId="77777777" w:rsidR="003579EB" w:rsidRPr="00226669" w:rsidRDefault="003579EB" w:rsidP="00FF083E">
      <w:pPr>
        <w:numPr>
          <w:ilvl w:val="0"/>
          <w:numId w:val="11"/>
        </w:numPr>
        <w:overflowPunct/>
        <w:autoSpaceDE/>
        <w:autoSpaceDN/>
        <w:adjustRightInd/>
        <w:spacing w:after="0"/>
        <w:jc w:val="left"/>
        <w:textAlignment w:val="auto"/>
        <w:rPr>
          <w:rFonts w:eastAsia="MS Mincho"/>
          <w:lang w:eastAsia="ja-JP"/>
        </w:rPr>
      </w:pPr>
      <w:r w:rsidRPr="00226669">
        <w:rPr>
          <w:rFonts w:eastAsia="MS Mincho"/>
          <w:lang w:eastAsia="ja-JP"/>
        </w:rPr>
        <w:t>NR should support dynamic reuse of at least part of resources in the control resource sets for data for the same or a different UE, at least in the frequency domain</w:t>
      </w:r>
    </w:p>
    <w:p w14:paraId="01324934"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if resource reuse can be done in time domain as well</w:t>
      </w:r>
    </w:p>
    <w:p w14:paraId="012EFB94"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DL data DM-RS location in time should not vary dynamically as a consequence of dynamic reuse of control resources for data</w:t>
      </w:r>
    </w:p>
    <w:p w14:paraId="02760C47"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time/frequency granularity of the resource reuse</w:t>
      </w:r>
    </w:p>
    <w:p w14:paraId="05C19E8D" w14:textId="787786C5" w:rsidR="003579EB"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signaling needed, if any</w:t>
      </w:r>
    </w:p>
    <w:p w14:paraId="1C7A1E1E" w14:textId="77777777" w:rsidR="001C7F04" w:rsidRPr="00226669" w:rsidRDefault="001C7F04" w:rsidP="001C7F04">
      <w:pPr>
        <w:overflowPunct/>
        <w:autoSpaceDE/>
        <w:autoSpaceDN/>
        <w:adjustRightInd/>
        <w:spacing w:after="0"/>
        <w:ind w:left="1440"/>
        <w:jc w:val="left"/>
        <w:textAlignment w:val="auto"/>
        <w:rPr>
          <w:rFonts w:eastAsia="MS Mincho"/>
          <w:lang w:eastAsia="ja-JP"/>
        </w:rPr>
      </w:pPr>
    </w:p>
    <w:p w14:paraId="7F0B9356" w14:textId="72DBED8C" w:rsidR="004264D4" w:rsidRPr="00D810AA" w:rsidRDefault="004264D4" w:rsidP="004264D4">
      <w:pPr>
        <w:rPr>
          <w:rFonts w:eastAsia="MS Mincho"/>
          <w:b/>
          <w:u w:val="single"/>
          <w:lang w:eastAsia="ja-JP"/>
        </w:rPr>
      </w:pPr>
      <w:r w:rsidRPr="00D810AA">
        <w:rPr>
          <w:rFonts w:eastAsia="MS Mincho" w:hint="eastAsia"/>
          <w:b/>
          <w:highlight w:val="green"/>
          <w:u w:val="single"/>
          <w:lang w:eastAsia="ja-JP"/>
        </w:rPr>
        <w:t>Agreements</w:t>
      </w:r>
      <w:r w:rsidR="004965D2">
        <w:rPr>
          <w:rFonts w:eastAsia="MS Mincho"/>
          <w:b/>
          <w:highlight w:val="green"/>
          <w:u w:val="single"/>
          <w:lang w:eastAsia="ja-JP"/>
        </w:rPr>
        <w:t xml:space="preserve"> (RAN1 </w:t>
      </w:r>
      <w:r w:rsidR="001C7F04">
        <w:rPr>
          <w:rFonts w:eastAsia="MS Mincho"/>
          <w:b/>
          <w:highlight w:val="green"/>
          <w:u w:val="single"/>
          <w:lang w:eastAsia="ja-JP"/>
        </w:rPr>
        <w:t>Ad-hoc</w:t>
      </w:r>
      <w:r w:rsidR="004965D2">
        <w:rPr>
          <w:rFonts w:eastAsia="MS Mincho"/>
          <w:b/>
          <w:highlight w:val="green"/>
          <w:u w:val="single"/>
          <w:lang w:eastAsia="ja-JP"/>
        </w:rPr>
        <w:t xml:space="preserve"> 1701</w:t>
      </w:r>
      <w:r w:rsidR="001C7F04">
        <w:rPr>
          <w:rFonts w:eastAsia="MS Mincho"/>
          <w:b/>
          <w:highlight w:val="green"/>
          <w:u w:val="single"/>
          <w:lang w:eastAsia="ja-JP"/>
        </w:rPr>
        <w:t>)</w:t>
      </w:r>
      <w:r w:rsidR="00891E1F">
        <w:rPr>
          <w:rFonts w:eastAsia="MS Mincho"/>
          <w:b/>
          <w:highlight w:val="green"/>
          <w:u w:val="single"/>
          <w:lang w:eastAsia="ja-JP"/>
        </w:rPr>
        <w:t>)</w:t>
      </w:r>
      <w:r w:rsidRPr="00D810AA">
        <w:rPr>
          <w:rFonts w:eastAsia="MS Mincho" w:hint="eastAsia"/>
          <w:b/>
          <w:highlight w:val="green"/>
          <w:u w:val="single"/>
          <w:lang w:eastAsia="ja-JP"/>
        </w:rPr>
        <w:t>:</w:t>
      </w:r>
    </w:p>
    <w:p w14:paraId="7A20480B" w14:textId="4FB3FA6C" w:rsidR="004264D4" w:rsidRPr="004965D2" w:rsidRDefault="004264D4" w:rsidP="00FF083E">
      <w:pPr>
        <w:pStyle w:val="ListParagraph"/>
        <w:numPr>
          <w:ilvl w:val="0"/>
          <w:numId w:val="10"/>
        </w:numPr>
        <w:contextualSpacing/>
        <w:rPr>
          <w:rFonts w:ascii="Arial" w:eastAsia="MS Mincho" w:hAnsi="Arial" w:cs="Arial"/>
          <w:sz w:val="20"/>
          <w:szCs w:val="20"/>
          <w:lang w:val="en-US" w:eastAsia="ja-JP"/>
        </w:rPr>
      </w:pPr>
      <w:r w:rsidRPr="004965D2">
        <w:rPr>
          <w:rFonts w:ascii="Arial" w:eastAsia="MS Mincho" w:hAnsi="Arial" w:cs="Arial"/>
          <w:sz w:val="20"/>
          <w:szCs w:val="20"/>
          <w:lang w:val="en-US" w:eastAsia="ja-JP"/>
        </w:rPr>
        <w:t>The star</w:t>
      </w:r>
      <w:r w:rsidR="004965D2" w:rsidRPr="004965D2">
        <w:rPr>
          <w:rFonts w:ascii="Arial" w:eastAsia="MS Mincho" w:hAnsi="Arial" w:cs="Arial"/>
          <w:sz w:val="20"/>
          <w:szCs w:val="20"/>
          <w:lang w:val="en-US" w:eastAsia="ja-JP"/>
        </w:rPr>
        <w:t>t</w:t>
      </w:r>
      <w:r w:rsidRPr="004965D2">
        <w:rPr>
          <w:rFonts w:ascii="Arial" w:eastAsia="MS Mincho" w:hAnsi="Arial" w:cs="Arial"/>
          <w:sz w:val="20"/>
          <w:szCs w:val="20"/>
          <w:lang w:val="en-US" w:eastAsia="ja-JP"/>
        </w:rPr>
        <w:t>ing position of downlink data in a slot can be explicitly and dynamically indicated to the UE.</w:t>
      </w:r>
    </w:p>
    <w:p w14:paraId="4378CD4D" w14:textId="77777777" w:rsidR="004264D4" w:rsidRPr="004965D2" w:rsidRDefault="004264D4" w:rsidP="00FF083E">
      <w:pPr>
        <w:pStyle w:val="ListParagraph"/>
        <w:numPr>
          <w:ilvl w:val="1"/>
          <w:numId w:val="10"/>
        </w:numPr>
        <w:contextualSpacing/>
        <w:rPr>
          <w:rFonts w:ascii="Arial" w:eastAsia="MS Mincho" w:hAnsi="Arial" w:cs="Arial"/>
          <w:sz w:val="20"/>
          <w:szCs w:val="20"/>
          <w:lang w:val="en-US" w:eastAsia="ja-JP"/>
        </w:rPr>
      </w:pPr>
      <w:r w:rsidRPr="004965D2">
        <w:rPr>
          <w:rFonts w:ascii="Arial" w:eastAsia="MS Mincho" w:hAnsi="Arial" w:cs="Arial"/>
          <w:sz w:val="20"/>
          <w:szCs w:val="20"/>
          <w:lang w:val="en-US" w:eastAsia="ja-JP"/>
        </w:rPr>
        <w:t>FFS: signaled in the UE-specific DCI and/or a ‘group-common PDCCH’</w:t>
      </w:r>
    </w:p>
    <w:p w14:paraId="0C68CDD4" w14:textId="77777777" w:rsidR="004264D4" w:rsidRPr="004965D2" w:rsidRDefault="004264D4" w:rsidP="00FF083E">
      <w:pPr>
        <w:pStyle w:val="ListParagraph"/>
        <w:numPr>
          <w:ilvl w:val="1"/>
          <w:numId w:val="10"/>
        </w:numPr>
        <w:contextualSpacing/>
        <w:rPr>
          <w:rFonts w:ascii="Arial" w:eastAsia="MS Mincho" w:hAnsi="Arial" w:cs="Arial"/>
          <w:sz w:val="20"/>
          <w:szCs w:val="20"/>
          <w:lang w:val="en-US" w:eastAsia="ja-JP"/>
        </w:rPr>
      </w:pPr>
      <w:r w:rsidRPr="004965D2">
        <w:rPr>
          <w:rFonts w:ascii="Arial" w:eastAsia="MS Mincho" w:hAnsi="Arial" w:cs="Arial"/>
          <w:sz w:val="20"/>
          <w:szCs w:val="20"/>
          <w:lang w:val="en-US" w:eastAsia="ja-JP"/>
        </w:rPr>
        <w:t>FFS: how and with what granularity the unused control resource set(s) can be used for data</w:t>
      </w:r>
    </w:p>
    <w:p w14:paraId="6FF0165C" w14:textId="790193D1" w:rsidR="00EA313F" w:rsidRDefault="002D4824" w:rsidP="00EA313F">
      <w:r>
        <w:t xml:space="preserve"> </w:t>
      </w:r>
    </w:p>
    <w:p w14:paraId="4C90AA24" w14:textId="55DA3B9B" w:rsidR="00976AB0" w:rsidRPr="004264D4" w:rsidRDefault="00851471" w:rsidP="00EA313F">
      <w:r>
        <w:t>In this contribution we discuss the motivation for enabling resource sharing between PDCCH and PDSCH in general</w:t>
      </w:r>
      <w:r w:rsidR="0035797B">
        <w:t xml:space="preserve"> and discuss the need for simple approaches</w:t>
      </w:r>
      <w:r>
        <w:t xml:space="preserve">. A detailed approach on how to achieve transmission of data on unused control resources is provided in </w:t>
      </w:r>
      <w:r w:rsidR="00ED3C55">
        <w:fldChar w:fldCharType="begin"/>
      </w:r>
      <w:r w:rsidR="00ED3C55">
        <w:instrText xml:space="preserve"> REF _Ref481706846 \r \h </w:instrText>
      </w:r>
      <w:r w:rsidR="00ED3C55">
        <w:fldChar w:fldCharType="separate"/>
      </w:r>
      <w:r w:rsidR="00ED3C55">
        <w:t>[5]</w:t>
      </w:r>
      <w:r w:rsidR="00ED3C55">
        <w:fldChar w:fldCharType="end"/>
      </w:r>
      <w:r w:rsidR="00337334">
        <w:t>.</w:t>
      </w:r>
      <w:r w:rsidR="00976AB0">
        <w:t xml:space="preserve">                                                                                                                                                                                                          </w:t>
      </w:r>
    </w:p>
    <w:p w14:paraId="0AF66C71" w14:textId="403916D9" w:rsidR="00975A0C" w:rsidRPr="00510362" w:rsidRDefault="005261FA" w:rsidP="0001638B">
      <w:pPr>
        <w:pStyle w:val="Heading1"/>
        <w:rPr>
          <w:rStyle w:val="IvDbodytextChar"/>
          <w:spacing w:val="0"/>
        </w:rPr>
      </w:pPr>
      <w:r>
        <w:t>Discussion</w:t>
      </w:r>
    </w:p>
    <w:p w14:paraId="145E074C" w14:textId="5AD79974" w:rsidR="00177A5B" w:rsidRDefault="0035797B" w:rsidP="0035797B">
      <w:pPr>
        <w:overflowPunct/>
        <w:autoSpaceDE/>
        <w:autoSpaceDN/>
        <w:adjustRightInd/>
        <w:spacing w:after="0"/>
        <w:jc w:val="left"/>
        <w:textAlignment w:val="auto"/>
        <w:rPr>
          <w:rFonts w:eastAsia="MS Mincho"/>
          <w:lang w:eastAsia="ja-JP"/>
        </w:rPr>
      </w:pPr>
      <w:r>
        <w:rPr>
          <w:rFonts w:eastAsia="MS Mincho"/>
          <w:lang w:eastAsia="ja-JP"/>
        </w:rPr>
        <w:t>In LTE, the length of the control region in time can be indicated by the PCFICH so that there is some flexib</w:t>
      </w:r>
      <w:r w:rsidR="00177A5B">
        <w:rPr>
          <w:rFonts w:eastAsia="MS Mincho"/>
          <w:lang w:eastAsia="ja-JP"/>
        </w:rPr>
        <w:t>ility in the number of OFDM symbols</w:t>
      </w:r>
      <w:r>
        <w:rPr>
          <w:rFonts w:eastAsia="MS Mincho"/>
          <w:lang w:eastAsia="ja-JP"/>
        </w:rPr>
        <w:t xml:space="preserve"> in a </w:t>
      </w:r>
      <w:r w:rsidR="00177A5B">
        <w:rPr>
          <w:rFonts w:eastAsia="MS Mincho"/>
          <w:lang w:eastAsia="ja-JP"/>
        </w:rPr>
        <w:t>slot that are used for data and for control. While this provides some flexibility, the granularity is limited since it is possible to do this only in time. With NR it is beneficial to introduce greater granularity as discussed below.</w:t>
      </w:r>
    </w:p>
    <w:p w14:paraId="4C771A20" w14:textId="77777777" w:rsidR="00177A5B" w:rsidRDefault="00177A5B" w:rsidP="0035797B">
      <w:pPr>
        <w:overflowPunct/>
        <w:autoSpaceDE/>
        <w:autoSpaceDN/>
        <w:adjustRightInd/>
        <w:spacing w:after="0"/>
        <w:jc w:val="left"/>
        <w:textAlignment w:val="auto"/>
        <w:rPr>
          <w:rFonts w:eastAsia="MS Mincho"/>
          <w:lang w:eastAsia="ja-JP"/>
        </w:rPr>
      </w:pPr>
    </w:p>
    <w:p w14:paraId="51CDDC4A" w14:textId="09E2D33C" w:rsidR="0035797B" w:rsidRDefault="00177A5B" w:rsidP="0035797B">
      <w:pPr>
        <w:overflowPunct/>
        <w:autoSpaceDE/>
        <w:autoSpaceDN/>
        <w:adjustRightInd/>
        <w:spacing w:after="0"/>
        <w:jc w:val="left"/>
        <w:textAlignment w:val="auto"/>
        <w:rPr>
          <w:rFonts w:eastAsia="MS Mincho"/>
          <w:lang w:eastAsia="ja-JP"/>
        </w:rPr>
      </w:pPr>
      <w:r>
        <w:rPr>
          <w:rFonts w:eastAsia="MS Mincho"/>
          <w:lang w:eastAsia="ja-JP"/>
        </w:rPr>
        <w:t xml:space="preserve">The first motivation to provide greater granularity is that the channel bandwidths could be quite wide in some frequency bands. </w:t>
      </w:r>
      <w:r w:rsidR="0035797B">
        <w:rPr>
          <w:rFonts w:eastAsia="MS Mincho"/>
          <w:lang w:eastAsia="ja-JP"/>
        </w:rPr>
        <w:t xml:space="preserve">When </w:t>
      </w:r>
      <w:r>
        <w:rPr>
          <w:rFonts w:eastAsia="MS Mincho"/>
          <w:lang w:eastAsia="ja-JP"/>
        </w:rPr>
        <w:t xml:space="preserve">only </w:t>
      </w:r>
      <w:r w:rsidR="0035797B">
        <w:rPr>
          <w:rFonts w:eastAsia="MS Mincho"/>
          <w:lang w:eastAsia="ja-JP"/>
        </w:rPr>
        <w:t>a few UEs are being served by in a large ba</w:t>
      </w:r>
      <w:r>
        <w:rPr>
          <w:rFonts w:eastAsia="MS Mincho"/>
          <w:lang w:eastAsia="ja-JP"/>
        </w:rPr>
        <w:t>ndwidth, a small CORESET size can be used, e.g., CORESET spanning only a few PRBs and one OFDM symbol</w:t>
      </w:r>
      <w:r w:rsidR="0035797B">
        <w:rPr>
          <w:rFonts w:eastAsia="MS Mincho"/>
          <w:lang w:eastAsia="ja-JP"/>
        </w:rPr>
        <w:t>. Reu</w:t>
      </w:r>
      <w:r>
        <w:rPr>
          <w:rFonts w:eastAsia="MS Mincho"/>
          <w:lang w:eastAsia="ja-JP"/>
        </w:rPr>
        <w:t>se of control resources within the CORESET is le</w:t>
      </w:r>
      <w:r w:rsidR="00F7565E">
        <w:rPr>
          <w:rFonts w:eastAsia="MS Mincho"/>
          <w:lang w:eastAsia="ja-JP"/>
        </w:rPr>
        <w:t>ss important in this case since the number of resources being wasted is not too high as the resources outside the CORESET can be used for data even in the first OFDM symbol. However, w</w:t>
      </w:r>
      <w:r w:rsidR="0035797B">
        <w:rPr>
          <w:rFonts w:eastAsia="MS Mincho"/>
          <w:lang w:eastAsia="ja-JP"/>
        </w:rPr>
        <w:t xml:space="preserve">hen there are a larger number of UEs in the cell </w:t>
      </w:r>
      <w:r w:rsidR="00F7565E">
        <w:rPr>
          <w:rFonts w:eastAsia="MS Mincho"/>
          <w:lang w:eastAsia="ja-JP"/>
        </w:rPr>
        <w:t xml:space="preserve">there is a need to have a larger CORESET to </w:t>
      </w:r>
      <w:r w:rsidR="00F7565E">
        <w:rPr>
          <w:rFonts w:eastAsia="MS Mincho"/>
          <w:lang w:eastAsia="ja-JP"/>
        </w:rPr>
        <w:lastRenderedPageBreak/>
        <w:t xml:space="preserve">accommodate scheduling many UEs without blocking. But, even in these situations, the load can be </w:t>
      </w:r>
      <w:r w:rsidR="0035797B">
        <w:rPr>
          <w:rFonts w:eastAsia="MS Mincho"/>
          <w:lang w:eastAsia="ja-JP"/>
        </w:rPr>
        <w:t>low</w:t>
      </w:r>
      <w:r w:rsidR="00F7565E">
        <w:rPr>
          <w:rFonts w:eastAsia="MS Mincho"/>
          <w:lang w:eastAsia="ja-JP"/>
        </w:rPr>
        <w:t xml:space="preserve"> for brief periods of time</w:t>
      </w:r>
      <w:r w:rsidR="0035797B">
        <w:rPr>
          <w:rFonts w:eastAsia="MS Mincho"/>
          <w:lang w:eastAsia="ja-JP"/>
        </w:rPr>
        <w:t>, there may only be one or two UEs that are scheduled at any given time. In this case, r</w:t>
      </w:r>
      <w:r w:rsidR="00F7565E">
        <w:rPr>
          <w:rFonts w:eastAsia="MS Mincho"/>
          <w:lang w:eastAsia="ja-JP"/>
        </w:rPr>
        <w:t xml:space="preserve">euse of the control resources can be important in increasing throughput. </w:t>
      </w:r>
    </w:p>
    <w:p w14:paraId="5DCE6515" w14:textId="6019C6CF" w:rsidR="00F7565E" w:rsidRDefault="00F7565E" w:rsidP="0035797B">
      <w:pPr>
        <w:overflowPunct/>
        <w:autoSpaceDE/>
        <w:autoSpaceDN/>
        <w:adjustRightInd/>
        <w:spacing w:after="0"/>
        <w:jc w:val="left"/>
        <w:textAlignment w:val="auto"/>
        <w:rPr>
          <w:rFonts w:eastAsia="MS Mincho"/>
          <w:lang w:eastAsia="ja-JP"/>
        </w:rPr>
      </w:pPr>
    </w:p>
    <w:p w14:paraId="117C547B" w14:textId="19054225" w:rsidR="0035797B" w:rsidRDefault="00F7565E" w:rsidP="00B815E2">
      <w:pPr>
        <w:overflowPunct/>
        <w:autoSpaceDE/>
        <w:autoSpaceDN/>
        <w:adjustRightInd/>
        <w:spacing w:after="0"/>
        <w:jc w:val="left"/>
        <w:textAlignment w:val="auto"/>
        <w:rPr>
          <w:rFonts w:eastAsia="MS Mincho"/>
          <w:lang w:eastAsia="ja-JP"/>
        </w:rPr>
      </w:pPr>
      <w:r>
        <w:rPr>
          <w:rFonts w:eastAsia="MS Mincho"/>
          <w:lang w:eastAsia="ja-JP"/>
        </w:rPr>
        <w:t>Another reason for being able to reuse the resources in the CORESET is the potential use of shorter slots</w:t>
      </w:r>
      <w:r w:rsidR="00EC57BC">
        <w:rPr>
          <w:rFonts w:eastAsia="MS Mincho"/>
          <w:lang w:eastAsia="ja-JP"/>
        </w:rPr>
        <w:t>. In this case, the control region overhead could be higher and this problem would be alleviated somewhat if unused control resources could be reused for data.</w:t>
      </w:r>
    </w:p>
    <w:p w14:paraId="79C74640" w14:textId="08B329CE" w:rsidR="00B815E2" w:rsidRDefault="00B815E2" w:rsidP="00B815E2">
      <w:pPr>
        <w:overflowPunct/>
        <w:autoSpaceDE/>
        <w:autoSpaceDN/>
        <w:adjustRightInd/>
        <w:spacing w:after="0"/>
        <w:jc w:val="left"/>
        <w:textAlignment w:val="auto"/>
        <w:rPr>
          <w:rFonts w:eastAsia="MS Mincho"/>
          <w:lang w:eastAsia="ja-JP"/>
        </w:rPr>
      </w:pPr>
    </w:p>
    <w:p w14:paraId="18EDCD99" w14:textId="3F195F9B" w:rsidR="00B815E2" w:rsidRDefault="00B815E2" w:rsidP="00B815E2">
      <w:pPr>
        <w:overflowPunct/>
        <w:autoSpaceDE/>
        <w:autoSpaceDN/>
        <w:adjustRightInd/>
        <w:spacing w:after="0"/>
        <w:jc w:val="left"/>
        <w:textAlignment w:val="auto"/>
        <w:rPr>
          <w:rFonts w:eastAsia="MS Mincho"/>
          <w:lang w:eastAsia="ja-JP"/>
        </w:rPr>
      </w:pPr>
      <w:r>
        <w:rPr>
          <w:rFonts w:eastAsia="MS Mincho"/>
          <w:lang w:eastAsia="ja-JP"/>
        </w:rPr>
        <w:t xml:space="preserve">Considering the above motivations for the agreement to allow resources in a CORESET to be used for data, it is important to use an approach that limits unnecessary complexity and overhead. Considering this constraint, </w:t>
      </w:r>
      <w:r w:rsidR="00A70FC0">
        <w:rPr>
          <w:rFonts w:eastAsia="MS Mincho"/>
          <w:lang w:eastAsia="ja-JP"/>
        </w:rPr>
        <w:t xml:space="preserve">we propose </w:t>
      </w:r>
      <w:r>
        <w:rPr>
          <w:rFonts w:eastAsia="MS Mincho"/>
          <w:lang w:eastAsia="ja-JP"/>
        </w:rPr>
        <w:t>that it should not be necessary for the UE to know the control resources being used by other UEs. The cost of providing such information to the UE is essentially greater overhead in the DCI message</w:t>
      </w:r>
      <w:r w:rsidR="002312BA">
        <w:rPr>
          <w:rFonts w:eastAsia="MS Mincho"/>
          <w:lang w:eastAsia="ja-JP"/>
        </w:rPr>
        <w:t xml:space="preserve"> as well as added scheduler complexity at the gNB. This cost is potentially incurred in every DCI message with the overhead and complexity increasing as a greater number of CCE combinations that should or should not be reused for data need to be signaled to the UE. And if that complexity is to be limited by allowing such signaling only for the case where there are very few UEs being scheduled simultaneously, the functionality is anyway limited. Therefore, it can be considered that the reuse of control resource sets for data should be enabled only when the UE receives a PDCCH and it can reuse control resources without knowing any other information about other CCEs being used by other UEs.</w:t>
      </w:r>
      <w:r w:rsidR="00A70FC0">
        <w:rPr>
          <w:rFonts w:eastAsia="MS Mincho"/>
          <w:lang w:eastAsia="ja-JP"/>
        </w:rPr>
        <w:t xml:space="preserve"> This will limit reuse to the lower load cases, but this is where the reuse is most likely most helpful and will limit the DCI overhead incurred.</w:t>
      </w:r>
    </w:p>
    <w:p w14:paraId="0E23AEA4" w14:textId="778D2A65" w:rsidR="002312BA" w:rsidRDefault="002312BA" w:rsidP="00B815E2">
      <w:pPr>
        <w:overflowPunct/>
        <w:autoSpaceDE/>
        <w:autoSpaceDN/>
        <w:adjustRightInd/>
        <w:spacing w:after="0"/>
        <w:jc w:val="left"/>
        <w:textAlignment w:val="auto"/>
        <w:rPr>
          <w:rFonts w:eastAsia="MS Mincho"/>
          <w:lang w:eastAsia="ja-JP"/>
        </w:rPr>
      </w:pPr>
    </w:p>
    <w:p w14:paraId="7DA05F7F" w14:textId="124A202C" w:rsidR="002312BA" w:rsidRDefault="002312BA" w:rsidP="00B815E2">
      <w:pPr>
        <w:overflowPunct/>
        <w:autoSpaceDE/>
        <w:autoSpaceDN/>
        <w:adjustRightInd/>
        <w:spacing w:after="0"/>
        <w:jc w:val="left"/>
        <w:textAlignment w:val="auto"/>
        <w:rPr>
          <w:rFonts w:eastAsia="MS Mincho"/>
          <w:lang w:eastAsia="ja-JP"/>
        </w:rPr>
      </w:pPr>
      <w:r>
        <w:rPr>
          <w:rFonts w:eastAsia="MS Mincho"/>
          <w:b/>
          <w:lang w:eastAsia="ja-JP"/>
        </w:rPr>
        <w:t xml:space="preserve">Proposal: </w:t>
      </w:r>
      <w:r w:rsidR="00A70FC0">
        <w:rPr>
          <w:rFonts w:eastAsia="MS Mincho"/>
          <w:lang w:eastAsia="ja-JP"/>
        </w:rPr>
        <w:t>A UE should be able to reuse control resources within a CORESET for data without being signaled any information regarding other UEs being simultaneously scheduled.</w:t>
      </w:r>
    </w:p>
    <w:p w14:paraId="7C9D6E87" w14:textId="2A55022F" w:rsidR="00A70FC0" w:rsidRPr="002312BA" w:rsidRDefault="00A70FC0" w:rsidP="00B815E2">
      <w:pPr>
        <w:overflowPunct/>
        <w:autoSpaceDE/>
        <w:autoSpaceDN/>
        <w:adjustRightInd/>
        <w:spacing w:after="0"/>
        <w:jc w:val="left"/>
        <w:textAlignment w:val="auto"/>
        <w:rPr>
          <w:rFonts w:eastAsia="MS Mincho"/>
          <w:lang w:eastAsia="ja-JP"/>
        </w:rPr>
      </w:pPr>
    </w:p>
    <w:p w14:paraId="5C5772E4" w14:textId="2E01C0B7" w:rsidR="00B815E2" w:rsidRPr="00B815E2" w:rsidRDefault="00B815E2" w:rsidP="00B815E2">
      <w:pPr>
        <w:overflowPunct/>
        <w:autoSpaceDE/>
        <w:autoSpaceDN/>
        <w:adjustRightInd/>
        <w:spacing w:after="0"/>
        <w:jc w:val="left"/>
        <w:textAlignment w:val="auto"/>
        <w:rPr>
          <w:rStyle w:val="IvDbodytextChar"/>
          <w:rFonts w:eastAsia="MS Mincho"/>
          <w:spacing w:val="0"/>
          <w:lang w:val="en-US" w:eastAsia="ja-JP"/>
        </w:rPr>
      </w:pPr>
      <w:r>
        <w:rPr>
          <w:rFonts w:eastAsia="MS Mincho"/>
          <w:lang w:eastAsia="ja-JP"/>
        </w:rPr>
        <w:t xml:space="preserve"> </w:t>
      </w:r>
    </w:p>
    <w:p w14:paraId="52194F8F" w14:textId="5F2EDD0E" w:rsidR="00AE553B" w:rsidRDefault="00AE553B" w:rsidP="00AE553B">
      <w:pPr>
        <w:pStyle w:val="Heading1"/>
      </w:pPr>
      <w:r>
        <w:t>Conclusion</w:t>
      </w:r>
    </w:p>
    <w:p w14:paraId="23E35B52" w14:textId="701BFC80" w:rsidR="00F913A7" w:rsidRPr="00F913A7" w:rsidRDefault="00F913A7" w:rsidP="00F913A7">
      <w:r>
        <w:t xml:space="preserve">In this contribution we discussed our view on viable options that enable efficient transmission of data in the control resource set and proposed the following:                                                                                                                                                                                                          </w:t>
      </w:r>
    </w:p>
    <w:p w14:paraId="4DCE103B" w14:textId="5659F81D" w:rsidR="00F913A7" w:rsidRPr="00A70FC0" w:rsidRDefault="00400F1F" w:rsidP="00A70FC0">
      <w:pPr>
        <w:rPr>
          <w:b/>
        </w:rPr>
      </w:pPr>
      <w:r w:rsidRPr="00400F1F">
        <w:rPr>
          <w:b/>
        </w:rPr>
        <w:t>Proposals:</w:t>
      </w:r>
      <w:r w:rsidR="00A70FC0">
        <w:rPr>
          <w:b/>
        </w:rPr>
        <w:t xml:space="preserve"> </w:t>
      </w:r>
      <w:r w:rsidR="00A70FC0">
        <w:rPr>
          <w:rFonts w:eastAsia="MS Mincho"/>
          <w:lang w:eastAsia="ja-JP"/>
        </w:rPr>
        <w:t>A UE should be able to reuse control resources within a CORESET for data without being signaled any information regarding other UEs being simultaneously scheduled.</w:t>
      </w:r>
    </w:p>
    <w:p w14:paraId="683E751C" w14:textId="0DC6F013" w:rsidR="00400F1F" w:rsidRPr="005A4122" w:rsidRDefault="00400F1F" w:rsidP="005A4122">
      <w:pPr>
        <w:spacing w:before="40" w:after="40"/>
        <w:ind w:left="360"/>
        <w:rPr>
          <w:rFonts w:cs="Arial"/>
        </w:rPr>
      </w:pPr>
    </w:p>
    <w:p w14:paraId="3CA25FCB" w14:textId="67E15E7F" w:rsidR="00F507D1" w:rsidRPr="00CE0424" w:rsidRDefault="00F507D1" w:rsidP="0009033B">
      <w:pPr>
        <w:pStyle w:val="Heading1"/>
      </w:pPr>
      <w:bookmarkStart w:id="0" w:name="_In-sequence_SDU_delivery"/>
      <w:bookmarkEnd w:id="0"/>
      <w:r w:rsidRPr="00CE0424">
        <w:t>References</w:t>
      </w:r>
    </w:p>
    <w:p w14:paraId="151ADCA7" w14:textId="77777777" w:rsidR="0015645C" w:rsidRDefault="0015645C" w:rsidP="0015645C">
      <w:pPr>
        <w:pStyle w:val="Reference"/>
      </w:pPr>
      <w:bookmarkStart w:id="1" w:name="_Ref477803323"/>
      <w:bookmarkStart w:id="2" w:name="_Ref473896376"/>
      <w:bookmarkStart w:id="3" w:name="_Ref473637092"/>
      <w:bookmarkStart w:id="4" w:name="_Ref470613638"/>
      <w:bookmarkStart w:id="5" w:name="_Ref465931227"/>
      <w:bookmarkStart w:id="6" w:name="_Ref458515583"/>
      <w:bookmarkStart w:id="7" w:name="_Ref174151459"/>
      <w:bookmarkStart w:id="8" w:name="_Ref189809556"/>
      <w:bookmarkStart w:id="9" w:name="_Ref458165837"/>
      <w:r>
        <w:t>RP-170377</w:t>
      </w:r>
      <w:bookmarkEnd w:id="1"/>
      <w:r>
        <w:tab/>
      </w:r>
      <w:r>
        <w:tab/>
      </w:r>
      <w:r w:rsidRPr="00D54B8E">
        <w:t>TR 38.802 v2.0.0 on Study on New Radio (NR) Access Technology Phys</w:t>
      </w:r>
      <w:r>
        <w:t>ical Layer Aspects; NTT DOCOMO</w:t>
      </w:r>
    </w:p>
    <w:p w14:paraId="02CEF540" w14:textId="26502AF5" w:rsidR="003579EB" w:rsidRDefault="0015645C" w:rsidP="00754AAE">
      <w:pPr>
        <w:pStyle w:val="Reference"/>
      </w:pPr>
      <w:bookmarkStart w:id="10" w:name="_Ref477803338"/>
      <w:r>
        <w:t>RP-170855</w:t>
      </w:r>
      <w:bookmarkEnd w:id="10"/>
      <w:r>
        <w:tab/>
      </w:r>
      <w:r>
        <w:tab/>
      </w:r>
      <w:r w:rsidRPr="0098532B">
        <w:t>New WID on New Radio Access Technology</w:t>
      </w:r>
      <w:r>
        <w:t>; NTT DOCOMO</w:t>
      </w:r>
      <w:bookmarkEnd w:id="2"/>
    </w:p>
    <w:p w14:paraId="795820B7" w14:textId="2A1B701B" w:rsidR="00976AB0" w:rsidRDefault="00976AB0" w:rsidP="00976AB0">
      <w:pPr>
        <w:pStyle w:val="Reference"/>
      </w:pPr>
      <w:bookmarkStart w:id="11" w:name="_Ref473896379"/>
      <w:r>
        <w:t>Chairman’s Notes, 3GPP TSG RAN WG1 Meeting #87</w:t>
      </w:r>
      <w:bookmarkEnd w:id="11"/>
    </w:p>
    <w:p w14:paraId="5DB179F9" w14:textId="20317ABB" w:rsidR="004965D2" w:rsidRDefault="00EA313F" w:rsidP="00754AAE">
      <w:pPr>
        <w:pStyle w:val="Reference"/>
      </w:pPr>
      <w:bookmarkStart w:id="12" w:name="_Ref473896381"/>
      <w:r>
        <w:t>C</w:t>
      </w:r>
      <w:r w:rsidR="003579EB">
        <w:t>hairman’s N</w:t>
      </w:r>
      <w:r w:rsidR="004965D2">
        <w:t>otes, 3GPP TSG RAN WG1 Meeting NR</w:t>
      </w:r>
      <w:r w:rsidR="009C3520">
        <w:t xml:space="preserve"> </w:t>
      </w:r>
      <w:bookmarkEnd w:id="3"/>
      <w:bookmarkEnd w:id="12"/>
      <w:r w:rsidR="004965D2">
        <w:t>A</w:t>
      </w:r>
      <w:r w:rsidR="009C3520">
        <w:t>d-hoc</w:t>
      </w:r>
      <w:bookmarkEnd w:id="4"/>
      <w:bookmarkEnd w:id="5"/>
      <w:bookmarkEnd w:id="6"/>
      <w:bookmarkEnd w:id="7"/>
      <w:bookmarkEnd w:id="8"/>
      <w:bookmarkEnd w:id="9"/>
      <w:r w:rsidR="004965D2">
        <w:t>, January 2017</w:t>
      </w:r>
    </w:p>
    <w:p w14:paraId="253E2D47" w14:textId="65EAC2A2" w:rsidR="00851471" w:rsidRPr="00BE3726" w:rsidRDefault="00374472" w:rsidP="00754AAE">
      <w:pPr>
        <w:pStyle w:val="Reference"/>
      </w:pPr>
      <w:bookmarkStart w:id="13" w:name="_Ref481706846"/>
      <w:r>
        <w:t>R1-1709071</w:t>
      </w:r>
      <w:bookmarkStart w:id="14" w:name="_GoBack"/>
      <w:bookmarkEnd w:id="14"/>
      <w:r w:rsidR="00851471">
        <w:tab/>
      </w:r>
      <w:r w:rsidR="00851471">
        <w:tab/>
        <w:t>On Data Transmission in Control Resource Sets</w:t>
      </w:r>
      <w:bookmarkEnd w:id="13"/>
    </w:p>
    <w:sectPr w:rsidR="00851471"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4783D" w14:textId="77777777" w:rsidR="0000585F" w:rsidRDefault="0000585F">
      <w:r>
        <w:separator/>
      </w:r>
    </w:p>
  </w:endnote>
  <w:endnote w:type="continuationSeparator" w:id="0">
    <w:p w14:paraId="08A5C6D3" w14:textId="77777777" w:rsidR="0000585F" w:rsidRDefault="0000585F">
      <w:r>
        <w:continuationSeparator/>
      </w:r>
    </w:p>
  </w:endnote>
  <w:endnote w:type="continuationNotice" w:id="1">
    <w:p w14:paraId="76ED154D" w14:textId="77777777" w:rsidR="0000585F" w:rsidRDefault="00005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8EA6511"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61F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61F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37531" w14:textId="77777777" w:rsidR="0000585F" w:rsidRDefault="0000585F">
      <w:r>
        <w:separator/>
      </w:r>
    </w:p>
  </w:footnote>
  <w:footnote w:type="continuationSeparator" w:id="0">
    <w:p w14:paraId="6EF56E6F" w14:textId="77777777" w:rsidR="0000585F" w:rsidRDefault="0000585F">
      <w:r>
        <w:continuationSeparator/>
      </w:r>
    </w:p>
  </w:footnote>
  <w:footnote w:type="continuationNotice" w:id="1">
    <w:p w14:paraId="3A8CB7DF" w14:textId="77777777" w:rsidR="0000585F" w:rsidRDefault="00005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7AF31E39"/>
    <w:multiLevelType w:val="hybridMultilevel"/>
    <w:tmpl w:val="BA28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0"/>
  </w:num>
  <w:num w:numId="5">
    <w:abstractNumId w:val="6"/>
  </w:num>
  <w:num w:numId="6">
    <w:abstractNumId w:val="12"/>
  </w:num>
  <w:num w:numId="7">
    <w:abstractNumId w:val="16"/>
  </w:num>
  <w:num w:numId="8">
    <w:abstractNumId w:val="7"/>
  </w:num>
  <w:num w:numId="9">
    <w:abstractNumId w:val="15"/>
  </w:num>
  <w:num w:numId="10">
    <w:abstractNumId w:val="3"/>
  </w:num>
  <w:num w:numId="11">
    <w:abstractNumId w:val="1"/>
  </w:num>
  <w:num w:numId="12">
    <w:abstractNumId w:val="2"/>
  </w:num>
  <w:num w:numId="13">
    <w:abstractNumId w:val="18"/>
  </w:num>
  <w:num w:numId="14">
    <w:abstractNumId w:val="9"/>
  </w:num>
  <w:num w:numId="15">
    <w:abstractNumId w:val="4"/>
  </w:num>
  <w:num w:numId="16">
    <w:abstractNumId w:val="17"/>
  </w:num>
  <w:num w:numId="17">
    <w:abstractNumId w:val="11"/>
  </w:num>
  <w:num w:numId="18">
    <w:abstractNumId w:val="5"/>
  </w:num>
  <w:num w:numId="19">
    <w:abstractNumId w:val="13"/>
  </w:num>
  <w:num w:numId="20">
    <w:abstractNumId w:val="19"/>
  </w:num>
  <w:num w:numId="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585F"/>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45C"/>
    <w:rsid w:val="00156F68"/>
    <w:rsid w:val="0016360E"/>
    <w:rsid w:val="00164D4A"/>
    <w:rsid w:val="001659C1"/>
    <w:rsid w:val="00166E7F"/>
    <w:rsid w:val="00167763"/>
    <w:rsid w:val="00170546"/>
    <w:rsid w:val="00170C0D"/>
    <w:rsid w:val="001723CF"/>
    <w:rsid w:val="00173A8E"/>
    <w:rsid w:val="00174693"/>
    <w:rsid w:val="001748BD"/>
    <w:rsid w:val="00177795"/>
    <w:rsid w:val="00177A5B"/>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30DB"/>
    <w:rsid w:val="00214DA8"/>
    <w:rsid w:val="00215423"/>
    <w:rsid w:val="002158FA"/>
    <w:rsid w:val="00217C2F"/>
    <w:rsid w:val="00220600"/>
    <w:rsid w:val="0022138B"/>
    <w:rsid w:val="002224DB"/>
    <w:rsid w:val="002232CC"/>
    <w:rsid w:val="00223847"/>
    <w:rsid w:val="00223FCB"/>
    <w:rsid w:val="002252C3"/>
    <w:rsid w:val="00225C54"/>
    <w:rsid w:val="00230765"/>
    <w:rsid w:val="002312BA"/>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050"/>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7A8C"/>
    <w:rsid w:val="002B0227"/>
    <w:rsid w:val="002B0907"/>
    <w:rsid w:val="002B24D6"/>
    <w:rsid w:val="002B4CE9"/>
    <w:rsid w:val="002B5943"/>
    <w:rsid w:val="002C406E"/>
    <w:rsid w:val="002C41E6"/>
    <w:rsid w:val="002C6788"/>
    <w:rsid w:val="002D071A"/>
    <w:rsid w:val="002D1464"/>
    <w:rsid w:val="002D34B2"/>
    <w:rsid w:val="002D4754"/>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7B"/>
    <w:rsid w:val="003579EB"/>
    <w:rsid w:val="003602D9"/>
    <w:rsid w:val="003604CE"/>
    <w:rsid w:val="003639EA"/>
    <w:rsid w:val="00365F79"/>
    <w:rsid w:val="00370E47"/>
    <w:rsid w:val="003742AC"/>
    <w:rsid w:val="00374472"/>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21105"/>
    <w:rsid w:val="004242F4"/>
    <w:rsid w:val="004264D4"/>
    <w:rsid w:val="00427248"/>
    <w:rsid w:val="004314DE"/>
    <w:rsid w:val="00435264"/>
    <w:rsid w:val="00437447"/>
    <w:rsid w:val="00441A92"/>
    <w:rsid w:val="00444F56"/>
    <w:rsid w:val="00446488"/>
    <w:rsid w:val="00446AFF"/>
    <w:rsid w:val="00447DDB"/>
    <w:rsid w:val="004517AA"/>
    <w:rsid w:val="00452B53"/>
    <w:rsid w:val="00452CAC"/>
    <w:rsid w:val="00457565"/>
    <w:rsid w:val="00457B71"/>
    <w:rsid w:val="004669E2"/>
    <w:rsid w:val="00470C31"/>
    <w:rsid w:val="004734D0"/>
    <w:rsid w:val="0047447B"/>
    <w:rsid w:val="00474CE8"/>
    <w:rsid w:val="0047556B"/>
    <w:rsid w:val="00477768"/>
    <w:rsid w:val="00484D60"/>
    <w:rsid w:val="00484FD1"/>
    <w:rsid w:val="004903E5"/>
    <w:rsid w:val="00492BC5"/>
    <w:rsid w:val="004959FC"/>
    <w:rsid w:val="004964F1"/>
    <w:rsid w:val="004965D2"/>
    <w:rsid w:val="004A163A"/>
    <w:rsid w:val="004A16BC"/>
    <w:rsid w:val="004A2B94"/>
    <w:rsid w:val="004B6991"/>
    <w:rsid w:val="004B76B1"/>
    <w:rsid w:val="004B7787"/>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23E"/>
    <w:rsid w:val="005948C2"/>
    <w:rsid w:val="00595DCA"/>
    <w:rsid w:val="00595EC8"/>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10E8"/>
    <w:rsid w:val="005F2CB1"/>
    <w:rsid w:val="005F3025"/>
    <w:rsid w:val="005F618C"/>
    <w:rsid w:val="005F70BD"/>
    <w:rsid w:val="005F70DE"/>
    <w:rsid w:val="00602337"/>
    <w:rsid w:val="0060283C"/>
    <w:rsid w:val="00604F14"/>
    <w:rsid w:val="00611B83"/>
    <w:rsid w:val="00613257"/>
    <w:rsid w:val="00617C2C"/>
    <w:rsid w:val="006206E0"/>
    <w:rsid w:val="00620A71"/>
    <w:rsid w:val="00620D80"/>
    <w:rsid w:val="00621B29"/>
    <w:rsid w:val="006234A6"/>
    <w:rsid w:val="006238D8"/>
    <w:rsid w:val="0062431E"/>
    <w:rsid w:val="00624B66"/>
    <w:rsid w:val="00625728"/>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763"/>
    <w:rsid w:val="00722D34"/>
    <w:rsid w:val="00726EA6"/>
    <w:rsid w:val="00727208"/>
    <w:rsid w:val="0072728D"/>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4AAE"/>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49CB"/>
    <w:rsid w:val="00836B3D"/>
    <w:rsid w:val="008376AC"/>
    <w:rsid w:val="00840358"/>
    <w:rsid w:val="0084390D"/>
    <w:rsid w:val="008444E8"/>
    <w:rsid w:val="00844E80"/>
    <w:rsid w:val="008457DE"/>
    <w:rsid w:val="00846FE7"/>
    <w:rsid w:val="0085128C"/>
    <w:rsid w:val="00851471"/>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0EEF"/>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1F9"/>
    <w:rsid w:val="008C6AE8"/>
    <w:rsid w:val="008C7231"/>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0004"/>
    <w:rsid w:val="00931BD9"/>
    <w:rsid w:val="0093544A"/>
    <w:rsid w:val="009368F3"/>
    <w:rsid w:val="009375A0"/>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5253"/>
    <w:rsid w:val="009853B3"/>
    <w:rsid w:val="0098620A"/>
    <w:rsid w:val="00990630"/>
    <w:rsid w:val="00991484"/>
    <w:rsid w:val="00991761"/>
    <w:rsid w:val="009921F5"/>
    <w:rsid w:val="00992A22"/>
    <w:rsid w:val="00994DCA"/>
    <w:rsid w:val="00995A19"/>
    <w:rsid w:val="009960EC"/>
    <w:rsid w:val="009970DD"/>
    <w:rsid w:val="009A06FB"/>
    <w:rsid w:val="009A0FBA"/>
    <w:rsid w:val="009A1601"/>
    <w:rsid w:val="009A4572"/>
    <w:rsid w:val="009A462D"/>
    <w:rsid w:val="009A5835"/>
    <w:rsid w:val="009A5CBA"/>
    <w:rsid w:val="009B1990"/>
    <w:rsid w:val="009B1F30"/>
    <w:rsid w:val="009B3AC2"/>
    <w:rsid w:val="009B4DF4"/>
    <w:rsid w:val="009B4FF0"/>
    <w:rsid w:val="009B564E"/>
    <w:rsid w:val="009B7E87"/>
    <w:rsid w:val="009C11C1"/>
    <w:rsid w:val="009C2D17"/>
    <w:rsid w:val="009C3520"/>
    <w:rsid w:val="009C403E"/>
    <w:rsid w:val="009C5D6A"/>
    <w:rsid w:val="009D475A"/>
    <w:rsid w:val="009D4FF0"/>
    <w:rsid w:val="009D60A6"/>
    <w:rsid w:val="009D6F94"/>
    <w:rsid w:val="009D703C"/>
    <w:rsid w:val="009D718F"/>
    <w:rsid w:val="009E068F"/>
    <w:rsid w:val="009E14E0"/>
    <w:rsid w:val="009E35DB"/>
    <w:rsid w:val="009E47A3"/>
    <w:rsid w:val="009E6849"/>
    <w:rsid w:val="009F03C6"/>
    <w:rsid w:val="009F08F3"/>
    <w:rsid w:val="009F18A9"/>
    <w:rsid w:val="009F344F"/>
    <w:rsid w:val="00A02E75"/>
    <w:rsid w:val="00A0362C"/>
    <w:rsid w:val="00A048A8"/>
    <w:rsid w:val="00A04F49"/>
    <w:rsid w:val="00A11920"/>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0FC0"/>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17888"/>
    <w:rsid w:val="00B20256"/>
    <w:rsid w:val="00B207CF"/>
    <w:rsid w:val="00B20D09"/>
    <w:rsid w:val="00B25154"/>
    <w:rsid w:val="00B25305"/>
    <w:rsid w:val="00B2763F"/>
    <w:rsid w:val="00B27AAC"/>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5E2"/>
    <w:rsid w:val="00B81A6C"/>
    <w:rsid w:val="00B81BE4"/>
    <w:rsid w:val="00B842A0"/>
    <w:rsid w:val="00B85DE5"/>
    <w:rsid w:val="00B90F73"/>
    <w:rsid w:val="00B9371D"/>
    <w:rsid w:val="00B93B59"/>
    <w:rsid w:val="00B9406A"/>
    <w:rsid w:val="00BA2280"/>
    <w:rsid w:val="00BA2A08"/>
    <w:rsid w:val="00BA3331"/>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FE1"/>
    <w:rsid w:val="00C47B3C"/>
    <w:rsid w:val="00C5028B"/>
    <w:rsid w:val="00C543E6"/>
    <w:rsid w:val="00C54995"/>
    <w:rsid w:val="00C54D41"/>
    <w:rsid w:val="00C57688"/>
    <w:rsid w:val="00C57B03"/>
    <w:rsid w:val="00C60783"/>
    <w:rsid w:val="00C61DA0"/>
    <w:rsid w:val="00C64672"/>
    <w:rsid w:val="00C66FD4"/>
    <w:rsid w:val="00C704D9"/>
    <w:rsid w:val="00C70697"/>
    <w:rsid w:val="00C72EF4"/>
    <w:rsid w:val="00C73DD5"/>
    <w:rsid w:val="00C75D2F"/>
    <w:rsid w:val="00C765AC"/>
    <w:rsid w:val="00C767BE"/>
    <w:rsid w:val="00C76E3C"/>
    <w:rsid w:val="00C77721"/>
    <w:rsid w:val="00C7775C"/>
    <w:rsid w:val="00C80444"/>
    <w:rsid w:val="00C80973"/>
    <w:rsid w:val="00C81568"/>
    <w:rsid w:val="00C83223"/>
    <w:rsid w:val="00C9027A"/>
    <w:rsid w:val="00C9068E"/>
    <w:rsid w:val="00C90B11"/>
    <w:rsid w:val="00C93C4B"/>
    <w:rsid w:val="00C944AB"/>
    <w:rsid w:val="00C95B40"/>
    <w:rsid w:val="00CA1B65"/>
    <w:rsid w:val="00CA1ED8"/>
    <w:rsid w:val="00CA2D38"/>
    <w:rsid w:val="00CA424B"/>
    <w:rsid w:val="00CA4CE9"/>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06842"/>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976F3"/>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313F"/>
    <w:rsid w:val="00EA38BD"/>
    <w:rsid w:val="00EA41B8"/>
    <w:rsid w:val="00EA4A9E"/>
    <w:rsid w:val="00EA7A41"/>
    <w:rsid w:val="00EB077B"/>
    <w:rsid w:val="00EB3AF5"/>
    <w:rsid w:val="00EB4EA2"/>
    <w:rsid w:val="00EB5722"/>
    <w:rsid w:val="00EC24C5"/>
    <w:rsid w:val="00EC27C6"/>
    <w:rsid w:val="00EC2A94"/>
    <w:rsid w:val="00EC4207"/>
    <w:rsid w:val="00EC5653"/>
    <w:rsid w:val="00EC57BC"/>
    <w:rsid w:val="00EC7041"/>
    <w:rsid w:val="00EC71CE"/>
    <w:rsid w:val="00EC78F2"/>
    <w:rsid w:val="00ED1006"/>
    <w:rsid w:val="00ED1C67"/>
    <w:rsid w:val="00ED3BA3"/>
    <w:rsid w:val="00ED3C55"/>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565E"/>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5NUHHDQN7SK2-1-114365</_dlc_DocId>
    <_dlc_DocIdUrl xmlns="08b2df90-05d3-4030-90d4-c9feeb4a1cd9">
      <Url>https://ericoll.internal.ericsson.com/sites/STAR/_layouts/DocIdRedir.aspx?ID=5NUHHDQN7SK2-1-114365</Url>
      <Description>5NUHHDQN7SK2-1-114365</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6979AB85-48EB-4851-8F67-6B2640DED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F188A55A-935C-4375-895A-374874502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2</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cp:lastModifiedBy>
  <cp:revision>4</cp:revision>
  <cp:lastPrinted>2008-01-31T07:09:00Z</cp:lastPrinted>
  <dcterms:created xsi:type="dcterms:W3CDTF">2017-05-06T07:00:00Z</dcterms:created>
  <dcterms:modified xsi:type="dcterms:W3CDTF">2017-05-06T07:01:00Z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db2e5e65-8456-42f7-9689-e7e14c03efc3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