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522D25" w14:textId="2F559207" w:rsidR="00A85E54" w:rsidRPr="000613D3" w:rsidRDefault="00C102AD" w:rsidP="00B56492">
      <w:pPr>
        <w:pStyle w:val="Header"/>
        <w:tabs>
          <w:tab w:val="clear" w:pos="4536"/>
          <w:tab w:val="left" w:pos="1134"/>
        </w:tabs>
        <w:rPr>
          <w:i/>
          <w:lang w:val="de-DE"/>
        </w:rPr>
      </w:pPr>
      <w:r>
        <w:rPr>
          <w:lang w:val="de-DE"/>
        </w:rPr>
        <w:t>3GPP TSG-RAN</w:t>
      </w:r>
      <w:r w:rsidR="0019710B">
        <w:rPr>
          <w:lang w:val="de-DE"/>
        </w:rPr>
        <w:t xml:space="preserve"> WG1 #</w:t>
      </w:r>
      <w:r w:rsidR="00377FE8">
        <w:rPr>
          <w:lang w:val="de-DE"/>
        </w:rPr>
        <w:t>89</w:t>
      </w:r>
      <w:r w:rsidR="00A85E54" w:rsidRPr="000613D3">
        <w:rPr>
          <w:lang w:val="de-DE"/>
        </w:rPr>
        <w:tab/>
      </w:r>
      <w:r w:rsidR="00A85E54" w:rsidRPr="001C2F6C">
        <w:rPr>
          <w:szCs w:val="20"/>
          <w:lang w:val="de-DE"/>
        </w:rPr>
        <w:t>R1-</w:t>
      </w:r>
      <w:r>
        <w:rPr>
          <w:rFonts w:cs="Arial"/>
          <w:color w:val="000000"/>
          <w:szCs w:val="20"/>
        </w:rPr>
        <w:t>17</w:t>
      </w:r>
      <w:r w:rsidR="00612628">
        <w:rPr>
          <w:rFonts w:cs="Arial"/>
          <w:color w:val="000000"/>
          <w:szCs w:val="20"/>
        </w:rPr>
        <w:t>09056</w:t>
      </w:r>
    </w:p>
    <w:p w14:paraId="4A9AC3FA" w14:textId="706A9FF9" w:rsidR="00A85E54" w:rsidRPr="000833FA" w:rsidRDefault="00403EA7" w:rsidP="00A85E54">
      <w:pPr>
        <w:pStyle w:val="Header"/>
        <w:rPr>
          <w:color w:val="000000"/>
        </w:rPr>
      </w:pPr>
      <w:r>
        <w:t>Hanqzhou</w:t>
      </w:r>
      <w:r w:rsidR="00377FE8">
        <w:t>, China</w:t>
      </w:r>
      <w:r w:rsidR="0056282E">
        <w:t xml:space="preserve">, </w:t>
      </w:r>
      <w:r>
        <w:t>May 15 – 19</w:t>
      </w:r>
      <w:r w:rsidR="00B56492">
        <w:t>, 2017</w:t>
      </w:r>
    </w:p>
    <w:p w14:paraId="2E5D1813" w14:textId="77777777" w:rsidR="00A85E54" w:rsidRPr="000833FA" w:rsidRDefault="00A85E54" w:rsidP="00A85E54">
      <w:pPr>
        <w:pStyle w:val="Header"/>
      </w:pPr>
    </w:p>
    <w:p w14:paraId="44716AF7" w14:textId="77777777"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14:paraId="2C219ABA" w14:textId="43BDEDF4" w:rsidR="00F75F68" w:rsidRDefault="00FE5799" w:rsidP="00F86630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DB7F05">
        <w:t xml:space="preserve">On </w:t>
      </w:r>
      <w:r w:rsidR="004B2425">
        <w:t xml:space="preserve">uplink </w:t>
      </w:r>
      <w:r w:rsidR="00612628">
        <w:t>half-tone shift</w:t>
      </w:r>
    </w:p>
    <w:p w14:paraId="7344DFB9" w14:textId="2E671A86" w:rsidR="00FE5799" w:rsidRPr="00E220C0" w:rsidRDefault="00FE5799" w:rsidP="00F86630">
      <w:pPr>
        <w:pStyle w:val="Header"/>
        <w:tabs>
          <w:tab w:val="clear" w:pos="4536"/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612628">
        <w:t>7.1.8</w:t>
      </w:r>
    </w:p>
    <w:p w14:paraId="3447B1EC" w14:textId="00FD5AE4" w:rsidR="00FE5799" w:rsidRPr="0003368D" w:rsidRDefault="00FE5799" w:rsidP="00FE5799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="00DB7F05">
        <w:t>Discussion</w:t>
      </w:r>
    </w:p>
    <w:p w14:paraId="3D816BFF" w14:textId="77777777"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14:paraId="2918F77F" w14:textId="7E362D40" w:rsidR="0056282E" w:rsidRDefault="00B77CF9" w:rsidP="001C2F6C">
      <w:pPr>
        <w:pStyle w:val="Heading1"/>
        <w:spacing w:before="180"/>
        <w:ind w:left="426" w:hanging="426"/>
      </w:pPr>
      <w:r>
        <w:t>Introduction</w:t>
      </w:r>
    </w:p>
    <w:p w14:paraId="4AADB5B7" w14:textId="53E290FF" w:rsidR="00612628" w:rsidRDefault="00612628" w:rsidP="002B2537">
      <w:pPr>
        <w:pStyle w:val="BodyText"/>
      </w:pPr>
      <w:r>
        <w:t>Due to the lack of half-tone shift in the NR uplink, LTE sub-carriers will be half-tone shifted relative to NR sub-ca</w:t>
      </w:r>
      <w:r w:rsidR="003A53E4">
        <w:t>rriers, causing inter-RAT</w:t>
      </w:r>
      <w:r>
        <w:t xml:space="preserve"> interference in case of FDM between LTE and NR transmissions </w:t>
      </w:r>
      <w:r w:rsidR="003A53E4">
        <w:t xml:space="preserve">co-existing </w:t>
      </w:r>
      <w:r>
        <w:t xml:space="preserve">within a carrier. </w:t>
      </w:r>
    </w:p>
    <w:p w14:paraId="49CE0CA4" w14:textId="35E15D54" w:rsidR="00612628" w:rsidRDefault="00612628" w:rsidP="002B2537">
      <w:pPr>
        <w:pStyle w:val="BodyText"/>
      </w:pPr>
      <w:r>
        <w:t>Based on input to to RAN1 #88, three alternatives were later outlined during email discussion</w:t>
      </w:r>
      <w:r w:rsidR="003A53E4">
        <w:t>:</w:t>
      </w:r>
    </w:p>
    <w:p w14:paraId="5EAA31AA" w14:textId="11D3E147" w:rsidR="00612628" w:rsidRDefault="003A53E4" w:rsidP="00413F45">
      <w:pPr>
        <w:pStyle w:val="BodyText"/>
        <w:numPr>
          <w:ilvl w:val="0"/>
          <w:numId w:val="5"/>
        </w:numPr>
      </w:pPr>
      <w:r>
        <w:t>Alternative 1: Do nothing, i.e. rely on guardband to suppress the inter-RAT interference to</w:t>
      </w:r>
      <w:r w:rsidR="00612628">
        <w:t xml:space="preserve"> an acceptable level</w:t>
      </w:r>
    </w:p>
    <w:p w14:paraId="4F7042A7" w14:textId="45149116" w:rsidR="00612628" w:rsidRDefault="00612628" w:rsidP="00413F45">
      <w:pPr>
        <w:pStyle w:val="BodyText"/>
        <w:numPr>
          <w:ilvl w:val="0"/>
          <w:numId w:val="5"/>
        </w:numPr>
      </w:pPr>
      <w:r>
        <w:t>Alternative 2: Apply a 7.5 kHz shift at baseband for NR, thereby alig</w:t>
      </w:r>
      <w:r w:rsidR="00B87E6D">
        <w:t xml:space="preserve">ning co-existing </w:t>
      </w:r>
      <w:r>
        <w:t>LTE and NR sub-carriers</w:t>
      </w:r>
    </w:p>
    <w:p w14:paraId="605465EA" w14:textId="3250FDEE" w:rsidR="00612628" w:rsidRDefault="00612628" w:rsidP="00413F45">
      <w:pPr>
        <w:pStyle w:val="BodyText"/>
        <w:numPr>
          <w:ilvl w:val="0"/>
          <w:numId w:val="5"/>
        </w:numPr>
      </w:pPr>
      <w:r>
        <w:t xml:space="preserve">Alternative 3: Apply a 7.5 kHz shift in the </w:t>
      </w:r>
      <w:r w:rsidR="00B87E6D">
        <w:t xml:space="preserve">NR </w:t>
      </w:r>
      <w:r>
        <w:t>uplink carri</w:t>
      </w:r>
      <w:r w:rsidR="00B87E6D">
        <w:t xml:space="preserve">er raster, thereby aligning co-existing </w:t>
      </w:r>
      <w:r>
        <w:t xml:space="preserve">LTE and NR sub-carriers. </w:t>
      </w:r>
    </w:p>
    <w:p w14:paraId="2B10BAEF" w14:textId="256DEB46" w:rsidR="00B77CF9" w:rsidRDefault="00B77CF9" w:rsidP="00B77CF9">
      <w:pPr>
        <w:pStyle w:val="Heading1"/>
        <w:tabs>
          <w:tab w:val="clear" w:pos="3544"/>
        </w:tabs>
        <w:ind w:left="426" w:hanging="426"/>
      </w:pPr>
      <w:r>
        <w:t>Discussion</w:t>
      </w:r>
    </w:p>
    <w:p w14:paraId="04E7A617" w14:textId="4C8AD7F0" w:rsidR="00B77CF9" w:rsidRDefault="003A53E4" w:rsidP="00B77CF9">
      <w:pPr>
        <w:pStyle w:val="Heading2"/>
      </w:pPr>
      <w:r>
        <w:t xml:space="preserve">Is alternative </w:t>
      </w:r>
      <w:r w:rsidR="00B77CF9">
        <w:t>1 sufficient?</w:t>
      </w:r>
    </w:p>
    <w:p w14:paraId="39B16DD5" w14:textId="3CAE0690" w:rsidR="00612628" w:rsidRDefault="00B77CF9" w:rsidP="00B77CF9">
      <w:pPr>
        <w:pStyle w:val="BodyText"/>
      </w:pPr>
      <w:r>
        <w:t>A key question regarding alternative 1 is what guardbands are needed t</w:t>
      </w:r>
      <w:r w:rsidR="003A53E4">
        <w:t>o suppress the inter-RAT</w:t>
      </w:r>
      <w:r>
        <w:t xml:space="preserve"> to an acceptable level and wh</w:t>
      </w:r>
      <w:r w:rsidR="003A53E4">
        <w:t>at such an acceptable level is.</w:t>
      </w:r>
    </w:p>
    <w:p w14:paraId="4094B8BD" w14:textId="77777777" w:rsidR="00B77CF9" w:rsidRDefault="00C24B1E" w:rsidP="00B77CF9">
      <w:pPr>
        <w:pStyle w:val="BodyText"/>
      </w:pPr>
      <w:r>
        <w:t>T</w:t>
      </w:r>
      <w:r w:rsidR="00B77CF9">
        <w:t>he interference</w:t>
      </w:r>
      <w:r>
        <w:t xml:space="preserve"> between t</w:t>
      </w:r>
      <w:r w:rsidR="00B77CF9">
        <w:t>wo half-tone shifted OFDM signals with a certain guardband in between can easily be calculated, see Figure 1</w:t>
      </w:r>
    </w:p>
    <w:p w14:paraId="3F0A64EE" w14:textId="04A9C3F0" w:rsidR="00E72B45" w:rsidRDefault="00E72B45" w:rsidP="00413F45">
      <w:pPr>
        <w:pStyle w:val="BodyText"/>
        <w:numPr>
          <w:ilvl w:val="0"/>
          <w:numId w:val="4"/>
        </w:numPr>
      </w:pPr>
      <w:r>
        <w:t xml:space="preserve">The SIR is the SIR of the sub-carrier </w:t>
      </w:r>
      <w:r w:rsidR="00B77CF9">
        <w:t xml:space="preserve">of the interfered signal </w:t>
      </w:r>
      <w:r>
        <w:t>closest to the interfering signal</w:t>
      </w:r>
    </w:p>
    <w:p w14:paraId="3AED7F41" w14:textId="19975D96" w:rsidR="004E28E2" w:rsidRDefault="00E72B45" w:rsidP="00413F45">
      <w:pPr>
        <w:pStyle w:val="BodyText"/>
        <w:numPr>
          <w:ilvl w:val="0"/>
          <w:numId w:val="4"/>
        </w:numPr>
      </w:pPr>
      <w:r>
        <w:t>The two signals are assumed to arrive at the receiver with the same per-sub-carrier power</w:t>
      </w:r>
    </w:p>
    <w:p w14:paraId="2DD3CD2B" w14:textId="38F8B275" w:rsidR="00E72B45" w:rsidRDefault="00E72B45" w:rsidP="00413F45">
      <w:pPr>
        <w:pStyle w:val="BodyText"/>
        <w:numPr>
          <w:ilvl w:val="0"/>
          <w:numId w:val="4"/>
        </w:numPr>
      </w:pPr>
      <w:r>
        <w:t>The interfering signal is assumed to consist of 20 resource blocks.</w:t>
      </w:r>
    </w:p>
    <w:p w14:paraId="72F39C8F" w14:textId="4DD17846" w:rsidR="00E72B45" w:rsidRDefault="00E72B45" w:rsidP="00E72B45">
      <w:pPr>
        <w:pStyle w:val="BodyText"/>
        <w:jc w:val="center"/>
      </w:pPr>
      <w:r>
        <w:rPr>
          <w:noProof/>
        </w:rPr>
        <w:drawing>
          <wp:inline distT="0" distB="0" distL="0" distR="0" wp14:anchorId="77FFE9CC" wp14:editId="47821FEB">
            <wp:extent cx="4322445" cy="2495550"/>
            <wp:effectExtent l="0" t="0" r="1905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6D27D73C" w14:textId="7011024C" w:rsidR="00E72B45" w:rsidRDefault="00B77CF9" w:rsidP="00B77CF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1</w:t>
      </w:r>
      <w:r>
        <w:fldChar w:fldCharType="end"/>
      </w:r>
    </w:p>
    <w:p w14:paraId="131CFF0E" w14:textId="5EEE0AF9" w:rsidR="00C24B1E" w:rsidRDefault="00C24B1E" w:rsidP="002B2537">
      <w:pPr>
        <w:pStyle w:val="BodyText"/>
      </w:pPr>
      <w:r>
        <w:t xml:space="preserve">As can be seen, </w:t>
      </w:r>
    </w:p>
    <w:p w14:paraId="1687EA80" w14:textId="38E24CCE" w:rsidR="00C24B1E" w:rsidRDefault="00C24B1E" w:rsidP="00413F45">
      <w:pPr>
        <w:pStyle w:val="BodyText"/>
        <w:numPr>
          <w:ilvl w:val="0"/>
          <w:numId w:val="3"/>
        </w:numPr>
        <w:rPr>
          <w:lang w:eastAsia="ja-JP"/>
        </w:rPr>
      </w:pPr>
      <w:r>
        <w:t>A guard ban</w:t>
      </w:r>
      <w:r w:rsidR="003A53E4">
        <w:t>d of one resource block enables an SIR of more than 20 dB</w:t>
      </w:r>
    </w:p>
    <w:p w14:paraId="5B6D6029" w14:textId="45791B84" w:rsidR="00C24B1E" w:rsidRDefault="00C24B1E" w:rsidP="00413F45">
      <w:pPr>
        <w:pStyle w:val="BodyText"/>
        <w:numPr>
          <w:ilvl w:val="0"/>
          <w:numId w:val="3"/>
        </w:numPr>
        <w:rPr>
          <w:lang w:eastAsia="ja-JP"/>
        </w:rPr>
      </w:pPr>
      <w:r>
        <w:t xml:space="preserve">Additional guardbands provide relatively small </w:t>
      </w:r>
      <w:r w:rsidR="00E72B45">
        <w:t xml:space="preserve">(a few dB) </w:t>
      </w:r>
      <w:r>
        <w:t xml:space="preserve">additional gains. </w:t>
      </w:r>
    </w:p>
    <w:p w14:paraId="42FA9C76" w14:textId="0ECD28AC" w:rsidR="00C24B1E" w:rsidRDefault="00C24B1E" w:rsidP="00C24B1E">
      <w:pPr>
        <w:pStyle w:val="BodyText"/>
      </w:pPr>
      <w:r>
        <w:lastRenderedPageBreak/>
        <w:t>From this one can draw the following conclusions</w:t>
      </w:r>
    </w:p>
    <w:p w14:paraId="1FA73CEB" w14:textId="1C62D086" w:rsidR="00C24B1E" w:rsidRDefault="00C24B1E" w:rsidP="00413F45">
      <w:pPr>
        <w:pStyle w:val="BodyText"/>
        <w:numPr>
          <w:ilvl w:val="0"/>
          <w:numId w:val="3"/>
        </w:numPr>
        <w:rPr>
          <w:lang w:eastAsia="ja-JP"/>
        </w:rPr>
      </w:pPr>
      <w:r>
        <w:t>In case of low/medium target SINR (up to at least 15 dB), alternative #1 provides sufficient performance</w:t>
      </w:r>
      <w:r>
        <w:rPr>
          <w:lang w:eastAsia="ja-JP"/>
        </w:rPr>
        <w:t xml:space="preserve">, assuming that the NR and LTE </w:t>
      </w:r>
      <w:r w:rsidR="00E72B45">
        <w:rPr>
          <w:lang w:eastAsia="ja-JP"/>
        </w:rPr>
        <w:t>signals can be power controlled</w:t>
      </w:r>
      <w:r>
        <w:rPr>
          <w:lang w:eastAsia="ja-JP"/>
        </w:rPr>
        <w:t xml:space="preserve"> </w:t>
      </w:r>
      <w:r w:rsidR="00E72B45">
        <w:rPr>
          <w:lang w:eastAsia="ja-JP"/>
        </w:rPr>
        <w:t xml:space="preserve">to </w:t>
      </w:r>
      <w:r>
        <w:rPr>
          <w:lang w:eastAsia="ja-JP"/>
        </w:rPr>
        <w:t xml:space="preserve">roughly the same per-sub-carrier </w:t>
      </w:r>
      <w:r w:rsidR="00E72B45">
        <w:rPr>
          <w:lang w:eastAsia="ja-JP"/>
        </w:rPr>
        <w:t xml:space="preserve">received </w:t>
      </w:r>
      <w:r>
        <w:rPr>
          <w:lang w:eastAsia="ja-JP"/>
        </w:rPr>
        <w:t>power</w:t>
      </w:r>
      <w:r w:rsidR="00E72B45">
        <w:rPr>
          <w:lang w:eastAsia="ja-JP"/>
        </w:rPr>
        <w:t>.</w:t>
      </w:r>
    </w:p>
    <w:p w14:paraId="7C6B68AD" w14:textId="0F734F60" w:rsidR="00E72B45" w:rsidRDefault="00E72B45" w:rsidP="00413F45">
      <w:pPr>
        <w:pStyle w:val="BodyText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In case of significantly higher target SINR (for example 25 dB and above), alternative #1 would require very large guardbands</w:t>
      </w:r>
      <w:r w:rsidR="00B77CF9">
        <w:rPr>
          <w:lang w:eastAsia="ja-JP"/>
        </w:rPr>
        <w:t xml:space="preserve"> and is probably not a realistic alternative.</w:t>
      </w:r>
    </w:p>
    <w:p w14:paraId="4EA2392B" w14:textId="0DEFB7F3" w:rsidR="00EC7E64" w:rsidRPr="004B2425" w:rsidRDefault="00EC7E64" w:rsidP="00C24B1E">
      <w:pPr>
        <w:pStyle w:val="BodyText"/>
        <w:rPr>
          <w:i/>
          <w:lang w:eastAsia="ja-JP"/>
        </w:rPr>
      </w:pPr>
      <w:r w:rsidRPr="00EC7E64">
        <w:rPr>
          <w:b/>
          <w:lang w:eastAsia="ja-JP"/>
        </w:rPr>
        <w:t>Conclusion:</w:t>
      </w:r>
      <w:r>
        <w:rPr>
          <w:lang w:eastAsia="ja-JP"/>
        </w:rPr>
        <w:t xml:space="preserve"> </w:t>
      </w:r>
      <w:r w:rsidRPr="004B2425">
        <w:rPr>
          <w:i/>
          <w:lang w:eastAsia="ja-JP"/>
        </w:rPr>
        <w:t>Be</w:t>
      </w:r>
      <w:r w:rsidRPr="004B2425">
        <w:rPr>
          <w:i/>
          <w:lang w:eastAsia="ja-JP"/>
        </w:rPr>
        <w:t xml:space="preserve">tter understanding of the co-existence scenario, including what SINR is targeted, is needed in order understand </w:t>
      </w:r>
      <w:r w:rsidR="00B87E6D">
        <w:rPr>
          <w:i/>
          <w:lang w:eastAsia="ja-JP"/>
        </w:rPr>
        <w:t xml:space="preserve">of alternative </w:t>
      </w:r>
      <w:r w:rsidRPr="004B2425">
        <w:rPr>
          <w:i/>
          <w:lang w:eastAsia="ja-JP"/>
        </w:rPr>
        <w:t>1 is</w:t>
      </w:r>
      <w:r w:rsidR="00B87E6D">
        <w:rPr>
          <w:i/>
          <w:lang w:eastAsia="ja-JP"/>
        </w:rPr>
        <w:t xml:space="preserve"> sufficient</w:t>
      </w:r>
      <w:r w:rsidRPr="004B2425">
        <w:rPr>
          <w:i/>
          <w:lang w:eastAsia="ja-JP"/>
        </w:rPr>
        <w:t xml:space="preserve">. </w:t>
      </w:r>
    </w:p>
    <w:p w14:paraId="0D1F0B3A" w14:textId="2D8A2BFA" w:rsidR="00B77CF9" w:rsidRDefault="003A53E4" w:rsidP="00521DAE">
      <w:pPr>
        <w:pStyle w:val="Heading2"/>
        <w:rPr>
          <w:lang w:eastAsia="ja-JP"/>
        </w:rPr>
      </w:pPr>
      <w:r>
        <w:rPr>
          <w:lang w:eastAsia="ja-JP"/>
        </w:rPr>
        <w:t xml:space="preserve">Alternative 2 and </w:t>
      </w:r>
      <w:r w:rsidR="00B77CF9">
        <w:rPr>
          <w:lang w:eastAsia="ja-JP"/>
        </w:rPr>
        <w:t>3</w:t>
      </w:r>
    </w:p>
    <w:p w14:paraId="6A8A0245" w14:textId="0AA45150" w:rsidR="00EC7E64" w:rsidRDefault="00B87E6D" w:rsidP="00521DAE">
      <w:pPr>
        <w:pStyle w:val="BodyText"/>
        <w:rPr>
          <w:lang w:eastAsia="ja-JP"/>
        </w:rPr>
      </w:pPr>
      <w:r>
        <w:rPr>
          <w:lang w:eastAsia="ja-JP"/>
        </w:rPr>
        <w:t xml:space="preserve">Regarding alternative 2 and </w:t>
      </w:r>
      <w:r w:rsidR="00EC7E64">
        <w:rPr>
          <w:lang w:eastAsia="ja-JP"/>
        </w:rPr>
        <w:t>3 there are still some open issues:</w:t>
      </w:r>
    </w:p>
    <w:p w14:paraId="0DDEC849" w14:textId="5DCE0B0D" w:rsidR="00EC7E64" w:rsidRDefault="00EC7E64" w:rsidP="00413F45">
      <w:pPr>
        <w:pStyle w:val="BodyText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 xml:space="preserve">There seems to be a common view that the possibility for NR half-tone shift </w:t>
      </w:r>
      <w:r w:rsidR="003A53E4">
        <w:rPr>
          <w:lang w:eastAsia="ja-JP"/>
        </w:rPr>
        <w:t xml:space="preserve">(according to alt 2 or </w:t>
      </w:r>
      <w:r>
        <w:rPr>
          <w:lang w:eastAsia="ja-JP"/>
        </w:rPr>
        <w:t>3) should only apply to certain frequency bands, namely those frequency bands where co-existence with LTE is relevant/important. The question is if, in those frequency bands, half-tone shift would always be used or it if should be a configurable option.  Our assumption is that it should be a configurable option</w:t>
      </w:r>
    </w:p>
    <w:p w14:paraId="12E435AC" w14:textId="64A8ED4E" w:rsidR="00EC7E64" w:rsidRDefault="00EC7E64" w:rsidP="00413F45">
      <w:pPr>
        <w:pStyle w:val="BodyText"/>
        <w:numPr>
          <w:ilvl w:val="0"/>
          <w:numId w:val="3"/>
        </w:numPr>
        <w:rPr>
          <w:lang w:eastAsia="ja-JP"/>
        </w:rPr>
      </w:pPr>
      <w:r>
        <w:rPr>
          <w:lang w:eastAsia="ja-JP"/>
        </w:rPr>
        <w:t>LTE relies on DFTS-OFDM for uplink transmission. NR allows for DFTS-OFDM and plain (non-DFT-spread) OFDM for uplink transmission. The question is if half-tone-sift (</w:t>
      </w:r>
      <w:r w:rsidR="003A53E4">
        <w:rPr>
          <w:lang w:eastAsia="ja-JP"/>
        </w:rPr>
        <w:t xml:space="preserve">according to alternative 2 or </w:t>
      </w:r>
      <w:r>
        <w:rPr>
          <w:lang w:eastAsia="ja-JP"/>
        </w:rPr>
        <w:t>3)</w:t>
      </w:r>
      <w:r>
        <w:rPr>
          <w:lang w:eastAsia="ja-JP"/>
        </w:rPr>
        <w:t xml:space="preserve"> would only apply in the case of DFTS-OFDM or in general. Our assumption is that half-tone-shift, if configured, should apply to all uplink transmissions. </w:t>
      </w:r>
    </w:p>
    <w:p w14:paraId="50A3DDAA" w14:textId="4F1B1E58" w:rsidR="00EC7E64" w:rsidRPr="00EC7E64" w:rsidRDefault="00EC7E64" w:rsidP="00EC7E64">
      <w:pPr>
        <w:pStyle w:val="BodyText"/>
        <w:rPr>
          <w:b/>
          <w:lang w:eastAsia="ja-JP"/>
        </w:rPr>
      </w:pPr>
      <w:r w:rsidRPr="00EC7E64">
        <w:rPr>
          <w:b/>
          <w:lang w:eastAsia="ja-JP"/>
        </w:rPr>
        <w:t xml:space="preserve">Assumptions to be confirmed: </w:t>
      </w:r>
    </w:p>
    <w:p w14:paraId="5E67EB03" w14:textId="0BF049B2" w:rsidR="00EC7E64" w:rsidRPr="004B2425" w:rsidRDefault="00EC7E64" w:rsidP="00413F45">
      <w:pPr>
        <w:pStyle w:val="BodyText"/>
        <w:numPr>
          <w:ilvl w:val="0"/>
          <w:numId w:val="3"/>
        </w:numPr>
        <w:rPr>
          <w:i/>
          <w:lang w:eastAsia="ja-JP"/>
        </w:rPr>
      </w:pPr>
      <w:r w:rsidRPr="004B2425">
        <w:rPr>
          <w:i/>
          <w:lang w:eastAsia="ja-JP"/>
        </w:rPr>
        <w:t xml:space="preserve">If adopted, half-tone-shift (according to </w:t>
      </w:r>
      <w:r w:rsidR="003A53E4">
        <w:rPr>
          <w:i/>
          <w:lang w:eastAsia="ja-JP"/>
        </w:rPr>
        <w:t>alternative 2 or 3</w:t>
      </w:r>
      <w:r w:rsidRPr="004B2425">
        <w:rPr>
          <w:i/>
          <w:lang w:eastAsia="ja-JP"/>
        </w:rPr>
        <w:t>) should be a configurable option</w:t>
      </w:r>
    </w:p>
    <w:p w14:paraId="6B8F6707" w14:textId="1409C94A" w:rsidR="00EC7E64" w:rsidRDefault="00EC7E64" w:rsidP="00413F45">
      <w:pPr>
        <w:pStyle w:val="BodyText"/>
        <w:numPr>
          <w:ilvl w:val="0"/>
          <w:numId w:val="3"/>
        </w:numPr>
        <w:rPr>
          <w:i/>
          <w:lang w:eastAsia="ja-JP"/>
        </w:rPr>
      </w:pPr>
      <w:r w:rsidRPr="004B2425">
        <w:rPr>
          <w:i/>
          <w:lang w:eastAsia="ja-JP"/>
        </w:rPr>
        <w:t xml:space="preserve">If adopted and configured, NR half-tone-shift (according to alternative </w:t>
      </w:r>
      <w:r w:rsidR="003A53E4">
        <w:rPr>
          <w:i/>
          <w:lang w:eastAsia="ja-JP"/>
        </w:rPr>
        <w:t xml:space="preserve">2 or </w:t>
      </w:r>
      <w:r w:rsidRPr="004B2425">
        <w:rPr>
          <w:i/>
          <w:lang w:eastAsia="ja-JP"/>
        </w:rPr>
        <w:t xml:space="preserve">3) should apply to all uplink transmissions. </w:t>
      </w:r>
    </w:p>
    <w:p w14:paraId="3761B84F" w14:textId="2FA1C85B" w:rsidR="004B2425" w:rsidRDefault="004B2425" w:rsidP="004B2425">
      <w:pPr>
        <w:pStyle w:val="Heading1"/>
        <w:tabs>
          <w:tab w:val="clear" w:pos="3544"/>
          <w:tab w:val="num" w:pos="426"/>
        </w:tabs>
        <w:ind w:hanging="3544"/>
        <w:rPr>
          <w:lang w:eastAsia="ja-JP"/>
        </w:rPr>
      </w:pPr>
      <w:r>
        <w:rPr>
          <w:lang w:eastAsia="ja-JP"/>
        </w:rPr>
        <w:t>Summary</w:t>
      </w:r>
    </w:p>
    <w:p w14:paraId="702985A1" w14:textId="3E04D307" w:rsidR="004B2425" w:rsidRPr="004B2425" w:rsidRDefault="004B2425" w:rsidP="004B2425">
      <w:pPr>
        <w:pStyle w:val="BodyText"/>
        <w:rPr>
          <w:i/>
          <w:lang w:eastAsia="ja-JP"/>
        </w:rPr>
      </w:pPr>
      <w:r w:rsidRPr="00EC7E64">
        <w:rPr>
          <w:b/>
          <w:lang w:eastAsia="ja-JP"/>
        </w:rPr>
        <w:t>Conclusion:</w:t>
      </w:r>
      <w:r>
        <w:rPr>
          <w:lang w:eastAsia="ja-JP"/>
        </w:rPr>
        <w:t xml:space="preserve"> </w:t>
      </w:r>
      <w:r w:rsidRPr="004B2425">
        <w:rPr>
          <w:i/>
          <w:lang w:eastAsia="ja-JP"/>
        </w:rPr>
        <w:t xml:space="preserve">Better understanding of the co-existence scenario, including what SINR is targeted, is needed in order understand </w:t>
      </w:r>
      <w:r w:rsidR="00B87E6D">
        <w:rPr>
          <w:i/>
          <w:lang w:eastAsia="ja-JP"/>
        </w:rPr>
        <w:t xml:space="preserve">of alternative </w:t>
      </w:r>
      <w:r w:rsidRPr="004B2425">
        <w:rPr>
          <w:i/>
          <w:lang w:eastAsia="ja-JP"/>
        </w:rPr>
        <w:t xml:space="preserve">1 is sufficient or </w:t>
      </w:r>
      <w:r w:rsidR="00B87E6D">
        <w:rPr>
          <w:i/>
          <w:lang w:eastAsia="ja-JP"/>
        </w:rPr>
        <w:t xml:space="preserve">one of alternative </w:t>
      </w:r>
      <w:r w:rsidRPr="004B2425">
        <w:rPr>
          <w:i/>
          <w:lang w:eastAsia="ja-JP"/>
        </w:rPr>
        <w:t xml:space="preserve">2 or alternative </w:t>
      </w:r>
      <w:r w:rsidR="00B87E6D">
        <w:rPr>
          <w:i/>
          <w:lang w:eastAsia="ja-JP"/>
        </w:rPr>
        <w:t>3 should be adopted</w:t>
      </w:r>
    </w:p>
    <w:p w14:paraId="7F212F25" w14:textId="77777777" w:rsidR="00B87E6D" w:rsidRPr="00EC7E64" w:rsidRDefault="00B87E6D" w:rsidP="00B87E6D">
      <w:pPr>
        <w:pStyle w:val="BodyText"/>
        <w:rPr>
          <w:b/>
          <w:lang w:eastAsia="ja-JP"/>
        </w:rPr>
      </w:pPr>
      <w:r w:rsidRPr="00EC7E64">
        <w:rPr>
          <w:b/>
          <w:lang w:eastAsia="ja-JP"/>
        </w:rPr>
        <w:t xml:space="preserve">Assumptions to be confirmed: </w:t>
      </w:r>
    </w:p>
    <w:p w14:paraId="371A9F65" w14:textId="77777777" w:rsidR="00B87E6D" w:rsidRPr="004B2425" w:rsidRDefault="00B87E6D" w:rsidP="00413F45">
      <w:pPr>
        <w:pStyle w:val="BodyText"/>
        <w:numPr>
          <w:ilvl w:val="0"/>
          <w:numId w:val="3"/>
        </w:numPr>
        <w:rPr>
          <w:i/>
          <w:lang w:eastAsia="ja-JP"/>
        </w:rPr>
      </w:pPr>
      <w:r w:rsidRPr="004B2425">
        <w:rPr>
          <w:i/>
          <w:lang w:eastAsia="ja-JP"/>
        </w:rPr>
        <w:t xml:space="preserve">If adopted, half-tone-shift (according to </w:t>
      </w:r>
      <w:r>
        <w:rPr>
          <w:i/>
          <w:lang w:eastAsia="ja-JP"/>
        </w:rPr>
        <w:t>alternative 2 or 3</w:t>
      </w:r>
      <w:r w:rsidRPr="004B2425">
        <w:rPr>
          <w:i/>
          <w:lang w:eastAsia="ja-JP"/>
        </w:rPr>
        <w:t>) should be a configurable option</w:t>
      </w:r>
    </w:p>
    <w:p w14:paraId="1361B066" w14:textId="77777777" w:rsidR="00B87E6D" w:rsidRDefault="00B87E6D" w:rsidP="00413F45">
      <w:pPr>
        <w:pStyle w:val="BodyText"/>
        <w:numPr>
          <w:ilvl w:val="0"/>
          <w:numId w:val="3"/>
        </w:numPr>
        <w:rPr>
          <w:i/>
          <w:lang w:eastAsia="ja-JP"/>
        </w:rPr>
      </w:pPr>
      <w:r w:rsidRPr="004B2425">
        <w:rPr>
          <w:i/>
          <w:lang w:eastAsia="ja-JP"/>
        </w:rPr>
        <w:t xml:space="preserve">If adopted and configured, NR half-tone-shift (according to alternative </w:t>
      </w:r>
      <w:r>
        <w:rPr>
          <w:i/>
          <w:lang w:eastAsia="ja-JP"/>
        </w:rPr>
        <w:t xml:space="preserve">2 or </w:t>
      </w:r>
      <w:r w:rsidRPr="004B2425">
        <w:rPr>
          <w:i/>
          <w:lang w:eastAsia="ja-JP"/>
        </w:rPr>
        <w:t xml:space="preserve">3) should apply to all uplink transmissions. </w:t>
      </w:r>
    </w:p>
    <w:p w14:paraId="6C902006" w14:textId="77777777" w:rsidR="004B2425" w:rsidRPr="004B2425" w:rsidRDefault="004B2425" w:rsidP="004B2425">
      <w:pPr>
        <w:pStyle w:val="BodyText"/>
        <w:rPr>
          <w:lang w:eastAsia="ja-JP"/>
        </w:rPr>
      </w:pPr>
    </w:p>
    <w:p w14:paraId="2B860370" w14:textId="77777777" w:rsidR="004B2425" w:rsidRPr="004B2425" w:rsidRDefault="004B2425" w:rsidP="004B2425">
      <w:pPr>
        <w:pStyle w:val="BodyText"/>
        <w:rPr>
          <w:lang w:eastAsia="ja-JP"/>
        </w:rPr>
      </w:pPr>
    </w:p>
    <w:p w14:paraId="1233A37B" w14:textId="77777777" w:rsidR="00B77CF9" w:rsidRDefault="00B77CF9" w:rsidP="00C24B1E">
      <w:pPr>
        <w:pStyle w:val="BodyText"/>
        <w:rPr>
          <w:lang w:eastAsia="ja-JP"/>
        </w:rPr>
      </w:pPr>
    </w:p>
    <w:p w14:paraId="0C8B600B" w14:textId="77777777" w:rsidR="00B77CF9" w:rsidRDefault="00B77CF9" w:rsidP="00C24B1E">
      <w:pPr>
        <w:pStyle w:val="BodyText"/>
        <w:rPr>
          <w:lang w:eastAsia="ja-JP"/>
        </w:rPr>
      </w:pPr>
      <w:bookmarkStart w:id="3" w:name="_GoBack"/>
      <w:bookmarkEnd w:id="3"/>
    </w:p>
    <w:sectPr w:rsidR="00B77CF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34AD4" w14:textId="77777777" w:rsidR="00413F45" w:rsidRDefault="00413F45">
      <w:r>
        <w:separator/>
      </w:r>
    </w:p>
  </w:endnote>
  <w:endnote w:type="continuationSeparator" w:id="0">
    <w:p w14:paraId="637C5712" w14:textId="77777777" w:rsidR="00413F45" w:rsidRDefault="00413F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·s²Ó©úÅé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17498" w14:textId="77777777" w:rsidR="00413F45" w:rsidRDefault="00413F45">
      <w:r>
        <w:separator/>
      </w:r>
    </w:p>
  </w:footnote>
  <w:footnote w:type="continuationSeparator" w:id="0">
    <w:p w14:paraId="2B315055" w14:textId="77777777" w:rsidR="00413F45" w:rsidRDefault="00413F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DF0796" w14:textId="77777777" w:rsidR="004D4F57" w:rsidRDefault="00413F45" w:rsidP="00A61E6C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1E5D01"/>
    <w:multiLevelType w:val="hybridMultilevel"/>
    <w:tmpl w:val="3EFCCCF8"/>
    <w:lvl w:ilvl="0" w:tplc="C860C29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B933A7"/>
    <w:multiLevelType w:val="hybridMultilevel"/>
    <w:tmpl w:val="38348CE0"/>
    <w:lvl w:ilvl="0" w:tplc="6C0098A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3AD5845"/>
    <w:multiLevelType w:val="hybridMultilevel"/>
    <w:tmpl w:val="2F1CCE78"/>
    <w:lvl w:ilvl="0" w:tplc="FDD2F8E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799"/>
    <w:rsid w:val="000217F8"/>
    <w:rsid w:val="00022647"/>
    <w:rsid w:val="00037C51"/>
    <w:rsid w:val="0004251E"/>
    <w:rsid w:val="00043195"/>
    <w:rsid w:val="000613D3"/>
    <w:rsid w:val="000757AA"/>
    <w:rsid w:val="0007761B"/>
    <w:rsid w:val="00082643"/>
    <w:rsid w:val="000851CC"/>
    <w:rsid w:val="00085689"/>
    <w:rsid w:val="000A258F"/>
    <w:rsid w:val="000A4880"/>
    <w:rsid w:val="000A64FC"/>
    <w:rsid w:val="000B6E91"/>
    <w:rsid w:val="000C052A"/>
    <w:rsid w:val="000D1331"/>
    <w:rsid w:val="000D2A43"/>
    <w:rsid w:val="000E3C85"/>
    <w:rsid w:val="001018DF"/>
    <w:rsid w:val="00104BD3"/>
    <w:rsid w:val="0010795C"/>
    <w:rsid w:val="0011088C"/>
    <w:rsid w:val="00112E18"/>
    <w:rsid w:val="00114B6A"/>
    <w:rsid w:val="00121305"/>
    <w:rsid w:val="0012699D"/>
    <w:rsid w:val="00141448"/>
    <w:rsid w:val="001475DE"/>
    <w:rsid w:val="0015130F"/>
    <w:rsid w:val="00154097"/>
    <w:rsid w:val="00164583"/>
    <w:rsid w:val="00175D32"/>
    <w:rsid w:val="00185D0A"/>
    <w:rsid w:val="00191E60"/>
    <w:rsid w:val="0019710B"/>
    <w:rsid w:val="001B0755"/>
    <w:rsid w:val="001B4110"/>
    <w:rsid w:val="001B705B"/>
    <w:rsid w:val="001C2F6C"/>
    <w:rsid w:val="001C5CE9"/>
    <w:rsid w:val="001D1BF6"/>
    <w:rsid w:val="001E7347"/>
    <w:rsid w:val="00203B25"/>
    <w:rsid w:val="002043AF"/>
    <w:rsid w:val="0021013F"/>
    <w:rsid w:val="00214784"/>
    <w:rsid w:val="00217942"/>
    <w:rsid w:val="00230FBD"/>
    <w:rsid w:val="002420F4"/>
    <w:rsid w:val="0024539F"/>
    <w:rsid w:val="00260F3F"/>
    <w:rsid w:val="00290099"/>
    <w:rsid w:val="002A3774"/>
    <w:rsid w:val="002A6EF6"/>
    <w:rsid w:val="002B2537"/>
    <w:rsid w:val="002B70E2"/>
    <w:rsid w:val="002B7CD5"/>
    <w:rsid w:val="002D0AB6"/>
    <w:rsid w:val="002E1047"/>
    <w:rsid w:val="002E5A57"/>
    <w:rsid w:val="002E6A70"/>
    <w:rsid w:val="002F2FBB"/>
    <w:rsid w:val="002F38B3"/>
    <w:rsid w:val="00304706"/>
    <w:rsid w:val="00310B18"/>
    <w:rsid w:val="00317E78"/>
    <w:rsid w:val="00331B3F"/>
    <w:rsid w:val="00334AD3"/>
    <w:rsid w:val="00343A18"/>
    <w:rsid w:val="00350180"/>
    <w:rsid w:val="00354BB2"/>
    <w:rsid w:val="00356179"/>
    <w:rsid w:val="00361CA8"/>
    <w:rsid w:val="00370039"/>
    <w:rsid w:val="0037486E"/>
    <w:rsid w:val="00377C86"/>
    <w:rsid w:val="00377FE8"/>
    <w:rsid w:val="0038621F"/>
    <w:rsid w:val="003875A3"/>
    <w:rsid w:val="003A3E47"/>
    <w:rsid w:val="003A53E4"/>
    <w:rsid w:val="003A5E21"/>
    <w:rsid w:val="003A73EF"/>
    <w:rsid w:val="003B31CA"/>
    <w:rsid w:val="003C6C36"/>
    <w:rsid w:val="003D3B3C"/>
    <w:rsid w:val="003E3BD3"/>
    <w:rsid w:val="003E6703"/>
    <w:rsid w:val="003F70FE"/>
    <w:rsid w:val="00402486"/>
    <w:rsid w:val="00403EA7"/>
    <w:rsid w:val="004067C0"/>
    <w:rsid w:val="00407820"/>
    <w:rsid w:val="00412FAA"/>
    <w:rsid w:val="00413F45"/>
    <w:rsid w:val="004141B9"/>
    <w:rsid w:val="00422F7B"/>
    <w:rsid w:val="004430DF"/>
    <w:rsid w:val="00445E3C"/>
    <w:rsid w:val="00461897"/>
    <w:rsid w:val="00474FA7"/>
    <w:rsid w:val="00483548"/>
    <w:rsid w:val="004837C7"/>
    <w:rsid w:val="004A3F71"/>
    <w:rsid w:val="004B2425"/>
    <w:rsid w:val="004B3470"/>
    <w:rsid w:val="004B57FD"/>
    <w:rsid w:val="004B638A"/>
    <w:rsid w:val="004C321E"/>
    <w:rsid w:val="004C7205"/>
    <w:rsid w:val="004D0694"/>
    <w:rsid w:val="004E28E2"/>
    <w:rsid w:val="004E70DB"/>
    <w:rsid w:val="004F14C2"/>
    <w:rsid w:val="004F3110"/>
    <w:rsid w:val="00521DAE"/>
    <w:rsid w:val="00525831"/>
    <w:rsid w:val="00526719"/>
    <w:rsid w:val="00537B4C"/>
    <w:rsid w:val="0054164C"/>
    <w:rsid w:val="00541E43"/>
    <w:rsid w:val="0055264E"/>
    <w:rsid w:val="00557DFB"/>
    <w:rsid w:val="0056282E"/>
    <w:rsid w:val="00563652"/>
    <w:rsid w:val="00570BCE"/>
    <w:rsid w:val="00572BA4"/>
    <w:rsid w:val="00587AD2"/>
    <w:rsid w:val="00590538"/>
    <w:rsid w:val="00596C3C"/>
    <w:rsid w:val="005B370F"/>
    <w:rsid w:val="005B5A6B"/>
    <w:rsid w:val="005B7717"/>
    <w:rsid w:val="005C439D"/>
    <w:rsid w:val="005C719E"/>
    <w:rsid w:val="005D093E"/>
    <w:rsid w:val="005D0CA4"/>
    <w:rsid w:val="005D7107"/>
    <w:rsid w:val="005E2927"/>
    <w:rsid w:val="005E49BD"/>
    <w:rsid w:val="005F1EBA"/>
    <w:rsid w:val="005F7794"/>
    <w:rsid w:val="0060362B"/>
    <w:rsid w:val="00612628"/>
    <w:rsid w:val="0061336B"/>
    <w:rsid w:val="0062673F"/>
    <w:rsid w:val="00655E5F"/>
    <w:rsid w:val="00656ECC"/>
    <w:rsid w:val="006625AC"/>
    <w:rsid w:val="006640BC"/>
    <w:rsid w:val="006655B1"/>
    <w:rsid w:val="00665E2A"/>
    <w:rsid w:val="0067157B"/>
    <w:rsid w:val="006739F5"/>
    <w:rsid w:val="006767BB"/>
    <w:rsid w:val="00686E0A"/>
    <w:rsid w:val="00694DD5"/>
    <w:rsid w:val="006A08D7"/>
    <w:rsid w:val="006A286A"/>
    <w:rsid w:val="006B271B"/>
    <w:rsid w:val="006E6062"/>
    <w:rsid w:val="006F2CEF"/>
    <w:rsid w:val="006F767D"/>
    <w:rsid w:val="0071569B"/>
    <w:rsid w:val="00717877"/>
    <w:rsid w:val="007510A3"/>
    <w:rsid w:val="0075384C"/>
    <w:rsid w:val="007569CA"/>
    <w:rsid w:val="00760378"/>
    <w:rsid w:val="007659B5"/>
    <w:rsid w:val="007838B3"/>
    <w:rsid w:val="007915B5"/>
    <w:rsid w:val="007936DA"/>
    <w:rsid w:val="007A01C0"/>
    <w:rsid w:val="007C3BF4"/>
    <w:rsid w:val="007D0A41"/>
    <w:rsid w:val="007D3353"/>
    <w:rsid w:val="008075E1"/>
    <w:rsid w:val="00815566"/>
    <w:rsid w:val="00834DE7"/>
    <w:rsid w:val="0084714F"/>
    <w:rsid w:val="00850B32"/>
    <w:rsid w:val="00853D21"/>
    <w:rsid w:val="00854E84"/>
    <w:rsid w:val="00855236"/>
    <w:rsid w:val="008560E2"/>
    <w:rsid w:val="0087581E"/>
    <w:rsid w:val="008843AA"/>
    <w:rsid w:val="008920DF"/>
    <w:rsid w:val="008A0B64"/>
    <w:rsid w:val="008B23D4"/>
    <w:rsid w:val="008E31D2"/>
    <w:rsid w:val="008E46BA"/>
    <w:rsid w:val="008E546B"/>
    <w:rsid w:val="008F3547"/>
    <w:rsid w:val="008F77A7"/>
    <w:rsid w:val="0090262B"/>
    <w:rsid w:val="00906583"/>
    <w:rsid w:val="009116E9"/>
    <w:rsid w:val="0091288D"/>
    <w:rsid w:val="00920B45"/>
    <w:rsid w:val="009576EC"/>
    <w:rsid w:val="0097401A"/>
    <w:rsid w:val="00982A85"/>
    <w:rsid w:val="00987219"/>
    <w:rsid w:val="00987DD5"/>
    <w:rsid w:val="009A419A"/>
    <w:rsid w:val="009A4A26"/>
    <w:rsid w:val="009A6BB8"/>
    <w:rsid w:val="009B0E9E"/>
    <w:rsid w:val="009B2E48"/>
    <w:rsid w:val="009C2252"/>
    <w:rsid w:val="009C60EA"/>
    <w:rsid w:val="009D1F95"/>
    <w:rsid w:val="009E70EF"/>
    <w:rsid w:val="009F4079"/>
    <w:rsid w:val="00A015E4"/>
    <w:rsid w:val="00A0740C"/>
    <w:rsid w:val="00A12843"/>
    <w:rsid w:val="00A16348"/>
    <w:rsid w:val="00A16AB2"/>
    <w:rsid w:val="00A3059E"/>
    <w:rsid w:val="00A37001"/>
    <w:rsid w:val="00A41E84"/>
    <w:rsid w:val="00A47015"/>
    <w:rsid w:val="00A5293E"/>
    <w:rsid w:val="00A648DB"/>
    <w:rsid w:val="00A757B8"/>
    <w:rsid w:val="00A81AA1"/>
    <w:rsid w:val="00A85E54"/>
    <w:rsid w:val="00A85F75"/>
    <w:rsid w:val="00AA0A42"/>
    <w:rsid w:val="00AA13EF"/>
    <w:rsid w:val="00AA64B7"/>
    <w:rsid w:val="00AA7AE5"/>
    <w:rsid w:val="00AC1363"/>
    <w:rsid w:val="00AC2A5F"/>
    <w:rsid w:val="00AC6745"/>
    <w:rsid w:val="00AD3021"/>
    <w:rsid w:val="00AD6D43"/>
    <w:rsid w:val="00AE3947"/>
    <w:rsid w:val="00B00FDB"/>
    <w:rsid w:val="00B050E8"/>
    <w:rsid w:val="00B32D01"/>
    <w:rsid w:val="00B368D9"/>
    <w:rsid w:val="00B45215"/>
    <w:rsid w:val="00B51AAB"/>
    <w:rsid w:val="00B52C5F"/>
    <w:rsid w:val="00B56492"/>
    <w:rsid w:val="00B74903"/>
    <w:rsid w:val="00B74E77"/>
    <w:rsid w:val="00B77CF9"/>
    <w:rsid w:val="00B87E6D"/>
    <w:rsid w:val="00B945E6"/>
    <w:rsid w:val="00BA0759"/>
    <w:rsid w:val="00BA2CDD"/>
    <w:rsid w:val="00BA3D9B"/>
    <w:rsid w:val="00BA76BC"/>
    <w:rsid w:val="00BB0BC2"/>
    <w:rsid w:val="00BB414C"/>
    <w:rsid w:val="00BF7E13"/>
    <w:rsid w:val="00C03087"/>
    <w:rsid w:val="00C102AD"/>
    <w:rsid w:val="00C1380C"/>
    <w:rsid w:val="00C1560A"/>
    <w:rsid w:val="00C166B7"/>
    <w:rsid w:val="00C24B1E"/>
    <w:rsid w:val="00C326A6"/>
    <w:rsid w:val="00C3476C"/>
    <w:rsid w:val="00C50B3C"/>
    <w:rsid w:val="00C55346"/>
    <w:rsid w:val="00C61496"/>
    <w:rsid w:val="00C62D7A"/>
    <w:rsid w:val="00C83C8A"/>
    <w:rsid w:val="00C84699"/>
    <w:rsid w:val="00C924AF"/>
    <w:rsid w:val="00C93774"/>
    <w:rsid w:val="00CA1143"/>
    <w:rsid w:val="00CB3BFF"/>
    <w:rsid w:val="00CC6C30"/>
    <w:rsid w:val="00CD4414"/>
    <w:rsid w:val="00CE02E7"/>
    <w:rsid w:val="00CE28B2"/>
    <w:rsid w:val="00CE3B7C"/>
    <w:rsid w:val="00CF2225"/>
    <w:rsid w:val="00CF442A"/>
    <w:rsid w:val="00CF67BE"/>
    <w:rsid w:val="00D02349"/>
    <w:rsid w:val="00D02E62"/>
    <w:rsid w:val="00D03119"/>
    <w:rsid w:val="00D04257"/>
    <w:rsid w:val="00D11162"/>
    <w:rsid w:val="00D167C9"/>
    <w:rsid w:val="00D175B9"/>
    <w:rsid w:val="00D350E3"/>
    <w:rsid w:val="00D4239B"/>
    <w:rsid w:val="00D516DD"/>
    <w:rsid w:val="00D701A0"/>
    <w:rsid w:val="00D70ABE"/>
    <w:rsid w:val="00D81201"/>
    <w:rsid w:val="00D83741"/>
    <w:rsid w:val="00D85109"/>
    <w:rsid w:val="00DA110D"/>
    <w:rsid w:val="00DB17FC"/>
    <w:rsid w:val="00DB3BC8"/>
    <w:rsid w:val="00DB7F05"/>
    <w:rsid w:val="00DC085D"/>
    <w:rsid w:val="00DC4F90"/>
    <w:rsid w:val="00DD2D9D"/>
    <w:rsid w:val="00DD3E85"/>
    <w:rsid w:val="00DD4245"/>
    <w:rsid w:val="00DE3421"/>
    <w:rsid w:val="00DF334E"/>
    <w:rsid w:val="00DF79D8"/>
    <w:rsid w:val="00E0407B"/>
    <w:rsid w:val="00E10FDC"/>
    <w:rsid w:val="00E13538"/>
    <w:rsid w:val="00E14F6B"/>
    <w:rsid w:val="00E220C0"/>
    <w:rsid w:val="00E24513"/>
    <w:rsid w:val="00E25EE7"/>
    <w:rsid w:val="00E3598F"/>
    <w:rsid w:val="00E35AA8"/>
    <w:rsid w:val="00E50E52"/>
    <w:rsid w:val="00E57CED"/>
    <w:rsid w:val="00E61181"/>
    <w:rsid w:val="00E626D3"/>
    <w:rsid w:val="00E63D88"/>
    <w:rsid w:val="00E6536F"/>
    <w:rsid w:val="00E72B45"/>
    <w:rsid w:val="00E83054"/>
    <w:rsid w:val="00EA148A"/>
    <w:rsid w:val="00EA172F"/>
    <w:rsid w:val="00EA1984"/>
    <w:rsid w:val="00EC53CE"/>
    <w:rsid w:val="00EC7E64"/>
    <w:rsid w:val="00ED3DEE"/>
    <w:rsid w:val="00EF64E2"/>
    <w:rsid w:val="00F21365"/>
    <w:rsid w:val="00F26E7B"/>
    <w:rsid w:val="00F37D49"/>
    <w:rsid w:val="00F44415"/>
    <w:rsid w:val="00F55090"/>
    <w:rsid w:val="00F62DBB"/>
    <w:rsid w:val="00F64A78"/>
    <w:rsid w:val="00F65B10"/>
    <w:rsid w:val="00F66F0D"/>
    <w:rsid w:val="00F75F68"/>
    <w:rsid w:val="00F86630"/>
    <w:rsid w:val="00FA229C"/>
    <w:rsid w:val="00FA25DB"/>
    <w:rsid w:val="00FA4C4C"/>
    <w:rsid w:val="00FB04C4"/>
    <w:rsid w:val="00FD6BED"/>
    <w:rsid w:val="00FE2171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5196"/>
  <w15:docId w15:val="{E41673D2-56E6-4554-89D6-0CC42AC9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DB3BC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tabs>
        <w:tab w:val="clear" w:pos="567"/>
        <w:tab w:val="num" w:pos="3544"/>
      </w:tabs>
      <w:spacing w:before="240" w:after="60"/>
      <w:ind w:left="3544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  <w:style w:type="character" w:styleId="CommentReference">
    <w:name w:val="annotation reference"/>
    <w:semiHidden/>
    <w:rsid w:val="0061336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1336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szCs w:val="20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61336B"/>
    <w:rPr>
      <w:rFonts w:ascii="Arial" w:eastAsiaTheme="minorEastAsia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3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36B"/>
    <w:rPr>
      <w:rFonts w:ascii="Tahoma" w:eastAsia="Times New Roman" w:hAnsi="Tahoma" w:cs="Tahoma"/>
      <w:sz w:val="16"/>
      <w:szCs w:val="16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32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="Times New Roman" w:hAnsi="Times New Roman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32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paragraph" w:styleId="Caption">
    <w:name w:val="caption"/>
    <w:basedOn w:val="Normal"/>
    <w:next w:val="Normal"/>
    <w:uiPriority w:val="35"/>
    <w:unhideWhenUsed/>
    <w:qFormat/>
    <w:rsid w:val="00037C51"/>
    <w:pPr>
      <w:spacing w:after="200"/>
    </w:pPr>
    <w:rPr>
      <w:b/>
      <w:b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BA76B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282E"/>
    <w:rPr>
      <w:color w:val="808080"/>
    </w:rPr>
  </w:style>
  <w:style w:type="paragraph" w:customStyle="1" w:styleId="Reference">
    <w:name w:val="Reference"/>
    <w:basedOn w:val="Normal"/>
    <w:link w:val="ReferenceChar"/>
    <w:rsid w:val="008920DF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  <w:lang w:val="en-GB" w:eastAsia="zh-CN"/>
    </w:rPr>
  </w:style>
  <w:style w:type="character" w:customStyle="1" w:styleId="ReferenceChar">
    <w:name w:val="Reference Char"/>
    <w:link w:val="Reference"/>
    <w:rsid w:val="008920DF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2486"/>
    <w:rPr>
      <w:rFonts w:asciiTheme="minorHAnsi" w:eastAsiaTheme="minorHAnsi" w:hAnsiTheme="minorHAnsi" w:cstheme="minorBidi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2486"/>
    <w:rPr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02486"/>
    <w:rPr>
      <w:vertAlign w:val="superscript"/>
    </w:rPr>
  </w:style>
  <w:style w:type="table" w:styleId="TableGrid">
    <w:name w:val="Table Grid"/>
    <w:basedOn w:val="TableNormal"/>
    <w:uiPriority w:val="59"/>
    <w:rsid w:val="00461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2F38B3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215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21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452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smoothMarker"/>
        <c:varyColors val="0"/>
        <c:ser>
          <c:idx val="0"/>
          <c:order val="0"/>
          <c:spPr>
            <a:ln w="19050" cap="rnd">
              <a:solidFill>
                <a:schemeClr val="accent1"/>
              </a:solidFill>
              <a:prstDash val="dash"/>
              <a:round/>
            </a:ln>
            <a:effectLst/>
          </c:spPr>
          <c:marker>
            <c:symbol val="circle"/>
            <c:size val="9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Sheet2!$B$3:$J$3</c:f>
              <c:numCache>
                <c:formatCode>General</c:formatCode>
                <c:ptCount val="9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</c:numCache>
            </c:numRef>
          </c:xVal>
          <c:yVal>
            <c:numRef>
              <c:f>Sheet2!$B$4:$J$4</c:f>
              <c:numCache>
                <c:formatCode>General</c:formatCode>
                <c:ptCount val="9"/>
                <c:pt idx="0">
                  <c:v>3.0139684361913215</c:v>
                </c:pt>
                <c:pt idx="1">
                  <c:v>20.949335981096123</c:v>
                </c:pt>
                <c:pt idx="2">
                  <c:v>24.159726990287758</c:v>
                </c:pt>
                <c:pt idx="3">
                  <c:v>26.113321218695052</c:v>
                </c:pt>
                <c:pt idx="4">
                  <c:v>27.547409886748483</c:v>
                </c:pt>
                <c:pt idx="5">
                  <c:v>28.693734735979</c:v>
                </c:pt>
                <c:pt idx="6">
                  <c:v>29.655845577976216</c:v>
                </c:pt>
                <c:pt idx="7">
                  <c:v>30.489196033285197</c:v>
                </c:pt>
                <c:pt idx="8">
                  <c:v>31.227043834985832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4617-4051-807A-46D58F2D0C2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45699664"/>
        <c:axId val="445700976"/>
      </c:scatterChart>
      <c:valAx>
        <c:axId val="4456996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500" b="1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500" b="1" i="0" baseline="0"/>
                  <a:t>Guard bands [reseource blocks]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500" b="1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5700976"/>
        <c:crosses val="autoZero"/>
        <c:crossBetween val="midCat"/>
      </c:valAx>
      <c:valAx>
        <c:axId val="4457009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500" b="1" i="0" baseline="0"/>
                  <a:t>SIR [dB]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569966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5596C-590B-4F59-8B8D-938C82755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Discussion</vt:lpstr>
      <vt:lpstr>    Is alternative 1 sufficient?</vt:lpstr>
      <vt:lpstr>    Alternative 2 and 3</vt:lpstr>
      <vt:lpstr>Summary</vt:lpstr>
    </vt:vector>
  </TitlesOfParts>
  <Company>Ericsson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Stefan Parkvall</dc:creator>
  <cp:lastModifiedBy>Erik Dahlman</cp:lastModifiedBy>
  <cp:revision>4</cp:revision>
  <cp:lastPrinted>2017-05-05T14:56:00Z</cp:lastPrinted>
  <dcterms:created xsi:type="dcterms:W3CDTF">2017-05-06T23:08:00Z</dcterms:created>
  <dcterms:modified xsi:type="dcterms:W3CDTF">2017-05-06T23:43:00Z</dcterms:modified>
</cp:coreProperties>
</file>