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1E07A1E2"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5932FD" w:rsidRPr="005932FD">
        <w:t>1708709</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3D75115" w:rsidR="00E90E49" w:rsidRPr="00327997" w:rsidRDefault="003D3C45" w:rsidP="00327997">
      <w:pPr>
        <w:pStyle w:val="3GPPHeader"/>
      </w:pPr>
      <w:r w:rsidRPr="005932FD">
        <w:t>Title:</w:t>
      </w:r>
      <w:r w:rsidR="00E90E49" w:rsidRPr="005932FD">
        <w:tab/>
      </w:r>
      <w:r w:rsidR="00AE4D0B" w:rsidRPr="005932FD">
        <w:t xml:space="preserve">SRS Design  </w:t>
      </w:r>
    </w:p>
    <w:p w14:paraId="2D554DE3" w14:textId="62E487CF" w:rsidR="00952A24" w:rsidRPr="00327997" w:rsidRDefault="00952A24" w:rsidP="00327997">
      <w:pPr>
        <w:pStyle w:val="3GPPHeader"/>
      </w:pPr>
      <w:r w:rsidRPr="00327997">
        <w:t>Agenda Item:</w:t>
      </w:r>
      <w:r w:rsidRPr="00327997">
        <w:tab/>
      </w:r>
      <w:r w:rsidR="00AE4D0B" w:rsidRPr="00C9314E">
        <w:t>7.1.2.4.4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297FF7E4" w:rsidR="00BF7642" w:rsidRPr="00E9149C" w:rsidRDefault="00E64B80" w:rsidP="00BF7642">
      <w:pPr>
        <w:pStyle w:val="BodyText"/>
      </w:pPr>
      <w:r>
        <w:t xml:space="preserve">In </w:t>
      </w:r>
      <w:r w:rsidR="00E83BCF">
        <w:t>previous meetings</w:t>
      </w:r>
      <w:r w:rsidR="00BF7642">
        <w:t>, the following agreement</w:t>
      </w:r>
      <w:r w:rsidR="00E83BCF">
        <w:t>s</w:t>
      </w:r>
      <w:r w:rsidR="00BF7642">
        <w:t xml:space="preserve"> </w:t>
      </w:r>
      <w:r w:rsidR="00E83BCF">
        <w:t xml:space="preserve">were </w:t>
      </w:r>
      <w:r w:rsidR="00BF7642">
        <w:t>made:</w:t>
      </w:r>
    </w:p>
    <w:p w14:paraId="4C3FF875" w14:textId="77777777" w:rsidR="00BF7642" w:rsidRDefault="00BF7642" w:rsidP="00BF7642">
      <w:pPr>
        <w:pStyle w:val="BodyText"/>
      </w:pPr>
      <w:r>
        <w:rPr>
          <w:noProof/>
          <w:lang w:val="sv-SE"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B15A67" w14:textId="7F8D5FE2" w:rsidR="005B4A74" w:rsidRPr="00D91FAF" w:rsidRDefault="005B4A74" w:rsidP="00D91FAF">
                            <w:pPr>
                              <w:numPr>
                                <w:ilvl w:val="0"/>
                                <w:numId w:val="16"/>
                              </w:numPr>
                              <w:spacing w:after="0"/>
                              <w:rPr>
                                <w:rFonts w:eastAsia="MS Mincho"/>
                                <w:sz w:val="16"/>
                                <w:lang w:val="sv-SE"/>
                              </w:rPr>
                            </w:pPr>
                            <w:r w:rsidRPr="005B28C4">
                              <w:rPr>
                                <w:rFonts w:eastAsia="MS Mincho"/>
                                <w:sz w:val="16"/>
                                <w:highlight w:val="green"/>
                                <w:lang w:val="en-US"/>
                              </w:rPr>
                              <w:t>Agreement 1</w:t>
                            </w:r>
                            <w:r w:rsidRPr="00D91FAF">
                              <w:rPr>
                                <w:rFonts w:eastAsia="MS Mincho"/>
                                <w:sz w:val="16"/>
                                <w:lang w:val="en-US"/>
                              </w:rPr>
                              <w:t>:</w:t>
                            </w:r>
                          </w:p>
                          <w:p w14:paraId="6DE611F5"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NR supports both Alt. 1 and Alt. 2 as TX beamformer determination for SRS from previous agreement.</w:t>
                            </w:r>
                          </w:p>
                          <w:p w14:paraId="2E4BDD77"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Alt.1: UE applies gNB-transparent Tx beamformer to SRS (e.g., UE determines Tx beam for each SRS port/resource)</w:t>
                            </w:r>
                          </w:p>
                          <w:p w14:paraId="2F7BE2A4"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Alt.2: based on gNB indication, e.g. via SRI</w:t>
                            </w:r>
                          </w:p>
                          <w:p w14:paraId="3EB28133" w14:textId="6DA45576" w:rsidR="005B4A74" w:rsidRPr="00D91FAF" w:rsidRDefault="005B4A74" w:rsidP="00D91FAF">
                            <w:pPr>
                              <w:numPr>
                                <w:ilvl w:val="0"/>
                                <w:numId w:val="16"/>
                              </w:numPr>
                              <w:spacing w:after="0"/>
                              <w:rPr>
                                <w:rFonts w:eastAsia="MS Mincho"/>
                                <w:sz w:val="16"/>
                                <w:lang w:val="sv-SE"/>
                              </w:rPr>
                            </w:pPr>
                            <w:r w:rsidRPr="005B28C4">
                              <w:rPr>
                                <w:rFonts w:eastAsia="MS Mincho"/>
                                <w:sz w:val="16"/>
                                <w:highlight w:val="green"/>
                                <w:lang w:val="en-US"/>
                              </w:rPr>
                              <w:t>Agreement 2</w:t>
                            </w:r>
                            <w:r w:rsidRPr="00D91FAF">
                              <w:rPr>
                                <w:rFonts w:eastAsia="MS Mincho"/>
                                <w:sz w:val="16"/>
                                <w:lang w:val="en-US"/>
                              </w:rPr>
                              <w:t>:</w:t>
                            </w:r>
                          </w:p>
                          <w:p w14:paraId="61135046"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In NR, for SRS based UL-MIMO precoding for data scheduling, FFS the following aspects especially related to potential signaling impact:</w:t>
                            </w:r>
                          </w:p>
                          <w:p w14:paraId="3CFB89F6"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 xml:space="preserve">Single SRS resource based </w:t>
                            </w:r>
                          </w:p>
                          <w:p w14:paraId="18E877DD"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 xml:space="preserve">Multiple SRS resource based </w:t>
                            </w:r>
                          </w:p>
                          <w:p w14:paraId="294B166E"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Multi-step acquisition, e.g., involving a mixture of single SRS resource and multiple SRS resource based, or using multiple SRS resource only, etc.</w:t>
                            </w:r>
                          </w:p>
                          <w:p w14:paraId="40A835D4" w14:textId="546F9384" w:rsidR="005B4A74" w:rsidRPr="00AB5954" w:rsidRDefault="005B4A74" w:rsidP="00D91FAF">
                            <w:pPr>
                              <w:numPr>
                                <w:ilvl w:val="0"/>
                                <w:numId w:val="16"/>
                              </w:numPr>
                              <w:spacing w:after="0"/>
                              <w:rPr>
                                <w:rFonts w:eastAsia="MS Mincho"/>
                                <w:sz w:val="16"/>
                                <w:lang w:val="sv-SE"/>
                              </w:rPr>
                            </w:pPr>
                            <w:r w:rsidRPr="00AB5954">
                              <w:rPr>
                                <w:rFonts w:eastAsia="MS Mincho"/>
                                <w:sz w:val="16"/>
                                <w:highlight w:val="green"/>
                                <w:lang w:val="en-US"/>
                              </w:rPr>
                              <w:t>Agreement</w:t>
                            </w:r>
                            <w:r>
                              <w:rPr>
                                <w:rFonts w:eastAsia="MS Mincho"/>
                                <w:sz w:val="16"/>
                                <w:highlight w:val="green"/>
                                <w:lang w:val="en-US"/>
                              </w:rPr>
                              <w:t xml:space="preserve"> 3</w:t>
                            </w:r>
                            <w:r w:rsidRPr="00AB5954">
                              <w:rPr>
                                <w:rFonts w:eastAsia="MS Mincho"/>
                                <w:sz w:val="16"/>
                                <w:lang w:val="en-US"/>
                              </w:rPr>
                              <w:t>:</w:t>
                            </w:r>
                          </w:p>
                          <w:p w14:paraId="1025E4E1"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 xml:space="preserve">NR considers SRS transmissions with sequences achieving low-PAPR and possible multiplexing of SRS with different SRS bandwidths in the same symbol </w:t>
                            </w:r>
                          </w:p>
                          <w:p w14:paraId="18CA3D91"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details</w:t>
                            </w:r>
                          </w:p>
                          <w:p w14:paraId="21A8B580"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NR supports frequency hopping within a partial-band for a UE</w:t>
                            </w:r>
                          </w:p>
                          <w:p w14:paraId="6047B076"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At least hopping with a granularity of subband</w:t>
                            </w:r>
                          </w:p>
                          <w:p w14:paraId="39498B37"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other cases</w:t>
                            </w:r>
                          </w:p>
                          <w:p w14:paraId="556E897B"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SRS hopping among partial-bands</w:t>
                            </w:r>
                          </w:p>
                          <w:p w14:paraId="0C9D1EFC" w14:textId="577B0E56" w:rsidR="005B4A74" w:rsidRPr="00AB5954" w:rsidRDefault="005B4A74" w:rsidP="00D91FAF">
                            <w:pPr>
                              <w:numPr>
                                <w:ilvl w:val="0"/>
                                <w:numId w:val="16"/>
                              </w:numPr>
                              <w:spacing w:after="0"/>
                              <w:rPr>
                                <w:rFonts w:eastAsia="MS Mincho"/>
                                <w:sz w:val="16"/>
                                <w:lang w:val="sv-SE"/>
                              </w:rPr>
                            </w:pPr>
                            <w:r w:rsidRPr="00AB5954">
                              <w:rPr>
                                <w:rFonts w:eastAsia="MS Mincho"/>
                                <w:sz w:val="16"/>
                                <w:highlight w:val="green"/>
                                <w:lang w:val="en-US"/>
                              </w:rPr>
                              <w:t>Agreement</w:t>
                            </w:r>
                            <w:r>
                              <w:rPr>
                                <w:rFonts w:eastAsia="MS Mincho"/>
                                <w:sz w:val="16"/>
                                <w:highlight w:val="green"/>
                                <w:lang w:val="en-US"/>
                              </w:rPr>
                              <w:t xml:space="preserve"> 4</w:t>
                            </w:r>
                            <w:r w:rsidRPr="00AB5954">
                              <w:rPr>
                                <w:rFonts w:eastAsia="MS Mincho"/>
                                <w:sz w:val="16"/>
                                <w:lang w:val="en-US"/>
                              </w:rPr>
                              <w:t>:</w:t>
                            </w:r>
                          </w:p>
                          <w:p w14:paraId="02BA6139"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Support configurable SRS sequence ID by UE specific configuration if SRS sequence ID is supported</w:t>
                            </w:r>
                          </w:p>
                          <w:p w14:paraId="4330799C"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 xml:space="preserve">Configuration examples: </w:t>
                            </w:r>
                          </w:p>
                          <w:p w14:paraId="35B62E77"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 xml:space="preserve">higher layer </w:t>
                            </w:r>
                          </w:p>
                          <w:p w14:paraId="29215F14"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high layer + L1 signalling, If hierarchical indication of SRS sequence ID is supported, (example: base sequence ID and/or phase rotation ID)</w:t>
                            </w:r>
                          </w:p>
                          <w:p w14:paraId="7EDF504A" w14:textId="26E1DBDA" w:rsidR="005B4A74" w:rsidRPr="00AB5954" w:rsidRDefault="005B4A74" w:rsidP="00D91FAF">
                            <w:pPr>
                              <w:numPr>
                                <w:ilvl w:val="0"/>
                                <w:numId w:val="16"/>
                              </w:numPr>
                              <w:spacing w:after="0"/>
                              <w:rPr>
                                <w:rFonts w:eastAsia="MS Mincho"/>
                                <w:sz w:val="16"/>
                                <w:lang w:val="sv-SE"/>
                              </w:rPr>
                            </w:pPr>
                            <w:r w:rsidRPr="00AB5954">
                              <w:rPr>
                                <w:rFonts w:eastAsia="MS Mincho"/>
                                <w:sz w:val="16"/>
                                <w:highlight w:val="green"/>
                                <w:lang w:val="en-US"/>
                              </w:rPr>
                              <w:t>Agreement</w:t>
                            </w:r>
                            <w:r>
                              <w:rPr>
                                <w:rFonts w:eastAsia="MS Mincho"/>
                                <w:sz w:val="16"/>
                                <w:highlight w:val="green"/>
                                <w:lang w:val="en-US"/>
                              </w:rPr>
                              <w:t xml:space="preserve"> 5</w:t>
                            </w:r>
                            <w:r w:rsidRPr="00AB5954">
                              <w:rPr>
                                <w:rFonts w:eastAsia="MS Mincho"/>
                                <w:sz w:val="16"/>
                                <w:lang w:val="en-US"/>
                              </w:rPr>
                              <w:t>:</w:t>
                            </w:r>
                          </w:p>
                          <w:p w14:paraId="58181134"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NR supports aperiodic SRS triggering field in DCI.</w:t>
                            </w:r>
                          </w:p>
                          <w:p w14:paraId="2E58EE81"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 xml:space="preserve">Supports at least one state of the field that can select at least one out of the configured SRS resources. </w:t>
                            </w:r>
                          </w:p>
                          <w:p w14:paraId="24C292F2"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details</w:t>
                            </w:r>
                          </w:p>
                          <w:p w14:paraId="578C1DB6" w14:textId="41BBEF2B" w:rsidR="005B4A74" w:rsidRPr="00AB5954" w:rsidRDefault="005B4A74" w:rsidP="00D91FAF">
                            <w:pPr>
                              <w:numPr>
                                <w:ilvl w:val="0"/>
                                <w:numId w:val="16"/>
                              </w:numPr>
                              <w:spacing w:after="0"/>
                              <w:rPr>
                                <w:rFonts w:eastAsia="MS Mincho"/>
                                <w:sz w:val="16"/>
                                <w:lang w:val="sv-SE"/>
                              </w:rPr>
                            </w:pPr>
                            <w:r w:rsidRPr="00AB5954">
                              <w:rPr>
                                <w:rFonts w:eastAsia="MS Mincho"/>
                                <w:sz w:val="16"/>
                                <w:highlight w:val="green"/>
                                <w:lang w:val="en-US"/>
                              </w:rPr>
                              <w:t>Agreement</w:t>
                            </w:r>
                            <w:r>
                              <w:rPr>
                                <w:rFonts w:eastAsia="MS Mincho"/>
                                <w:sz w:val="16"/>
                                <w:highlight w:val="green"/>
                                <w:lang w:val="en-US"/>
                              </w:rPr>
                              <w:t xml:space="preserve"> 6</w:t>
                            </w:r>
                            <w:r w:rsidRPr="00AB5954">
                              <w:rPr>
                                <w:rFonts w:eastAsia="MS Mincho"/>
                                <w:sz w:val="16"/>
                                <w:lang w:val="en-US"/>
                              </w:rPr>
                              <w:t>:</w:t>
                            </w:r>
                          </w:p>
                          <w:p w14:paraId="355CBA1E"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Scheduling SRS resources to multiple UEs where the resources have full and/or partial overlap of SRS time-frequency resources (REs) is supported, where</w:t>
                            </w:r>
                          </w:p>
                          <w:p w14:paraId="415CD30F"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The multiple SRS resources can share the same root sequence values in the overlapping REs to allow for low or zero mutual cross-correlation</w:t>
                            </w:r>
                          </w:p>
                          <w:p w14:paraId="2119CF34"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Minimum overlap granularity to ensure zero cross-correlation</w:t>
                            </w:r>
                          </w:p>
                          <w:p w14:paraId="762EAED1"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Detailed sequence design taking into account at least Cubic Metric, PAPR, and cross-correlation properties amongst overlapping SRS resources</w:t>
                            </w:r>
                          </w:p>
                          <w:p w14:paraId="77F57937" w14:textId="61D32E91" w:rsidR="005B4A74" w:rsidRPr="00AB5954" w:rsidRDefault="005B4A74" w:rsidP="00D91FAF">
                            <w:pPr>
                              <w:numPr>
                                <w:ilvl w:val="0"/>
                                <w:numId w:val="16"/>
                              </w:numPr>
                              <w:spacing w:after="0"/>
                              <w:rPr>
                                <w:rFonts w:eastAsia="MS Mincho"/>
                                <w:sz w:val="16"/>
                                <w:lang w:val="sv-SE"/>
                              </w:rPr>
                            </w:pPr>
                            <w:r w:rsidRPr="00AB5954">
                              <w:rPr>
                                <w:rFonts w:eastAsia="MS Mincho"/>
                                <w:sz w:val="16"/>
                                <w:highlight w:val="green"/>
                                <w:lang w:val="en-US"/>
                              </w:rPr>
                              <w:t>Agreement</w:t>
                            </w:r>
                            <w:r>
                              <w:rPr>
                                <w:rFonts w:eastAsia="MS Mincho"/>
                                <w:sz w:val="16"/>
                                <w:highlight w:val="green"/>
                                <w:lang w:val="en-US"/>
                              </w:rPr>
                              <w:t xml:space="preserve"> 7</w:t>
                            </w:r>
                            <w:r w:rsidRPr="00AB5954">
                              <w:rPr>
                                <w:rFonts w:eastAsia="MS Mincho"/>
                                <w:sz w:val="16"/>
                                <w:lang w:val="en-US"/>
                              </w:rPr>
                              <w:t>:</w:t>
                            </w:r>
                          </w:p>
                          <w:p w14:paraId="1F382566"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A UE can be configured with an X-port SRS resource, where the SRS resource spans one or multiple OFDM symbols within a single slot</w:t>
                            </w:r>
                          </w:p>
                          <w:p w14:paraId="47FF7B9E"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where all of the X SRS ports are sounded in each OFDM symbol</w:t>
                            </w:r>
                          </w:p>
                          <w:p w14:paraId="2F3633C4"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at least for the purposes of CSI acquisition:</w:t>
                            </w:r>
                          </w:p>
                          <w:p w14:paraId="4D6CB819"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a multi-symbol SRS resource can be configured such that the X SRS ports in each OFDM symbol are transmitted in different locations of the band in different OFDM symbols in the slot in a frequency hopping manner</w:t>
                            </w:r>
                          </w:p>
                          <w:p w14:paraId="5EDF8560"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Note: This allows sounding a larger part of (or the full) UE bandwidth using narrower band SRS transmissions</w:t>
                            </w:r>
                          </w:p>
                          <w:p w14:paraId="400C9C1A"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Note: at any OFDM symbol, all X ports are sounded in the same portion of the band</w:t>
                            </w:r>
                          </w:p>
                          <w:p w14:paraId="3ECD5E52"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Note: Consider UE RF implementation aspects on SRS design that may place constraints on the design of the symbol-wise hopping pattern</w:t>
                            </w:r>
                          </w:p>
                          <w:p w14:paraId="7FA05B3E" w14:textId="7DAE6ABB" w:rsidR="005B4A74" w:rsidRPr="00E83BCF" w:rsidRDefault="005B4A74" w:rsidP="00D91FAF">
                            <w:pPr>
                              <w:numPr>
                                <w:ilvl w:val="1"/>
                                <w:numId w:val="16"/>
                              </w:numPr>
                              <w:spacing w:after="0"/>
                              <w:rPr>
                                <w:rFonts w:eastAsia="MS Mincho"/>
                                <w:lang w:val="en-US"/>
                              </w:rPr>
                            </w:pPr>
                            <w:r w:rsidRPr="00AB5954">
                              <w:rPr>
                                <w:rFonts w:eastAsia="MS Mincho"/>
                                <w:sz w:val="16"/>
                                <w:lang w:val="en-US"/>
                              </w:rPr>
                              <w:t>e.g., Required time for frequency re-tuning (if re-tuning needed) or transient period if re-tuning is not needed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BB15A67" w14:textId="7F8D5FE2" w:rsidR="005B4A74" w:rsidRPr="00D91FAF" w:rsidRDefault="005B4A74" w:rsidP="00D91FAF">
                      <w:pPr>
                        <w:numPr>
                          <w:ilvl w:val="0"/>
                          <w:numId w:val="16"/>
                        </w:numPr>
                        <w:spacing w:after="0"/>
                        <w:rPr>
                          <w:rFonts w:eastAsia="MS Mincho"/>
                          <w:sz w:val="16"/>
                          <w:lang w:val="sv-SE"/>
                        </w:rPr>
                      </w:pPr>
                      <w:r w:rsidRPr="005B28C4">
                        <w:rPr>
                          <w:rFonts w:eastAsia="MS Mincho"/>
                          <w:sz w:val="16"/>
                          <w:highlight w:val="green"/>
                          <w:lang w:val="en-US"/>
                        </w:rPr>
                        <w:t>Agreement 1</w:t>
                      </w:r>
                      <w:r w:rsidRPr="00D91FAF">
                        <w:rPr>
                          <w:rFonts w:eastAsia="MS Mincho"/>
                          <w:sz w:val="16"/>
                          <w:lang w:val="en-US"/>
                        </w:rPr>
                        <w:t>:</w:t>
                      </w:r>
                    </w:p>
                    <w:p w14:paraId="6DE611F5"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NR supports both Alt. 1 and Alt. 2 as TX beamformer determination for SRS from previous agreement.</w:t>
                      </w:r>
                    </w:p>
                    <w:p w14:paraId="2E4BDD77"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Alt.1: UE applies gNB-transparent Tx beamformer to SRS (e.g., UE determines Tx beam for each SRS port/resource)</w:t>
                      </w:r>
                    </w:p>
                    <w:p w14:paraId="2F7BE2A4"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Alt.2: based on gNB indication, e.g. via SRI</w:t>
                      </w:r>
                    </w:p>
                    <w:p w14:paraId="3EB28133" w14:textId="6DA45576" w:rsidR="005B4A74" w:rsidRPr="00D91FAF" w:rsidRDefault="005B4A74" w:rsidP="00D91FAF">
                      <w:pPr>
                        <w:numPr>
                          <w:ilvl w:val="0"/>
                          <w:numId w:val="16"/>
                        </w:numPr>
                        <w:spacing w:after="0"/>
                        <w:rPr>
                          <w:rFonts w:eastAsia="MS Mincho"/>
                          <w:sz w:val="16"/>
                          <w:lang w:val="sv-SE"/>
                        </w:rPr>
                      </w:pPr>
                      <w:r w:rsidRPr="005B28C4">
                        <w:rPr>
                          <w:rFonts w:eastAsia="MS Mincho"/>
                          <w:sz w:val="16"/>
                          <w:highlight w:val="green"/>
                          <w:lang w:val="en-US"/>
                        </w:rPr>
                        <w:t>Agreement 2</w:t>
                      </w:r>
                      <w:r w:rsidRPr="00D91FAF">
                        <w:rPr>
                          <w:rFonts w:eastAsia="MS Mincho"/>
                          <w:sz w:val="16"/>
                          <w:lang w:val="en-US"/>
                        </w:rPr>
                        <w:t>:</w:t>
                      </w:r>
                    </w:p>
                    <w:p w14:paraId="61135046"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In NR, for SRS based UL-MIMO precoding for data scheduling, FFS the following aspects especially related to potential signaling impact:</w:t>
                      </w:r>
                    </w:p>
                    <w:p w14:paraId="3CFB89F6"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 xml:space="preserve">Single SRS resource based </w:t>
                      </w:r>
                    </w:p>
                    <w:p w14:paraId="18E877DD"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 xml:space="preserve">Multiple SRS resource based </w:t>
                      </w:r>
                    </w:p>
                    <w:p w14:paraId="294B166E"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Multi-step acquisition, e.g., involving a mixture of single SRS resource and multiple SRS resource based, or using multiple SRS resource only, etc.</w:t>
                      </w:r>
                    </w:p>
                    <w:p w14:paraId="40A835D4" w14:textId="546F9384" w:rsidR="005B4A74" w:rsidRPr="00AB5954" w:rsidRDefault="005B4A74" w:rsidP="00D91FAF">
                      <w:pPr>
                        <w:numPr>
                          <w:ilvl w:val="0"/>
                          <w:numId w:val="16"/>
                        </w:numPr>
                        <w:spacing w:after="0"/>
                        <w:rPr>
                          <w:rFonts w:eastAsia="MS Mincho"/>
                          <w:sz w:val="16"/>
                          <w:lang w:val="sv-SE"/>
                        </w:rPr>
                      </w:pPr>
                      <w:r w:rsidRPr="00AB5954">
                        <w:rPr>
                          <w:rFonts w:eastAsia="MS Mincho"/>
                          <w:sz w:val="16"/>
                          <w:highlight w:val="green"/>
                          <w:lang w:val="en-US"/>
                        </w:rPr>
                        <w:t>Agreement</w:t>
                      </w:r>
                      <w:r>
                        <w:rPr>
                          <w:rFonts w:eastAsia="MS Mincho"/>
                          <w:sz w:val="16"/>
                          <w:highlight w:val="green"/>
                          <w:lang w:val="en-US"/>
                        </w:rPr>
                        <w:t xml:space="preserve"> 3</w:t>
                      </w:r>
                      <w:r w:rsidRPr="00AB5954">
                        <w:rPr>
                          <w:rFonts w:eastAsia="MS Mincho"/>
                          <w:sz w:val="16"/>
                          <w:lang w:val="en-US"/>
                        </w:rPr>
                        <w:t>:</w:t>
                      </w:r>
                    </w:p>
                    <w:p w14:paraId="1025E4E1"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 xml:space="preserve">NR considers SRS transmissions with sequences achieving low-PAPR and possible multiplexing of SRS with different SRS bandwidths in the same symbol </w:t>
                      </w:r>
                    </w:p>
                    <w:p w14:paraId="18CA3D91"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details</w:t>
                      </w:r>
                    </w:p>
                    <w:p w14:paraId="21A8B580"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NR supports frequency hopping within a partial-band for a UE</w:t>
                      </w:r>
                    </w:p>
                    <w:p w14:paraId="6047B076"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At least hopping with a granularity of subband</w:t>
                      </w:r>
                    </w:p>
                    <w:p w14:paraId="39498B37"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other cases</w:t>
                      </w:r>
                    </w:p>
                    <w:p w14:paraId="556E897B"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SRS hopping among partial-bands</w:t>
                      </w:r>
                    </w:p>
                    <w:p w14:paraId="0C9D1EFC" w14:textId="577B0E56" w:rsidR="005B4A74" w:rsidRPr="00AB5954" w:rsidRDefault="005B4A74" w:rsidP="00D91FAF">
                      <w:pPr>
                        <w:numPr>
                          <w:ilvl w:val="0"/>
                          <w:numId w:val="16"/>
                        </w:numPr>
                        <w:spacing w:after="0"/>
                        <w:rPr>
                          <w:rFonts w:eastAsia="MS Mincho"/>
                          <w:sz w:val="16"/>
                          <w:lang w:val="sv-SE"/>
                        </w:rPr>
                      </w:pPr>
                      <w:r w:rsidRPr="00AB5954">
                        <w:rPr>
                          <w:rFonts w:eastAsia="MS Mincho"/>
                          <w:sz w:val="16"/>
                          <w:highlight w:val="green"/>
                          <w:lang w:val="en-US"/>
                        </w:rPr>
                        <w:t>Agreement</w:t>
                      </w:r>
                      <w:r>
                        <w:rPr>
                          <w:rFonts w:eastAsia="MS Mincho"/>
                          <w:sz w:val="16"/>
                          <w:highlight w:val="green"/>
                          <w:lang w:val="en-US"/>
                        </w:rPr>
                        <w:t xml:space="preserve"> 4</w:t>
                      </w:r>
                      <w:r w:rsidRPr="00AB5954">
                        <w:rPr>
                          <w:rFonts w:eastAsia="MS Mincho"/>
                          <w:sz w:val="16"/>
                          <w:lang w:val="en-US"/>
                        </w:rPr>
                        <w:t>:</w:t>
                      </w:r>
                    </w:p>
                    <w:p w14:paraId="02BA6139"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Support configurable SRS sequence ID by UE specific configuration if SRS sequence ID is supported</w:t>
                      </w:r>
                    </w:p>
                    <w:p w14:paraId="4330799C"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 xml:space="preserve">Configuration examples: </w:t>
                      </w:r>
                    </w:p>
                    <w:p w14:paraId="35B62E77"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 xml:space="preserve">higher layer </w:t>
                      </w:r>
                    </w:p>
                    <w:p w14:paraId="29215F14"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high layer + L1 signalling, If hierarchical indication of SRS sequence ID is supported, (example: base sequence ID and/or phase rotation ID)</w:t>
                      </w:r>
                    </w:p>
                    <w:p w14:paraId="7EDF504A" w14:textId="26E1DBDA" w:rsidR="005B4A74" w:rsidRPr="00AB5954" w:rsidRDefault="005B4A74" w:rsidP="00D91FAF">
                      <w:pPr>
                        <w:numPr>
                          <w:ilvl w:val="0"/>
                          <w:numId w:val="16"/>
                        </w:numPr>
                        <w:spacing w:after="0"/>
                        <w:rPr>
                          <w:rFonts w:eastAsia="MS Mincho"/>
                          <w:sz w:val="16"/>
                          <w:lang w:val="sv-SE"/>
                        </w:rPr>
                      </w:pPr>
                      <w:r w:rsidRPr="00AB5954">
                        <w:rPr>
                          <w:rFonts w:eastAsia="MS Mincho"/>
                          <w:sz w:val="16"/>
                          <w:highlight w:val="green"/>
                          <w:lang w:val="en-US"/>
                        </w:rPr>
                        <w:t>Agreement</w:t>
                      </w:r>
                      <w:r>
                        <w:rPr>
                          <w:rFonts w:eastAsia="MS Mincho"/>
                          <w:sz w:val="16"/>
                          <w:highlight w:val="green"/>
                          <w:lang w:val="en-US"/>
                        </w:rPr>
                        <w:t xml:space="preserve"> 5</w:t>
                      </w:r>
                      <w:r w:rsidRPr="00AB5954">
                        <w:rPr>
                          <w:rFonts w:eastAsia="MS Mincho"/>
                          <w:sz w:val="16"/>
                          <w:lang w:val="en-US"/>
                        </w:rPr>
                        <w:t>:</w:t>
                      </w:r>
                    </w:p>
                    <w:p w14:paraId="58181134"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NR supports aperiodic SRS triggering field in DCI.</w:t>
                      </w:r>
                    </w:p>
                    <w:p w14:paraId="2E58EE81"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 xml:space="preserve">Supports at least one state of the field that can select at least one out of the configured SRS resources. </w:t>
                      </w:r>
                    </w:p>
                    <w:p w14:paraId="24C292F2"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details</w:t>
                      </w:r>
                    </w:p>
                    <w:p w14:paraId="578C1DB6" w14:textId="41BBEF2B" w:rsidR="005B4A74" w:rsidRPr="00AB5954" w:rsidRDefault="005B4A74" w:rsidP="00D91FAF">
                      <w:pPr>
                        <w:numPr>
                          <w:ilvl w:val="0"/>
                          <w:numId w:val="16"/>
                        </w:numPr>
                        <w:spacing w:after="0"/>
                        <w:rPr>
                          <w:rFonts w:eastAsia="MS Mincho"/>
                          <w:sz w:val="16"/>
                          <w:lang w:val="sv-SE"/>
                        </w:rPr>
                      </w:pPr>
                      <w:r w:rsidRPr="00AB5954">
                        <w:rPr>
                          <w:rFonts w:eastAsia="MS Mincho"/>
                          <w:sz w:val="16"/>
                          <w:highlight w:val="green"/>
                          <w:lang w:val="en-US"/>
                        </w:rPr>
                        <w:t>Agreement</w:t>
                      </w:r>
                      <w:r>
                        <w:rPr>
                          <w:rFonts w:eastAsia="MS Mincho"/>
                          <w:sz w:val="16"/>
                          <w:highlight w:val="green"/>
                          <w:lang w:val="en-US"/>
                        </w:rPr>
                        <w:t xml:space="preserve"> 6</w:t>
                      </w:r>
                      <w:r w:rsidRPr="00AB5954">
                        <w:rPr>
                          <w:rFonts w:eastAsia="MS Mincho"/>
                          <w:sz w:val="16"/>
                          <w:lang w:val="en-US"/>
                        </w:rPr>
                        <w:t>:</w:t>
                      </w:r>
                    </w:p>
                    <w:p w14:paraId="355CBA1E"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Scheduling SRS resources to multiple UEs where the resources have full and/or partial overlap of SRS time-frequency resources (REs) is supported, where</w:t>
                      </w:r>
                    </w:p>
                    <w:p w14:paraId="415CD30F"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The multiple SRS resources can share the same root sequence values in the overlapping REs to allow for low or zero mutual cross-correlation</w:t>
                      </w:r>
                    </w:p>
                    <w:p w14:paraId="2119CF34"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Minimum overlap granularity to ensure zero cross-correlation</w:t>
                      </w:r>
                    </w:p>
                    <w:p w14:paraId="762EAED1"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Detailed sequence design taking into account at least Cubic Metric, PAPR, and cross-correlation properties amongst overlapping SRS resources</w:t>
                      </w:r>
                    </w:p>
                    <w:p w14:paraId="77F57937" w14:textId="61D32E91" w:rsidR="005B4A74" w:rsidRPr="00AB5954" w:rsidRDefault="005B4A74" w:rsidP="00D91FAF">
                      <w:pPr>
                        <w:numPr>
                          <w:ilvl w:val="0"/>
                          <w:numId w:val="16"/>
                        </w:numPr>
                        <w:spacing w:after="0"/>
                        <w:rPr>
                          <w:rFonts w:eastAsia="MS Mincho"/>
                          <w:sz w:val="16"/>
                          <w:lang w:val="sv-SE"/>
                        </w:rPr>
                      </w:pPr>
                      <w:r w:rsidRPr="00AB5954">
                        <w:rPr>
                          <w:rFonts w:eastAsia="MS Mincho"/>
                          <w:sz w:val="16"/>
                          <w:highlight w:val="green"/>
                          <w:lang w:val="en-US"/>
                        </w:rPr>
                        <w:t>Agreement</w:t>
                      </w:r>
                      <w:r>
                        <w:rPr>
                          <w:rFonts w:eastAsia="MS Mincho"/>
                          <w:sz w:val="16"/>
                          <w:highlight w:val="green"/>
                          <w:lang w:val="en-US"/>
                        </w:rPr>
                        <w:t xml:space="preserve"> 7</w:t>
                      </w:r>
                      <w:r w:rsidRPr="00AB5954">
                        <w:rPr>
                          <w:rFonts w:eastAsia="MS Mincho"/>
                          <w:sz w:val="16"/>
                          <w:lang w:val="en-US"/>
                        </w:rPr>
                        <w:t>:</w:t>
                      </w:r>
                    </w:p>
                    <w:p w14:paraId="1F382566"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A UE can be configured with an X-port SRS resource, where the SRS resource spans one or multiple OFDM symbols within a single slot</w:t>
                      </w:r>
                    </w:p>
                    <w:p w14:paraId="47FF7B9E"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where all of the X SRS ports are sounded in each OFDM symbol</w:t>
                      </w:r>
                    </w:p>
                    <w:p w14:paraId="2F3633C4"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at least for the purposes of CSI acquisition:</w:t>
                      </w:r>
                    </w:p>
                    <w:p w14:paraId="4D6CB819"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FFS a multi-symbol SRS resource can be configured such that the X SRS ports in each OFDM symbol are transmitted in different locations of the band in different OFDM symbols in the slot in a frequency hopping manner</w:t>
                      </w:r>
                    </w:p>
                    <w:p w14:paraId="5EDF8560"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Note: This allows sounding a larger part of (or the full) UE bandwidth using narrower band SRS transmissions</w:t>
                      </w:r>
                    </w:p>
                    <w:p w14:paraId="400C9C1A"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Note: at any OFDM symbol, all X ports are sounded in the same portion of the band</w:t>
                      </w:r>
                    </w:p>
                    <w:p w14:paraId="3ECD5E52" w14:textId="77777777" w:rsidR="005B4A74" w:rsidRPr="00AB5954" w:rsidRDefault="005B4A74" w:rsidP="00D91FAF">
                      <w:pPr>
                        <w:numPr>
                          <w:ilvl w:val="1"/>
                          <w:numId w:val="16"/>
                        </w:numPr>
                        <w:spacing w:after="0"/>
                        <w:rPr>
                          <w:rFonts w:eastAsia="MS Mincho"/>
                          <w:sz w:val="16"/>
                          <w:lang w:val="sv-SE"/>
                        </w:rPr>
                      </w:pPr>
                      <w:r w:rsidRPr="00AB5954">
                        <w:rPr>
                          <w:rFonts w:eastAsia="MS Mincho"/>
                          <w:sz w:val="16"/>
                          <w:lang w:val="en-US"/>
                        </w:rPr>
                        <w:t>Note: Consider UE RF implementation aspects on SRS design that may place constraints on the design of the symbol-wise hopping pattern</w:t>
                      </w:r>
                    </w:p>
                    <w:p w14:paraId="7FA05B3E" w14:textId="7DAE6ABB" w:rsidR="005B4A74" w:rsidRPr="00E83BCF" w:rsidRDefault="005B4A74" w:rsidP="00D91FAF">
                      <w:pPr>
                        <w:numPr>
                          <w:ilvl w:val="1"/>
                          <w:numId w:val="16"/>
                        </w:numPr>
                        <w:spacing w:after="0"/>
                        <w:rPr>
                          <w:rFonts w:eastAsia="MS Mincho"/>
                          <w:lang w:val="en-US"/>
                        </w:rPr>
                      </w:pPr>
                      <w:r w:rsidRPr="00AB5954">
                        <w:rPr>
                          <w:rFonts w:eastAsia="MS Mincho"/>
                          <w:sz w:val="16"/>
                          <w:lang w:val="en-US"/>
                        </w:rPr>
                        <w:t>e.g., Required time for frequency re-tuning (if re-tuning needed) or transient period if re-tuning is not needed</w:t>
                      </w:r>
                    </w:p>
                  </w:txbxContent>
                </v:textbox>
                <w10:anchorlock/>
              </v:shape>
            </w:pict>
          </mc:Fallback>
        </mc:AlternateContent>
      </w:r>
    </w:p>
    <w:p w14:paraId="45D94F03" w14:textId="4FFF3D43" w:rsidR="00477768" w:rsidRDefault="00891E5D" w:rsidP="00BF7642">
      <w:pPr>
        <w:pStyle w:val="BodyText"/>
      </w:pPr>
      <w:r>
        <w:t>In this contribution we will address some of the open issues in the SRS design. In particular</w:t>
      </w:r>
      <w:r w:rsidR="009A0480">
        <w:t>,</w:t>
      </w:r>
      <w:r>
        <w:t xml:space="preserve"> we will focus some more on the overall system perspective and the dependency between some system parameters.</w:t>
      </w:r>
      <w:r w:rsidR="00933603">
        <w:t xml:space="preserve"> One important topic we want to high-light is the power budget implications of reciprocity operation using large DL antenna arrays. In these </w:t>
      </w:r>
      <w:r w:rsidR="00933603">
        <w:lastRenderedPageBreak/>
        <w:t xml:space="preserve">scenarios the link-budget for UL SRS is significantly worse than DL data due to that the SRS is received without the antenna gain achieved </w:t>
      </w:r>
      <w:r w:rsidR="00C800F0">
        <w:t>on the DL</w:t>
      </w:r>
      <w:r w:rsidR="00933603">
        <w:t xml:space="preserve"> </w:t>
      </w:r>
      <w:r w:rsidR="00C800F0">
        <w:t xml:space="preserve">data </w:t>
      </w:r>
      <w:r w:rsidR="00933603">
        <w:t>transmission. Hence NR should</w:t>
      </w:r>
      <w:r w:rsidR="00C800F0">
        <w:t xml:space="preserve"> support</w:t>
      </w:r>
      <w:r w:rsidR="00933603">
        <w:t xml:space="preserve"> multi-symbol SRS to combat this imbalance, this is further discussed in Sub-section </w:t>
      </w:r>
      <w:r w:rsidR="00933603">
        <w:fldChar w:fldCharType="begin"/>
      </w:r>
      <w:r w:rsidR="00933603">
        <w:instrText xml:space="preserve"> REF _Ref481585511 \r \h </w:instrText>
      </w:r>
      <w:r w:rsidR="00933603">
        <w:fldChar w:fldCharType="separate"/>
      </w:r>
      <w:r w:rsidR="00933603">
        <w:t>2.4</w:t>
      </w:r>
      <w:r w:rsidR="00933603">
        <w:fldChar w:fldCharType="end"/>
      </w:r>
      <w:r w:rsidR="00933603">
        <w:t>.</w:t>
      </w:r>
    </w:p>
    <w:p w14:paraId="3CB8F8BC" w14:textId="77777777" w:rsidR="004000E8" w:rsidRDefault="004000E8" w:rsidP="00CE0424">
      <w:pPr>
        <w:pStyle w:val="Heading1"/>
      </w:pPr>
      <w:bookmarkStart w:id="0" w:name="_Ref178064866"/>
      <w:r w:rsidRPr="00CE0424">
        <w:t>Discussion</w:t>
      </w:r>
      <w:bookmarkEnd w:id="0"/>
    </w:p>
    <w:p w14:paraId="1F2B2B8D" w14:textId="3CAB1966" w:rsidR="003A0E41" w:rsidRDefault="00523023" w:rsidP="003A0E41">
      <w:r>
        <w:t>I</w:t>
      </w:r>
      <w:r w:rsidR="0040368A">
        <w:t>t</w:t>
      </w:r>
      <w:r>
        <w:t xml:space="preserve"> has already been agreed that the sequence design for SRS should target low Cubic Metric and Peak to average power ratio.</w:t>
      </w:r>
      <w:r w:rsidR="00364DC2">
        <w:t xml:space="preserve"> This criterion is then possible to meet using a base-sequence with good Cubic Metric and PAPR and only use different cyclic shifts of this base-sequence as cyclic shifts preserve the CM and PAPR. The draw-back is that cross-correlation properties can suffer from cyclic-shifts, but due to propagation delays and time-misalignments this impairment of the cross-correlation properties are impossible to avoid.</w:t>
      </w:r>
    </w:p>
    <w:p w14:paraId="392CC263" w14:textId="08818531" w:rsidR="001A4C72" w:rsidRDefault="001A4C72" w:rsidP="001A4C72">
      <w:pPr>
        <w:pStyle w:val="Heading2"/>
      </w:pPr>
      <w:r>
        <w:t>Resource specific SRS sequence design given current agreement</w:t>
      </w:r>
    </w:p>
    <w:p w14:paraId="319EA9FA" w14:textId="5D521E24" w:rsidR="001A4C72" w:rsidRDefault="001A4C72" w:rsidP="001A4C72">
      <w:pPr>
        <w:pStyle w:val="BodyText"/>
      </w:pPr>
      <w:r>
        <w:t>We will in this section discuss and exemplify two families of SRS sequences; the non-resource specific family, and the resource specific family that was previously described and discussed in [1].</w:t>
      </w:r>
    </w:p>
    <w:p w14:paraId="2EEBAFAB" w14:textId="77777777" w:rsidR="001A4C72" w:rsidRDefault="001A4C72" w:rsidP="001A4C72">
      <w:pPr>
        <w:pStyle w:val="BodyText"/>
        <w:jc w:val="center"/>
      </w:pPr>
      <w:r>
        <w:rPr>
          <w:noProof/>
          <w:lang w:val="sv-SE" w:eastAsia="sv-SE"/>
        </w:rPr>
        <w:drawing>
          <wp:inline distT="0" distB="0" distL="0" distR="0" wp14:anchorId="331959DF" wp14:editId="6E99834B">
            <wp:extent cx="4010400" cy="2257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0400" cy="2257200"/>
                    </a:xfrm>
                    <a:prstGeom prst="rect">
                      <a:avLst/>
                    </a:prstGeom>
                    <a:noFill/>
                  </pic:spPr>
                </pic:pic>
              </a:graphicData>
            </a:graphic>
          </wp:inline>
        </w:drawing>
      </w:r>
    </w:p>
    <w:p w14:paraId="22BEF06A" w14:textId="25BCBE9A" w:rsidR="001A4C72" w:rsidRDefault="001A4C72" w:rsidP="001A4C72">
      <w:pPr>
        <w:pStyle w:val="Caption"/>
      </w:pPr>
      <w:bookmarkStart w:id="1" w:name="_Ref477433798"/>
      <w:r>
        <w:t xml:space="preserve">Figure </w:t>
      </w:r>
      <w:r>
        <w:fldChar w:fldCharType="begin"/>
      </w:r>
      <w:r>
        <w:instrText xml:space="preserve"> SEQ Figure \* ARABIC </w:instrText>
      </w:r>
      <w:r>
        <w:fldChar w:fldCharType="separate"/>
      </w:r>
      <w:r w:rsidR="009A25A0">
        <w:rPr>
          <w:noProof/>
        </w:rPr>
        <w:t>1</w:t>
      </w:r>
      <w:r>
        <w:fldChar w:fldCharType="end"/>
      </w:r>
      <w:bookmarkEnd w:id="1"/>
      <w:r>
        <w:t>: Sequence generation for SRS on a 100 PRB carrier with Comb 4</w:t>
      </w:r>
    </w:p>
    <w:p w14:paraId="1219DC51" w14:textId="77777777" w:rsidR="001A4C72" w:rsidRDefault="001A4C72" w:rsidP="001A4C72">
      <w:r>
        <w:t>The difference between the two types is how the complex sequence value r(…) shown in Figure 1 is mapped to the n</w:t>
      </w:r>
      <w:r w:rsidRPr="000701D2">
        <w:rPr>
          <w:vertAlign w:val="superscript"/>
        </w:rPr>
        <w:t>th</w:t>
      </w:r>
      <w:r>
        <w:t xml:space="preserve"> resource element of the SRS resource.</w:t>
      </w:r>
    </w:p>
    <w:p w14:paraId="0525BFAF" w14:textId="77777777" w:rsidR="001A4C72" w:rsidRPr="00DC0C12" w:rsidRDefault="001A4C72" w:rsidP="001A4C72">
      <w:pPr>
        <w:rPr>
          <w:b/>
          <w:u w:val="single"/>
        </w:rPr>
      </w:pPr>
      <w:r w:rsidRPr="00DC0C12">
        <w:rPr>
          <w:b/>
          <w:u w:val="single"/>
        </w:rPr>
        <w:t>Resource Specific Design</w:t>
      </w:r>
    </w:p>
    <w:p w14:paraId="14374F27" w14:textId="77777777" w:rsidR="001A4C72" w:rsidRDefault="001A4C72" w:rsidP="001A4C72">
      <w:r>
        <w:t>For the case of a resource specific design, which we interpret to be Alt 2 in Agreement #2 above, the base sequence values mapped to the SRS resource are a function of the PRB position of the SRS resource in the frequency domain. Further, we interpret Alt 2 to also mean that two SRS resources that overlap partially, share the same base sequence values in the overlap region.</w:t>
      </w:r>
    </w:p>
    <w:p w14:paraId="28E455F3" w14:textId="77777777" w:rsidR="001A4C72" w:rsidRDefault="001A4C72" w:rsidP="001A4C72">
      <w:pPr>
        <w:pStyle w:val="Proposal"/>
      </w:pPr>
      <w:bookmarkStart w:id="2" w:name="_Ref478040911"/>
      <w:bookmarkStart w:id="3" w:name="_Toc478043329"/>
      <w:bookmarkStart w:id="4" w:name="_Toc478045051"/>
      <w:bookmarkStart w:id="5" w:name="_Toc481572672"/>
      <w:bookmarkStart w:id="6" w:name="_Toc481584874"/>
      <w:bookmarkStart w:id="7" w:name="_Toc481589674"/>
      <w:bookmarkStart w:id="8" w:name="_Toc481589761"/>
      <w:bookmarkStart w:id="9" w:name="_Toc481671053"/>
      <w:bookmarkStart w:id="10" w:name="_Toc481671602"/>
      <w:bookmarkStart w:id="11" w:name="_Toc481743788"/>
      <w:bookmarkStart w:id="12" w:name="_Toc481753025"/>
      <w:r>
        <w:t>SRS sequences that partially overlap in the frequency domain share the same base sequence values in the overlap region.</w:t>
      </w:r>
      <w:bookmarkEnd w:id="2"/>
      <w:bookmarkEnd w:id="3"/>
      <w:bookmarkEnd w:id="4"/>
      <w:bookmarkEnd w:id="5"/>
      <w:bookmarkEnd w:id="6"/>
      <w:bookmarkEnd w:id="7"/>
      <w:bookmarkEnd w:id="8"/>
      <w:bookmarkEnd w:id="9"/>
      <w:bookmarkEnd w:id="10"/>
      <w:bookmarkEnd w:id="11"/>
      <w:bookmarkEnd w:id="12"/>
    </w:p>
    <w:p w14:paraId="5AC20964" w14:textId="77777777" w:rsidR="001A4C72" w:rsidRDefault="001A4C72" w:rsidP="001A4C72">
      <w:pPr>
        <w:pStyle w:val="BodyText"/>
      </w:pPr>
      <w:r>
        <w:t>With this proposal, and through appropriate scheduling of SRS resources, it is possible to maintain mutual orthogonality between multiple SRS resources of different bandwidths and different PRB positions, even if some resources overlap only partially as shown in the right hand side of Figure 2.</w:t>
      </w:r>
    </w:p>
    <w:p w14:paraId="60EF316B" w14:textId="77777777" w:rsidR="001A4C72" w:rsidRDefault="001A4C72" w:rsidP="001A4C72">
      <w:pPr>
        <w:jc w:val="center"/>
      </w:pPr>
      <w:r>
        <w:rPr>
          <w:noProof/>
          <w:lang w:val="sv-SE" w:eastAsia="sv-SE"/>
        </w:rPr>
        <w:lastRenderedPageBreak/>
        <w:drawing>
          <wp:inline distT="0" distB="0" distL="0" distR="0" wp14:anchorId="124ED8CC" wp14:editId="75DFCA05">
            <wp:extent cx="5943600" cy="1328242"/>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 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328242"/>
                    </a:xfrm>
                    <a:prstGeom prst="rect">
                      <a:avLst/>
                    </a:prstGeom>
                  </pic:spPr>
                </pic:pic>
              </a:graphicData>
            </a:graphic>
          </wp:inline>
        </w:drawing>
      </w:r>
    </w:p>
    <w:p w14:paraId="5347CBE2" w14:textId="10E20336" w:rsidR="001A4C72" w:rsidRDefault="001A4C72" w:rsidP="001A4C72">
      <w:pPr>
        <w:pStyle w:val="Caption"/>
      </w:pPr>
      <w:r>
        <w:t xml:space="preserve">Figure </w:t>
      </w:r>
      <w:r>
        <w:fldChar w:fldCharType="begin"/>
      </w:r>
      <w:r>
        <w:instrText xml:space="preserve"> SEQ Figure \* ARABIC </w:instrText>
      </w:r>
      <w:r>
        <w:fldChar w:fldCharType="separate"/>
      </w:r>
      <w:r w:rsidR="009A25A0">
        <w:rPr>
          <w:noProof/>
        </w:rPr>
        <w:t>2</w:t>
      </w:r>
      <w:r>
        <w:fldChar w:fldCharType="end"/>
      </w:r>
      <w:r>
        <w:t xml:space="preserve">: SRS scheduling options. With the flexible assignment (right), a resource specific design (Alt 2 with the extension in </w:t>
      </w:r>
      <w:r>
        <w:fldChar w:fldCharType="begin"/>
      </w:r>
      <w:r>
        <w:instrText xml:space="preserve"> REF _Ref478040911 \r \h </w:instrText>
      </w:r>
      <w:r>
        <w:fldChar w:fldCharType="separate"/>
      </w:r>
      <w:r>
        <w:t>Proposal 3</w:t>
      </w:r>
      <w:r>
        <w:fldChar w:fldCharType="end"/>
      </w:r>
      <w:r>
        <w:t>) ensures mutual orthogonality of the SRS resources assigned to all users.</w:t>
      </w:r>
    </w:p>
    <w:p w14:paraId="04657A2B" w14:textId="023A236B" w:rsidR="001A4C72" w:rsidRDefault="001A4C72" w:rsidP="001A4C72">
      <w:pPr>
        <w:pStyle w:val="BodyText"/>
      </w:pPr>
      <w:r>
        <w:t xml:space="preserve">One way </w:t>
      </w:r>
      <w:r w:rsidR="00D91FAF">
        <w:t xml:space="preserve">fulfilling what is agreed in Agreement 6 above </w:t>
      </w:r>
      <w:r>
        <w:t>is to first define a long sequence for the complete carrier bandwidth and configure the UE to extract a segment of the sequence that intersects the PRBs allocated to the UE.</w:t>
      </w:r>
      <w:r w:rsidRPr="004B4960">
        <w:t xml:space="preserve"> </w:t>
      </w:r>
      <w:r>
        <w:t>Observe that there is then a need to define, e.g., [30] such sequences (like for LTE) so that a suitable reuse distribution can be created in the network.</w:t>
      </w:r>
    </w:p>
    <w:p w14:paraId="440C67A9" w14:textId="77777777" w:rsidR="001A4C72" w:rsidRDefault="001A4C72" w:rsidP="001A4C72">
      <w:pPr>
        <w:pStyle w:val="BodyText"/>
      </w:pPr>
      <w:r>
        <w:t>Second, the SRS resource is divided into a number of blocks, where a block is defined as N contiguous sequence values, e.g., N = 12 as in Figure 1. The sequence values within each block are multiplied by a cyclic phase rotation sequence (block-wise cyclic shift of the sequence values).</w:t>
      </w:r>
    </w:p>
    <w:p w14:paraId="2AF1A666" w14:textId="77777777" w:rsidR="001A4C72" w:rsidRDefault="001A4C72" w:rsidP="001A4C72">
      <w:pPr>
        <w:pStyle w:val="BodyText"/>
      </w:pPr>
      <w:r>
        <w:t>Finally, the SRS scheduling should be restricted such that bandwidth of each SRS resource is an integer number of blocks, and that that scheduled SRS resources always overlap by an integer number of blocks. Furthermore, different users on the same comb should be assigned different cyclic shifts. Port orthogonalization within a SRS resource may be achieved in a similar fashion. With such a design, mutual SRS orthogonality is ensured amongst all users. Such scheduling is illustrated in the right hand side of Figure 2.</w:t>
      </w:r>
    </w:p>
    <w:p w14:paraId="13894F07" w14:textId="77777777" w:rsidR="001A4C72" w:rsidRPr="00DC0C12" w:rsidRDefault="001A4C72" w:rsidP="001A4C72">
      <w:pPr>
        <w:pStyle w:val="BodyText"/>
        <w:rPr>
          <w:u w:val="single"/>
        </w:rPr>
      </w:pPr>
      <w:r w:rsidRPr="00DC0C12">
        <w:rPr>
          <w:b/>
          <w:u w:val="single"/>
        </w:rPr>
        <w:t>Non-Resource Specific Design</w:t>
      </w:r>
    </w:p>
    <w:p w14:paraId="1EE5D5CB" w14:textId="7721B5EC" w:rsidR="001A4C72" w:rsidRDefault="001A4C72" w:rsidP="00F84BF1">
      <w:pPr>
        <w:pStyle w:val="BodyText"/>
      </w:pPr>
      <w:r>
        <w:t>For the case of a non-resource specific design</w:t>
      </w:r>
      <w:r w:rsidRPr="000B0930">
        <w:t xml:space="preserve"> </w:t>
      </w:r>
      <w:r>
        <w:t>which we interpret to be Alt 1 in Agreement #2 above (LTE-like design), the base sequence values mapped to the SRS resource are a function of the bandwidth of the SRS resource and not the PRB position. The implication of this is that two resources of the same bandwidth that partially overlap can have different sequence values in the overlap region. This means that even if cyclic shifts are applied in a block-wise fashion within the overlap regions, orthogonalization may not be achieved due to the different base sequence values. Then, the only way to ensure mutual orthogonality amongst all users is to impose more severe scheduling restrictions than one would need with Alt2, e.g., by allowing only full overlap or no overlap amongst SRS resources. Such inflexible scheduling is illustrated in the left hand side of Figure 2.</w:t>
      </w:r>
    </w:p>
    <w:p w14:paraId="1682B18D" w14:textId="269D64F2" w:rsidR="00E10F7D" w:rsidRDefault="00E10F7D" w:rsidP="00E10F7D">
      <w:pPr>
        <w:pStyle w:val="Heading2"/>
      </w:pPr>
      <w:bookmarkStart w:id="13" w:name="_Ref481490676"/>
      <w:r>
        <w:t>Sequence design</w:t>
      </w:r>
      <w:r w:rsidR="005B4CFF">
        <w:t xml:space="preserve"> and correlation properties</w:t>
      </w:r>
      <w:bookmarkEnd w:id="13"/>
    </w:p>
    <w:p w14:paraId="78F0FE96" w14:textId="78322787" w:rsidR="00B7011F" w:rsidRDefault="00F40AEB" w:rsidP="00F40AEB">
      <w:r>
        <w:t xml:space="preserve">In </w:t>
      </w:r>
      <w:r w:rsidR="00916FAD">
        <w:t>[1]</w:t>
      </w:r>
      <w:r>
        <w:t xml:space="preserve"> the benefits with a resource specific SRS se</w:t>
      </w:r>
      <w:r w:rsidR="00404204">
        <w:t xml:space="preserve">quence design </w:t>
      </w:r>
      <w:r w:rsidR="0040368A">
        <w:t xml:space="preserve">were </w:t>
      </w:r>
      <w:r w:rsidR="00404204">
        <w:t xml:space="preserve">discussed. One of the main use-cases </w:t>
      </w:r>
      <w:r w:rsidR="00FF4058">
        <w:t>foreseen</w:t>
      </w:r>
      <w:r w:rsidR="00404204">
        <w:t xml:space="preserve"> in NR for SRS is reciprocity operation. In this context we will discuss the implications of the sequence design and the resulting cross-correlation properties. We will discuss this in two scenarios, first we will look </w:t>
      </w:r>
      <w:r w:rsidR="0040368A">
        <w:t xml:space="preserve">at </w:t>
      </w:r>
      <w:r w:rsidR="00404204">
        <w:t xml:space="preserve">intra-cell and then proceed to discussing inter-cell. These two cases are illustrated in </w:t>
      </w:r>
      <w:r w:rsidR="008009B0">
        <w:fldChar w:fldCharType="begin"/>
      </w:r>
      <w:r w:rsidR="008009B0">
        <w:instrText xml:space="preserve"> REF _Ref480889615 \h </w:instrText>
      </w:r>
      <w:r w:rsidR="008009B0">
        <w:fldChar w:fldCharType="separate"/>
      </w:r>
      <w:r w:rsidR="008009B0">
        <w:t xml:space="preserve">Figure </w:t>
      </w:r>
      <w:r w:rsidR="008009B0">
        <w:rPr>
          <w:noProof/>
        </w:rPr>
        <w:t>1</w:t>
      </w:r>
      <w:r w:rsidR="008009B0">
        <w:fldChar w:fldCharType="end"/>
      </w:r>
      <w:r w:rsidR="00404204">
        <w:t>.</w:t>
      </w:r>
    </w:p>
    <w:p w14:paraId="207B600A" w14:textId="44157C92" w:rsidR="008009B0" w:rsidRDefault="008009B0" w:rsidP="008009B0">
      <w:pPr>
        <w:jc w:val="center"/>
      </w:pPr>
      <w:r>
        <w:rPr>
          <w:noProof/>
          <w:lang w:val="sv-SE" w:eastAsia="sv-SE"/>
        </w:rPr>
        <w:drawing>
          <wp:inline distT="0" distB="0" distL="0" distR="0" wp14:anchorId="192AD2A5" wp14:editId="5E730A82">
            <wp:extent cx="3970800" cy="13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70800" cy="1357200"/>
                    </a:xfrm>
                    <a:prstGeom prst="rect">
                      <a:avLst/>
                    </a:prstGeom>
                    <a:noFill/>
                  </pic:spPr>
                </pic:pic>
              </a:graphicData>
            </a:graphic>
          </wp:inline>
        </w:drawing>
      </w:r>
    </w:p>
    <w:p w14:paraId="5BBADF3E" w14:textId="7172F16C" w:rsidR="00404204" w:rsidRDefault="008009B0" w:rsidP="008009B0">
      <w:pPr>
        <w:pStyle w:val="Caption"/>
      </w:pPr>
      <w:bookmarkStart w:id="14" w:name="_Ref480889615"/>
      <w:r>
        <w:t xml:space="preserve">Figure </w:t>
      </w:r>
      <w:r>
        <w:fldChar w:fldCharType="begin"/>
      </w:r>
      <w:r>
        <w:instrText xml:space="preserve"> SEQ Figure \* ARABIC </w:instrText>
      </w:r>
      <w:r>
        <w:fldChar w:fldCharType="separate"/>
      </w:r>
      <w:r w:rsidR="009A25A0">
        <w:rPr>
          <w:noProof/>
        </w:rPr>
        <w:t>3</w:t>
      </w:r>
      <w:r>
        <w:fldChar w:fldCharType="end"/>
      </w:r>
      <w:bookmarkEnd w:id="14"/>
      <w:r>
        <w:t>: Intra-cell and inter-cell interference</w:t>
      </w:r>
    </w:p>
    <w:p w14:paraId="50D66FF1" w14:textId="77777777" w:rsidR="00A62464" w:rsidRDefault="00A62464" w:rsidP="00FF4058">
      <w:pPr>
        <w:rPr>
          <w:b/>
          <w:u w:val="single"/>
        </w:rPr>
      </w:pPr>
      <w:r w:rsidRPr="00A62464">
        <w:rPr>
          <w:b/>
          <w:u w:val="single"/>
        </w:rPr>
        <w:t>Intra-cell cross-correlation properties</w:t>
      </w:r>
    </w:p>
    <w:p w14:paraId="73F217E9" w14:textId="2025450B" w:rsidR="001D64DC" w:rsidRDefault="00FF4058" w:rsidP="00FF4058">
      <w:r>
        <w:lastRenderedPageBreak/>
        <w:t xml:space="preserve">First for the intra-cell interference case (UE1 and UE2) the users are orthogonalized </w:t>
      </w:r>
      <w:r w:rsidR="00A71149">
        <w:t>using cyclic-shifts of the same base-sequence. In this case the Comb, sequence length</w:t>
      </w:r>
      <w:r w:rsidR="001D64DC">
        <w:t>, timing-errors</w:t>
      </w:r>
      <w:r w:rsidR="00A71149">
        <w:t xml:space="preserve"> and the dispersion of the channel determine the cross-correlation. As an example consider that the taps of the channel lies within -0.5us … 1.0us then the leakage towards other cyclic shifts can be observed by considering CS0 </w:t>
      </w:r>
      <w:r w:rsidR="006C7B2E">
        <w:t>and</w:t>
      </w:r>
      <w:r w:rsidR="00A71149">
        <w:t xml:space="preserve"> the other cyclic shifts CSn </w:t>
      </w:r>
      <w:r w:rsidR="005B4CFF">
        <w:t>for n</w:t>
      </w:r>
      <w:r w:rsidR="00A71149">
        <w:t xml:space="preserve"> in [1,2, .. N-1] where N is the sequence length.</w:t>
      </w:r>
      <w:r w:rsidR="004C356D">
        <w:t xml:space="preserve"> </w:t>
      </w:r>
    </w:p>
    <w:p w14:paraId="285937A7" w14:textId="72C2972C" w:rsidR="00FF4058" w:rsidRDefault="001D64DC" w:rsidP="00FF4058">
      <w:r>
        <w:t>That is,</w:t>
      </w:r>
      <w:r w:rsidR="004C356D">
        <w:t xml:space="preserve"> we have a relative time-offset between a tap in one channel and the filter-window of the relevant user. Then the correlation value can be seen as the attenuation i.e. level of the side-loob created by the limited bandwidth used to transmit</w:t>
      </w:r>
      <w:r w:rsidR="00E542C5">
        <w:t xml:space="preserve"> the SRS</w:t>
      </w:r>
      <w:r w:rsidR="004C356D">
        <w:t xml:space="preserve"> i.e. the length of the sequence.</w:t>
      </w:r>
      <w:r>
        <w:t xml:space="preserve"> For an infinite length sequence each tap in channel response would be a single peak and cross-correlation would be zero as long as the taps of other users lie out-side the filter-window.</w:t>
      </w:r>
      <w:r w:rsidR="00B6172F">
        <w:t xml:space="preserve"> The level of cross-correlation that is acceptable is a system level optimization but </w:t>
      </w:r>
      <w:r w:rsidR="00923260">
        <w:t xml:space="preserve">to have some value as reference </w:t>
      </w:r>
      <w:r w:rsidR="00B6172F">
        <w:t>we consider here that a</w:t>
      </w:r>
      <w:r w:rsidR="003806C3">
        <w:t>n average</w:t>
      </w:r>
      <w:r w:rsidR="00B6172F">
        <w:t xml:space="preserve"> </w:t>
      </w:r>
      <w:r w:rsidR="008972AF">
        <w:t xml:space="preserve">maximum </w:t>
      </w:r>
      <w:r w:rsidR="00B6172F">
        <w:t>level in the region of 1/sqrt(10 x #CS)</w:t>
      </w:r>
      <w:r w:rsidR="00A71149">
        <w:t xml:space="preserve"> </w:t>
      </w:r>
      <w:r w:rsidR="00B6172F">
        <w:t>is acceptable but this value is quite arbitrary</w:t>
      </w:r>
      <w:r w:rsidR="009A0480">
        <w:t xml:space="preserve"> and will vary with use-case</w:t>
      </w:r>
      <w:r w:rsidR="00B6172F">
        <w:t xml:space="preserve">. The first set of results we consider is </w:t>
      </w:r>
      <w:r w:rsidR="00A71149">
        <w:t xml:space="preserve">that we use 1, 2 or 4 Comb and use either 16, 8 or 4 cyclic shifts and </w:t>
      </w:r>
      <w:r w:rsidR="006C7B2E">
        <w:t xml:space="preserve">a SRS allocation of 4 PRB </w:t>
      </w:r>
      <w:r w:rsidR="00A71149">
        <w:t xml:space="preserve">the cross correlation values as depicted in </w:t>
      </w:r>
      <w:r w:rsidR="00523023">
        <w:fldChar w:fldCharType="begin"/>
      </w:r>
      <w:r w:rsidR="00523023">
        <w:instrText xml:space="preserve"> REF _Ref480889615 \h </w:instrText>
      </w:r>
      <w:r w:rsidR="00523023">
        <w:fldChar w:fldCharType="separate"/>
      </w:r>
      <w:r w:rsidR="00523023">
        <w:t xml:space="preserve">Figure </w:t>
      </w:r>
      <w:r w:rsidR="00523023">
        <w:rPr>
          <w:noProof/>
        </w:rPr>
        <w:t>1</w:t>
      </w:r>
      <w:r w:rsidR="00523023">
        <w:fldChar w:fldCharType="end"/>
      </w:r>
      <w:r w:rsidR="00A71149">
        <w:t>.</w:t>
      </w:r>
      <w:r w:rsidR="00B6172F">
        <w:t xml:space="preserve"> We would then like to compare the correlation values</w:t>
      </w:r>
      <w:r w:rsidR="008972AF">
        <w:t xml:space="preserve"> for the offset with the worst </w:t>
      </w:r>
      <w:r w:rsidR="00D91FAF">
        <w:t xml:space="preserve">average </w:t>
      </w:r>
      <w:r w:rsidR="008972AF">
        <w:t>correlation value</w:t>
      </w:r>
      <w:r w:rsidR="00D91FAF">
        <w:t xml:space="preserve"> for all the cyclic shifts</w:t>
      </w:r>
      <w:r w:rsidR="008972AF">
        <w:t xml:space="preserve"> </w:t>
      </w:r>
      <w:r w:rsidR="00B6172F">
        <w:t xml:space="preserve">to roughly 0.08, 0.11 and 0.16. </w:t>
      </w:r>
    </w:p>
    <w:p w14:paraId="4948B0DD" w14:textId="269B3ACC" w:rsidR="00D36DC5" w:rsidRDefault="004C356D" w:rsidP="00FF4058">
      <w:r>
        <w:rPr>
          <w:noProof/>
          <w:lang w:val="sv-SE" w:eastAsia="sv-SE"/>
        </w:rPr>
        <w:drawing>
          <wp:inline distT="0" distB="0" distL="0" distR="0" wp14:anchorId="41AC424D" wp14:editId="018F7D7D">
            <wp:extent cx="5763600" cy="1699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3600" cy="1699200"/>
                    </a:xfrm>
                    <a:prstGeom prst="rect">
                      <a:avLst/>
                    </a:prstGeom>
                    <a:noFill/>
                  </pic:spPr>
                </pic:pic>
              </a:graphicData>
            </a:graphic>
          </wp:inline>
        </w:drawing>
      </w:r>
    </w:p>
    <w:p w14:paraId="204B7575" w14:textId="16B15EF6" w:rsidR="00D36DC5" w:rsidRDefault="00D36DC5" w:rsidP="00D36DC5">
      <w:pPr>
        <w:pStyle w:val="Caption"/>
      </w:pPr>
      <w:bookmarkStart w:id="15" w:name="_Ref480985199"/>
      <w:r>
        <w:t xml:space="preserve">Figure </w:t>
      </w:r>
      <w:r>
        <w:fldChar w:fldCharType="begin"/>
      </w:r>
      <w:r>
        <w:instrText xml:space="preserve"> SEQ Figure \* ARABIC </w:instrText>
      </w:r>
      <w:r>
        <w:fldChar w:fldCharType="separate"/>
      </w:r>
      <w:r w:rsidR="009A25A0">
        <w:rPr>
          <w:noProof/>
        </w:rPr>
        <w:t>4</w:t>
      </w:r>
      <w:r>
        <w:fldChar w:fldCharType="end"/>
      </w:r>
      <w:bookmarkEnd w:id="15"/>
      <w:r>
        <w:t xml:space="preserve">: </w:t>
      </w:r>
      <w:r w:rsidR="000D5FBE">
        <w:t>Intra-cell c</w:t>
      </w:r>
      <w:r>
        <w:t xml:space="preserve">ross-correlation </w:t>
      </w:r>
      <w:r w:rsidR="000D5FBE">
        <w:t xml:space="preserve">on one Comb </w:t>
      </w:r>
      <w:r>
        <w:t xml:space="preserve">for 16 SRS ports over 4 PRB </w:t>
      </w:r>
    </w:p>
    <w:p w14:paraId="61252C06" w14:textId="4681A845" w:rsidR="001A34F4" w:rsidRDefault="00D36DC5" w:rsidP="00FF4058">
      <w:r>
        <w:t>As can be observed from a correlation point of view there is</w:t>
      </w:r>
      <w:r w:rsidR="00C44CC2">
        <w:t xml:space="preserve"> </w:t>
      </w:r>
      <w:r>
        <w:t>a small penalty for the cyclic</w:t>
      </w:r>
      <w:r w:rsidR="005B4CFF">
        <w:t xml:space="preserve"> shifts</w:t>
      </w:r>
      <w:r>
        <w:t xml:space="preserve"> of the SRS ports when going to a 4 Comb solution, but that is offset by an improved quality for the FDM separated ports over the combs. Observe that there is also the penalty for frequency domain interpolation for the 4 Comb that is not considered here</w:t>
      </w:r>
      <w:r w:rsidR="003806C3">
        <w:t xml:space="preserve"> and that is not always relevant for all the use-cases for SRS</w:t>
      </w:r>
      <w:r>
        <w:t>.</w:t>
      </w:r>
      <w:r w:rsidR="003B4A14">
        <w:t xml:space="preserve"> </w:t>
      </w:r>
    </w:p>
    <w:p w14:paraId="17E3E9E7" w14:textId="2D09BD97" w:rsidR="00D36DC5" w:rsidRDefault="00290D66" w:rsidP="00FF4058">
      <w:r>
        <w:t>For a sequence block over 4 PRB using</w:t>
      </w:r>
      <w:r w:rsidR="003B4A14">
        <w:t xml:space="preserve"> 12 RE on a 4 Comb you could consider adding even more cyclic shifts but</w:t>
      </w:r>
      <w:r w:rsidR="00916FAD">
        <w:t xml:space="preserve"> as can be seen in </w:t>
      </w:r>
      <w:r w:rsidR="00BD2E2C">
        <w:fldChar w:fldCharType="begin"/>
      </w:r>
      <w:r w:rsidR="00BD2E2C">
        <w:instrText xml:space="preserve"> REF _Ref480987503 \h </w:instrText>
      </w:r>
      <w:r w:rsidR="00BD2E2C">
        <w:fldChar w:fldCharType="separate"/>
      </w:r>
      <w:r w:rsidR="00A23BE1">
        <w:t xml:space="preserve">Figure </w:t>
      </w:r>
      <w:r w:rsidR="00A23BE1">
        <w:rPr>
          <w:noProof/>
        </w:rPr>
        <w:t>5</w:t>
      </w:r>
      <w:r w:rsidR="00BD2E2C">
        <w:fldChar w:fldCharType="end"/>
      </w:r>
      <w:r w:rsidR="00916FAD">
        <w:t xml:space="preserve">, </w:t>
      </w:r>
      <w:r w:rsidR="005A6E73">
        <w:t xml:space="preserve">using </w:t>
      </w:r>
      <w:r w:rsidR="00916FAD">
        <w:t xml:space="preserve">6 cyclic shifts is </w:t>
      </w:r>
      <w:r w:rsidR="005A6E73">
        <w:t xml:space="preserve">perhaps </w:t>
      </w:r>
      <w:r w:rsidR="00916FAD">
        <w:t xml:space="preserve">feasible but 12 cyclic shifts is </w:t>
      </w:r>
      <w:r w:rsidR="003806C3">
        <w:t xml:space="preserve">clearly </w:t>
      </w:r>
      <w:r w:rsidR="00916FAD">
        <w:t>not</w:t>
      </w:r>
      <w:r w:rsidR="00672C58">
        <w:t xml:space="preserve">. </w:t>
      </w:r>
      <w:r w:rsidR="00F81D57">
        <w:t>One option is to use a smaller number of cyclic shifts when you schedule a minimal 4 PRB allocation and use more cyclic shif</w:t>
      </w:r>
      <w:r w:rsidR="001A34F4">
        <w:t>ts when you schedule 8 PRB or more</w:t>
      </w:r>
      <w:r w:rsidR="00F81D57">
        <w:t xml:space="preserve"> PRB SRS blocks. </w:t>
      </w:r>
      <w:r w:rsidR="001E133F">
        <w:t>W</w:t>
      </w:r>
      <w:r w:rsidR="00F81D57">
        <w:t xml:space="preserve">hen using 8 PRB on </w:t>
      </w:r>
      <w:r w:rsidR="00BD2E2C">
        <w:t xml:space="preserve">a 4 Comb </w:t>
      </w:r>
      <w:r w:rsidR="00F81D57">
        <w:t xml:space="preserve">you get a sequence using </w:t>
      </w:r>
      <w:r w:rsidR="00BD2E2C">
        <w:t xml:space="preserve">24 RE </w:t>
      </w:r>
      <w:r w:rsidR="00F81D57">
        <w:t xml:space="preserve">and can get </w:t>
      </w:r>
      <w:r w:rsidR="00427EAB">
        <w:t xml:space="preserve">ok </w:t>
      </w:r>
      <w:r w:rsidR="00F81D57">
        <w:t xml:space="preserve">performance using </w:t>
      </w:r>
      <w:r w:rsidR="00BD2E2C">
        <w:t>8 cyclic shifts</w:t>
      </w:r>
      <w:r w:rsidR="00F81D57">
        <w:t>, consider</w:t>
      </w:r>
      <w:r w:rsidR="003806C3">
        <w:t xml:space="preserve"> also</w:t>
      </w:r>
      <w:r w:rsidR="00F81D57">
        <w:t xml:space="preserve"> then that</w:t>
      </w:r>
      <w:r w:rsidR="003806C3">
        <w:t xml:space="preserve"> supporting 8 shifts is nice in combination with 4 shifts as the 4 shifts are just using every second shift out of 8 in total</w:t>
      </w:r>
      <w:r w:rsidR="00916FAD">
        <w:t>.</w:t>
      </w:r>
      <w:r w:rsidR="005A6E73">
        <w:t xml:space="preserve"> Remember that in the UL we can have</w:t>
      </w:r>
      <w:r w:rsidR="00175E43">
        <w:t xml:space="preserve"> also</w:t>
      </w:r>
      <w:r w:rsidR="005A6E73">
        <w:t xml:space="preserve"> time miss-alignment due to non-proper timing advance adjustment </w:t>
      </w:r>
      <w:r w:rsidR="003806C3">
        <w:t xml:space="preserve">even if we have a low delay-spread of </w:t>
      </w:r>
      <w:r w:rsidR="00175E43">
        <w:t xml:space="preserve">300 ns for </w:t>
      </w:r>
      <w:r w:rsidR="003806C3">
        <w:t>the channel</w:t>
      </w:r>
      <w:r w:rsidR="005A6E73">
        <w:t>.</w:t>
      </w:r>
      <w:r w:rsidR="009A25A0">
        <w:t xml:space="preserve"> </w:t>
      </w:r>
      <w:r w:rsidR="001E133F">
        <w:t>Hence it is still not clear that it is possible to use 8 cyclic shifts just because the correlation seems sufficiently low. Doing a link-simulation u</w:t>
      </w:r>
      <w:r w:rsidR="009A25A0">
        <w:t xml:space="preserve">sing all 8 cyclic shifts </w:t>
      </w:r>
      <w:r w:rsidR="00175E43">
        <w:t>show</w:t>
      </w:r>
      <w:r w:rsidR="009A25A0">
        <w:t xml:space="preserve"> result</w:t>
      </w:r>
      <w:r w:rsidR="00C9314E">
        <w:t>s that</w:t>
      </w:r>
      <w:r w:rsidR="009A25A0">
        <w:t xml:space="preserve"> </w:t>
      </w:r>
      <w:r w:rsidR="00175E43">
        <w:t xml:space="preserve">indicating </w:t>
      </w:r>
      <w:r w:rsidR="009A25A0">
        <w:t xml:space="preserve">a loss </w:t>
      </w:r>
      <w:r w:rsidR="00427EAB">
        <w:t xml:space="preserve">of a little more than </w:t>
      </w:r>
      <w:r w:rsidR="009A25A0">
        <w:t xml:space="preserve">1 dB, see </w:t>
      </w:r>
      <w:r w:rsidR="00A569F7">
        <w:fldChar w:fldCharType="begin"/>
      </w:r>
      <w:r w:rsidR="00A569F7">
        <w:instrText xml:space="preserve"> REF _Ref481667190 \h </w:instrText>
      </w:r>
      <w:r w:rsidR="00A569F7">
        <w:fldChar w:fldCharType="separate"/>
      </w:r>
      <w:r w:rsidR="00A569F7">
        <w:t xml:space="preserve">Figure </w:t>
      </w:r>
      <w:r w:rsidR="00A569F7">
        <w:rPr>
          <w:noProof/>
        </w:rPr>
        <w:t>6</w:t>
      </w:r>
      <w:r w:rsidR="00A569F7">
        <w:fldChar w:fldCharType="end"/>
      </w:r>
      <w:r w:rsidR="009A25A0">
        <w:t>, in a wide-beam DL beam-forming strategy</w:t>
      </w:r>
      <w:r w:rsidR="00175E43">
        <w:t>.</w:t>
      </w:r>
      <w:r w:rsidR="009A25A0">
        <w:t xml:space="preserve"> </w:t>
      </w:r>
      <w:r w:rsidR="00175E43">
        <w:t>T</w:t>
      </w:r>
      <w:r w:rsidR="009A25A0">
        <w:t>he system impact of such a loss needs further study but could probably be acceptable in some scenarios</w:t>
      </w:r>
      <w:r w:rsidR="00175E43">
        <w:t xml:space="preserve"> but we should probably not</w:t>
      </w:r>
      <w:r w:rsidR="001E133F">
        <w:t xml:space="preserve"> go beyond 8 cyclic shifts on a 4 Comb</w:t>
      </w:r>
      <w:r w:rsidR="009A25A0">
        <w:t xml:space="preserve">. Observe that SNR is </w:t>
      </w:r>
      <w:r w:rsidR="00D27F3C">
        <w:t xml:space="preserve">in relation to the </w:t>
      </w:r>
      <w:r w:rsidR="009A25A0">
        <w:t xml:space="preserve">total </w:t>
      </w:r>
      <w:r w:rsidR="00D27F3C">
        <w:t>UE power, that is,</w:t>
      </w:r>
      <w:r w:rsidR="009A25A0">
        <w:t xml:space="preserve"> per UE SRS port it is thus 3 dB</w:t>
      </w:r>
      <w:r w:rsidR="00D27F3C">
        <w:t xml:space="preserve"> </w:t>
      </w:r>
      <w:r w:rsidR="009A25A0">
        <w:t>worse due to that the UE is using 2 TX</w:t>
      </w:r>
      <w:r w:rsidR="001E133F">
        <w:t xml:space="preserve"> sharing the </w:t>
      </w:r>
      <w:r w:rsidR="00D27F3C">
        <w:t xml:space="preserve">total </w:t>
      </w:r>
      <w:r w:rsidR="001E133F">
        <w:t>power</w:t>
      </w:r>
      <w:r w:rsidR="009A25A0">
        <w:t>.</w:t>
      </w:r>
    </w:p>
    <w:p w14:paraId="2D4B7983" w14:textId="19DD78B2" w:rsidR="00916FAD" w:rsidRDefault="00280BE1" w:rsidP="00916FAD">
      <w:pPr>
        <w:jc w:val="center"/>
      </w:pPr>
      <w:r>
        <w:rPr>
          <w:noProof/>
          <w:lang w:val="sv-SE" w:eastAsia="sv-SE"/>
        </w:rPr>
        <w:lastRenderedPageBreak/>
        <w:drawing>
          <wp:inline distT="0" distB="0" distL="0" distR="0" wp14:anchorId="7D87E310" wp14:editId="31991FD3">
            <wp:extent cx="5979600" cy="133920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9600" cy="1339200"/>
                    </a:xfrm>
                    <a:prstGeom prst="rect">
                      <a:avLst/>
                    </a:prstGeom>
                    <a:noFill/>
                  </pic:spPr>
                </pic:pic>
              </a:graphicData>
            </a:graphic>
          </wp:inline>
        </w:drawing>
      </w:r>
    </w:p>
    <w:p w14:paraId="4406F503" w14:textId="0A760E05" w:rsidR="00916FAD" w:rsidRDefault="00916FAD" w:rsidP="00BD2E2C">
      <w:pPr>
        <w:pStyle w:val="Caption"/>
      </w:pPr>
      <w:bookmarkStart w:id="16" w:name="_Ref480987503"/>
      <w:r>
        <w:t xml:space="preserve">Figure </w:t>
      </w:r>
      <w:r>
        <w:fldChar w:fldCharType="begin"/>
      </w:r>
      <w:r>
        <w:instrText xml:space="preserve"> SEQ Figure \* ARABIC </w:instrText>
      </w:r>
      <w:r>
        <w:fldChar w:fldCharType="separate"/>
      </w:r>
      <w:r w:rsidR="009A25A0">
        <w:rPr>
          <w:noProof/>
        </w:rPr>
        <w:t>5</w:t>
      </w:r>
      <w:r>
        <w:fldChar w:fldCharType="end"/>
      </w:r>
      <w:bookmarkEnd w:id="16"/>
      <w:r>
        <w:t>: Max number cyclic shifts 4 Comb</w:t>
      </w:r>
      <w:r w:rsidR="001A34F4">
        <w:t xml:space="preserve"> one 4 or 8 PRB using 12 or 24 R</w:t>
      </w:r>
      <w:r w:rsidR="009A25A0">
        <w:t>e</w:t>
      </w:r>
      <w:r w:rsidR="001A34F4">
        <w:t>s</w:t>
      </w:r>
    </w:p>
    <w:p w14:paraId="6E04967A" w14:textId="37A052DB" w:rsidR="001E133F" w:rsidRPr="00C9314E" w:rsidRDefault="009E77BA" w:rsidP="00C9314E">
      <w:pPr>
        <w:pStyle w:val="BodyText"/>
        <w:jc w:val="center"/>
      </w:pPr>
      <w:r>
        <w:rPr>
          <w:noProof/>
          <w:lang w:val="sv-SE" w:eastAsia="sv-SE"/>
        </w:rPr>
        <w:drawing>
          <wp:inline distT="0" distB="0" distL="0" distR="0" wp14:anchorId="485B080D" wp14:editId="1E6A5E49">
            <wp:extent cx="2401200" cy="1868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01200" cy="1868400"/>
                    </a:xfrm>
                    <a:prstGeom prst="rect">
                      <a:avLst/>
                    </a:prstGeom>
                    <a:noFill/>
                  </pic:spPr>
                </pic:pic>
              </a:graphicData>
            </a:graphic>
          </wp:inline>
        </w:drawing>
      </w:r>
    </w:p>
    <w:p w14:paraId="1662548C" w14:textId="6253245F" w:rsidR="009A25A0" w:rsidRPr="009A25A0" w:rsidRDefault="009A25A0" w:rsidP="009A25A0">
      <w:pPr>
        <w:pStyle w:val="Caption"/>
      </w:pPr>
      <w:bookmarkStart w:id="17" w:name="_Ref481667190"/>
      <w:r>
        <w:t xml:space="preserve">Figure </w:t>
      </w:r>
      <w:r>
        <w:fldChar w:fldCharType="begin"/>
      </w:r>
      <w:r>
        <w:instrText xml:space="preserve"> SEQ Figure \* ARABIC </w:instrText>
      </w:r>
      <w:r>
        <w:fldChar w:fldCharType="separate"/>
      </w:r>
      <w:r>
        <w:rPr>
          <w:noProof/>
        </w:rPr>
        <w:t>6</w:t>
      </w:r>
      <w:r>
        <w:fldChar w:fldCharType="end"/>
      </w:r>
      <w:bookmarkEnd w:id="17"/>
      <w:r>
        <w:t xml:space="preserve">: </w:t>
      </w:r>
      <w:r w:rsidR="00F33729">
        <w:t>Reciprocity based WB</w:t>
      </w:r>
      <w:r>
        <w:t>-beam forming loss 8 UEs using 8 cyclic shifts on combs 0 and 1 on a 4 comb with 0 dB SNR, 0 dB SIR, (i.e. roughly -9 dB SINR), 8 PRB blocks (24 REs)</w:t>
      </w:r>
      <w:r w:rsidR="00F33729">
        <w:t>,</w:t>
      </w:r>
      <w:r>
        <w:t xml:space="preserve"> CDL_A 300ns, 128 RX/TX BS, 2 TX/RX UE,</w:t>
      </w:r>
    </w:p>
    <w:p w14:paraId="3C6E7C90" w14:textId="483A3E4A" w:rsidR="00A62464" w:rsidRPr="00A62464" w:rsidRDefault="00A62464" w:rsidP="00FF4058">
      <w:pPr>
        <w:rPr>
          <w:b/>
          <w:u w:val="single"/>
        </w:rPr>
      </w:pPr>
      <w:r>
        <w:rPr>
          <w:b/>
          <w:u w:val="single"/>
        </w:rPr>
        <w:t>Inter</w:t>
      </w:r>
      <w:r w:rsidRPr="00A62464">
        <w:rPr>
          <w:b/>
          <w:u w:val="single"/>
        </w:rPr>
        <w:t>-cell cross-correlation properties</w:t>
      </w:r>
    </w:p>
    <w:p w14:paraId="77FB33E8" w14:textId="65E1085E" w:rsidR="00D36DC5" w:rsidRDefault="005E06A0" w:rsidP="00FF4058">
      <w:r>
        <w:t xml:space="preserve">Another </w:t>
      </w:r>
      <w:r w:rsidR="00A62464">
        <w:t xml:space="preserve">consideration is the interference from a neighbour cell, as illustrated by UE 3 in </w:t>
      </w:r>
      <w:r w:rsidR="00A62464">
        <w:fldChar w:fldCharType="begin"/>
      </w:r>
      <w:r w:rsidR="00A62464">
        <w:instrText xml:space="preserve"> REF _Ref480889615 \h </w:instrText>
      </w:r>
      <w:r w:rsidR="00A62464">
        <w:fldChar w:fldCharType="separate"/>
      </w:r>
      <w:r w:rsidR="00A62464">
        <w:t xml:space="preserve">Figure </w:t>
      </w:r>
      <w:r w:rsidR="00A62464">
        <w:rPr>
          <w:noProof/>
        </w:rPr>
        <w:t>3</w:t>
      </w:r>
      <w:r w:rsidR="00A62464">
        <w:fldChar w:fldCharType="end"/>
      </w:r>
      <w:r w:rsidR="00A62464">
        <w:t>.</w:t>
      </w:r>
      <w:r w:rsidR="00D36DC5">
        <w:t xml:space="preserve"> </w:t>
      </w:r>
      <w:r w:rsidR="00A62464">
        <w:t>In this case</w:t>
      </w:r>
      <w:r w:rsidR="00D36DC5">
        <w:t xml:space="preserve"> </w:t>
      </w:r>
      <w:r w:rsidR="00A62464">
        <w:t>the cross-correlation between different base-sequences is of interest and can give arguments for one SRS design over another design</w:t>
      </w:r>
      <w:r w:rsidR="00D36DC5">
        <w:t xml:space="preserve">. For a 15 kHz sub-carrier spacing it is likely that interference is within the CP of 4.7 us, </w:t>
      </w:r>
      <w:r w:rsidR="00172356">
        <w:t xml:space="preserve">since </w:t>
      </w:r>
      <w:r w:rsidR="00D36DC5">
        <w:t xml:space="preserve">500-1000 meters is </w:t>
      </w:r>
      <w:r w:rsidR="00172356">
        <w:t xml:space="preserve">only </w:t>
      </w:r>
      <w:r w:rsidR="00D36DC5">
        <w:t>1.7-3.3 us.</w:t>
      </w:r>
      <w:r w:rsidR="007331D9">
        <w:t xml:space="preserve"> First </w:t>
      </w:r>
      <w:r w:rsidR="00172356">
        <w:t xml:space="preserve">let’s </w:t>
      </w:r>
      <w:r w:rsidR="007331D9">
        <w:t xml:space="preserve">consider </w:t>
      </w:r>
      <w:r w:rsidR="00272BFA">
        <w:t>again the LTE</w:t>
      </w:r>
      <w:r w:rsidR="00172356">
        <w:t>-</w:t>
      </w:r>
      <w:r w:rsidR="00272BFA">
        <w:t>like non</w:t>
      </w:r>
      <w:r w:rsidR="00172356">
        <w:t>-</w:t>
      </w:r>
      <w:r w:rsidR="00272BFA">
        <w:t>resource specific design in [1]</w:t>
      </w:r>
      <w:r w:rsidR="007331D9">
        <w:t xml:space="preserve"> </w:t>
      </w:r>
      <w:r w:rsidR="00172356">
        <w:t xml:space="preserve">with </w:t>
      </w:r>
      <w:r w:rsidR="007331D9">
        <w:t xml:space="preserve">the first </w:t>
      </w:r>
      <w:r w:rsidR="00947226">
        <w:t>QPSK-sequence</w:t>
      </w:r>
      <w:r w:rsidR="00655366">
        <w:t xml:space="preserve"> referenced against the other</w:t>
      </w:r>
      <w:r w:rsidR="00947226">
        <w:t xml:space="preserve"> 29</w:t>
      </w:r>
      <w:r w:rsidR="00172356">
        <w:t>.</w:t>
      </w:r>
      <w:r w:rsidR="00BF0BFD">
        <w:t xml:space="preserve"> </w:t>
      </w:r>
      <w:r w:rsidR="00E542C5">
        <w:t>Let’s also</w:t>
      </w:r>
      <w:r w:rsidR="00BF0BFD">
        <w:t xml:space="preserve"> </w:t>
      </w:r>
      <w:r w:rsidR="00172356">
        <w:t xml:space="preserve">consider </w:t>
      </w:r>
      <w:r w:rsidR="00BF0BFD">
        <w:t xml:space="preserve">the </w:t>
      </w:r>
      <w:r w:rsidR="00947226">
        <w:t xml:space="preserve">resource specific </w:t>
      </w:r>
      <w:r w:rsidR="00BF0BFD">
        <w:t xml:space="preserve">sequence design described in </w:t>
      </w:r>
      <w:r w:rsidR="00523023">
        <w:t>[1]</w:t>
      </w:r>
      <w:r w:rsidR="00BF0BFD">
        <w:t xml:space="preserve"> for SRS Id i=0 referenced against the other (SRS Id i=</w:t>
      </w:r>
      <w:r w:rsidR="009E77BA">
        <w:t>1</w:t>
      </w:r>
      <w:r w:rsidR="00BF0BFD">
        <w:t xml:space="preserve">…29) for </w:t>
      </w:r>
      <w:r w:rsidR="00984190">
        <w:t xml:space="preserve">the first location and </w:t>
      </w:r>
      <w:r w:rsidR="001A34F4">
        <w:t xml:space="preserve">also the </w:t>
      </w:r>
      <w:r w:rsidR="00984190">
        <w:t>averaged over all locations</w:t>
      </w:r>
      <w:r w:rsidR="00BF0BFD">
        <w:t xml:space="preserve"> in the frequency domain</w:t>
      </w:r>
      <w:r w:rsidR="001A34F4">
        <w:t xml:space="preserve"> i.e. average over all PRB blocks [0,1,2,3], [4,5,6,7], …, [96,97,98 99].</w:t>
      </w:r>
    </w:p>
    <w:p w14:paraId="365A66C1" w14:textId="6745E62A" w:rsidR="00984190" w:rsidRDefault="00EE0E23" w:rsidP="00984190">
      <w:pPr>
        <w:jc w:val="center"/>
      </w:pPr>
      <w:r>
        <w:rPr>
          <w:noProof/>
          <w:lang w:val="sv-SE" w:eastAsia="sv-SE"/>
        </w:rPr>
        <w:drawing>
          <wp:inline distT="0" distB="0" distL="0" distR="0" wp14:anchorId="35854AC9" wp14:editId="4022BD4F">
            <wp:extent cx="5760000" cy="1828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60000" cy="1828800"/>
                    </a:xfrm>
                    <a:prstGeom prst="rect">
                      <a:avLst/>
                    </a:prstGeom>
                    <a:noFill/>
                  </pic:spPr>
                </pic:pic>
              </a:graphicData>
            </a:graphic>
          </wp:inline>
        </w:drawing>
      </w:r>
    </w:p>
    <w:p w14:paraId="5C1BD37F" w14:textId="19E67182" w:rsidR="00916FAD" w:rsidRDefault="00916FAD" w:rsidP="00916FAD">
      <w:pPr>
        <w:pStyle w:val="Caption"/>
      </w:pPr>
      <w:bookmarkStart w:id="18" w:name="_Ref481049343"/>
      <w:r>
        <w:t xml:space="preserve">Figure </w:t>
      </w:r>
      <w:r>
        <w:fldChar w:fldCharType="begin"/>
      </w:r>
      <w:r>
        <w:instrText xml:space="preserve"> SEQ Figure \* ARABIC </w:instrText>
      </w:r>
      <w:r>
        <w:fldChar w:fldCharType="separate"/>
      </w:r>
      <w:r w:rsidR="009A25A0">
        <w:rPr>
          <w:noProof/>
        </w:rPr>
        <w:t>7</w:t>
      </w:r>
      <w:r>
        <w:fldChar w:fldCharType="end"/>
      </w:r>
      <w:bookmarkEnd w:id="18"/>
      <w:r>
        <w:t>: Inter-cell interference cross-correlation</w:t>
      </w:r>
    </w:p>
    <w:p w14:paraId="6DA9CAD9" w14:textId="3D60A4EC" w:rsidR="008F2C22" w:rsidRDefault="00EE0E23" w:rsidP="00FF4058">
      <w:r>
        <w:t xml:space="preserve">To the left </w:t>
      </w:r>
      <w:r w:rsidR="00233FF7">
        <w:t xml:space="preserve">we </w:t>
      </w:r>
      <w:r>
        <w:t xml:space="preserve">study </w:t>
      </w:r>
      <w:r w:rsidR="00233FF7">
        <w:t xml:space="preserve">the </w:t>
      </w:r>
      <w:r>
        <w:t xml:space="preserve">LTE length 12 </w:t>
      </w:r>
      <w:r w:rsidR="00233FF7">
        <w:t xml:space="preserve">QPSK sequences </w:t>
      </w:r>
      <w:r>
        <w:t xml:space="preserve">found by computer search and how they </w:t>
      </w:r>
      <w:r w:rsidR="00233FF7">
        <w:t xml:space="preserve">correlate with </w:t>
      </w:r>
      <w:r>
        <w:t>each other</w:t>
      </w:r>
      <w:r w:rsidR="00364DC2">
        <w:t>, see</w:t>
      </w:r>
      <w:r w:rsidR="00984190">
        <w:t xml:space="preserve"> </w:t>
      </w:r>
      <w:r w:rsidR="00984190">
        <w:fldChar w:fldCharType="begin"/>
      </w:r>
      <w:r w:rsidR="00984190">
        <w:instrText xml:space="preserve"> REF _Ref481049343 \h </w:instrText>
      </w:r>
      <w:r w:rsidR="00984190">
        <w:fldChar w:fldCharType="separate"/>
      </w:r>
      <w:r w:rsidR="00A62464">
        <w:t xml:space="preserve">Figure </w:t>
      </w:r>
      <w:r w:rsidR="00A62464">
        <w:rPr>
          <w:noProof/>
        </w:rPr>
        <w:t>7</w:t>
      </w:r>
      <w:r w:rsidR="00984190">
        <w:fldChar w:fldCharType="end"/>
      </w:r>
      <w:r w:rsidR="008F2C22">
        <w:t>.</w:t>
      </w:r>
      <w:r>
        <w:t xml:space="preserve"> To the right we compare this baseline to the resource specific example introduced in [1], we can this see that these are basically on par.</w:t>
      </w:r>
      <w:r w:rsidR="00885037">
        <w:t xml:space="preserve"> </w:t>
      </w:r>
      <w:r>
        <w:t>T</w:t>
      </w:r>
      <w:r w:rsidR="009479F2">
        <w:t xml:space="preserve">he non resource </w:t>
      </w:r>
      <w:r>
        <w:t xml:space="preserve">example based on LTE would use the same length 12 QPSK </w:t>
      </w:r>
      <w:r>
        <w:lastRenderedPageBreak/>
        <w:t xml:space="preserve">sequences for a 4 PRB allocation but </w:t>
      </w:r>
      <w:r w:rsidR="009479F2">
        <w:t>w</w:t>
      </w:r>
      <w:r>
        <w:t>ould</w:t>
      </w:r>
      <w:r w:rsidR="009479F2">
        <w:t xml:space="preserve"> not</w:t>
      </w:r>
      <w:r>
        <w:t xml:space="preserve"> in general</w:t>
      </w:r>
      <w:r w:rsidR="009479F2">
        <w:t xml:space="preserve"> interfere with a matching length SRS in the inter-cell interference case</w:t>
      </w:r>
      <w:r>
        <w:t>.</w:t>
      </w:r>
      <w:r w:rsidR="009479F2">
        <w:t xml:space="preserve"> </w:t>
      </w:r>
      <w:r>
        <w:t xml:space="preserve">To investigate this </w:t>
      </w:r>
      <w:r w:rsidR="00984190">
        <w:t xml:space="preserve">type of </w:t>
      </w:r>
      <w:r w:rsidR="00B719FF">
        <w:t>interference scenario we</w:t>
      </w:r>
      <w:r w:rsidR="009479F2">
        <w:t xml:space="preserve"> </w:t>
      </w:r>
      <w:r w:rsidR="00B719FF">
        <w:t>consider</w:t>
      </w:r>
      <w:r w:rsidR="00984190">
        <w:t xml:space="preserve"> every other possible block size </w:t>
      </w:r>
      <w:r w:rsidR="00A62464">
        <w:t>that a given</w:t>
      </w:r>
      <w:r w:rsidR="00B719FF">
        <w:t xml:space="preserve"> sequence could interfere with </w:t>
      </w:r>
      <w:r w:rsidR="00984190">
        <w:t xml:space="preserve">i.e. 1,2,..,25 </w:t>
      </w:r>
      <w:r w:rsidR="00B719FF">
        <w:t xml:space="preserve">number of blocks each containing 4 PRBs, that is, </w:t>
      </w:r>
      <w:r w:rsidR="00984190">
        <w:t>corresponding to 4, 8, …, 100 PRB SRS allocations.</w:t>
      </w:r>
      <w:r w:rsidR="009479F2">
        <w:t xml:space="preserve"> </w:t>
      </w:r>
      <w:r w:rsidR="00B719FF">
        <w:t xml:space="preserve">To simulate this type of scenario </w:t>
      </w:r>
      <w:r w:rsidR="009479F2">
        <w:t xml:space="preserve">we consider that each SRS assignment is uniform random </w:t>
      </w:r>
      <w:r w:rsidR="00B719FF">
        <w:t xml:space="preserve">in size </w:t>
      </w:r>
      <w:r w:rsidR="009479F2">
        <w:t>between 1 and 25</w:t>
      </w:r>
      <w:r w:rsidR="00B719FF">
        <w:t xml:space="preserve">. </w:t>
      </w:r>
      <w:r w:rsidR="00C7355C">
        <w:t xml:space="preserve"> </w:t>
      </w:r>
      <w:r w:rsidR="00B719FF">
        <w:t xml:space="preserve">We still only </w:t>
      </w:r>
      <w:r w:rsidR="00C7355C">
        <w:t xml:space="preserve">considering </w:t>
      </w:r>
      <w:r w:rsidR="00B719FF">
        <w:t>the</w:t>
      </w:r>
      <w:r w:rsidR="00C7355C">
        <w:t xml:space="preserve"> situation</w:t>
      </w:r>
      <w:r w:rsidR="00B719FF">
        <w:t xml:space="preserve"> that the interference falls</w:t>
      </w:r>
      <w:r w:rsidR="00C7355C">
        <w:t xml:space="preserve"> within</w:t>
      </w:r>
      <w:r w:rsidR="00B719FF">
        <w:t xml:space="preserve"> the</w:t>
      </w:r>
      <w:r w:rsidR="00C7355C">
        <w:t xml:space="preserve"> cyclic prefix and </w:t>
      </w:r>
      <w:r w:rsidR="00B719FF">
        <w:t xml:space="preserve">that many </w:t>
      </w:r>
      <w:r w:rsidR="00C7355C">
        <w:t xml:space="preserve">cyclic </w:t>
      </w:r>
      <w:r w:rsidR="004F5D87">
        <w:t>shifts</w:t>
      </w:r>
      <w:r w:rsidR="00B719FF">
        <w:t xml:space="preserve"> is used</w:t>
      </w:r>
      <w:r w:rsidR="00C7355C">
        <w:t xml:space="preserve"> </w:t>
      </w:r>
      <w:r w:rsidR="00233FF7">
        <w:t>which we model by</w:t>
      </w:r>
      <w:r w:rsidR="00C7355C">
        <w:t xml:space="preserve"> </w:t>
      </w:r>
      <w:r w:rsidR="00B719FF">
        <w:t>a</w:t>
      </w:r>
      <w:r w:rsidR="00A62464">
        <w:t xml:space="preserve"> set</w:t>
      </w:r>
      <w:r w:rsidR="00B719FF">
        <w:t xml:space="preserve"> </w:t>
      </w:r>
      <w:r w:rsidR="00C7355C">
        <w:t>uniform</w:t>
      </w:r>
      <w:r w:rsidR="00A62464">
        <w:t>ly distributed</w:t>
      </w:r>
      <w:r w:rsidR="00C7355C">
        <w:t xml:space="preserve"> </w:t>
      </w:r>
      <w:r w:rsidR="00B719FF">
        <w:t xml:space="preserve">cyclic </w:t>
      </w:r>
      <w:r w:rsidR="00C7355C">
        <w:t>time-offsets</w:t>
      </w:r>
      <w:r w:rsidR="009479F2">
        <w:t xml:space="preserve">. This can be seen in </w:t>
      </w:r>
      <w:r w:rsidR="009479F2">
        <w:fldChar w:fldCharType="begin"/>
      </w:r>
      <w:r w:rsidR="009479F2">
        <w:instrText xml:space="preserve"> REF _Ref481050223 \h </w:instrText>
      </w:r>
      <w:r w:rsidR="009479F2">
        <w:fldChar w:fldCharType="separate"/>
      </w:r>
      <w:r w:rsidR="009479F2">
        <w:t xml:space="preserve">Figure </w:t>
      </w:r>
      <w:r w:rsidR="009479F2">
        <w:rPr>
          <w:noProof/>
        </w:rPr>
        <w:t>5</w:t>
      </w:r>
      <w:r w:rsidR="009479F2">
        <w:fldChar w:fldCharType="end"/>
      </w:r>
      <w:r w:rsidR="00B719FF">
        <w:t>. In the results</w:t>
      </w:r>
      <w:r w:rsidR="00517649">
        <w:t xml:space="preserve"> we can see a very small advantage for the resource specific SRS</w:t>
      </w:r>
      <w:r w:rsidR="00364DC2">
        <w:t>, but in principal they are on par from the point of view of cross-correlation</w:t>
      </w:r>
      <w:r w:rsidR="00A62464">
        <w:t xml:space="preserve"> between base-sequences</w:t>
      </w:r>
      <w:r w:rsidR="009479F2">
        <w:t xml:space="preserve">. </w:t>
      </w:r>
    </w:p>
    <w:p w14:paraId="5745E516" w14:textId="3FF0FF99" w:rsidR="00984190" w:rsidRDefault="00517649" w:rsidP="00984190">
      <w:pPr>
        <w:jc w:val="center"/>
      </w:pPr>
      <w:r>
        <w:rPr>
          <w:noProof/>
          <w:lang w:val="sv-SE" w:eastAsia="sv-SE"/>
        </w:rPr>
        <w:drawing>
          <wp:inline distT="0" distB="0" distL="0" distR="0" wp14:anchorId="684A6A59" wp14:editId="28AE15A8">
            <wp:extent cx="4744800" cy="1983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44800" cy="1983600"/>
                    </a:xfrm>
                    <a:prstGeom prst="rect">
                      <a:avLst/>
                    </a:prstGeom>
                    <a:noFill/>
                  </pic:spPr>
                </pic:pic>
              </a:graphicData>
            </a:graphic>
          </wp:inline>
        </w:drawing>
      </w:r>
    </w:p>
    <w:p w14:paraId="17448D7B" w14:textId="466A7600" w:rsidR="009479F2" w:rsidRDefault="009479F2" w:rsidP="009479F2">
      <w:pPr>
        <w:pStyle w:val="Caption"/>
      </w:pPr>
      <w:bookmarkStart w:id="19" w:name="_Ref481050223"/>
      <w:r>
        <w:t xml:space="preserve">Figure </w:t>
      </w:r>
      <w:r>
        <w:fldChar w:fldCharType="begin"/>
      </w:r>
      <w:r>
        <w:instrText xml:space="preserve"> SEQ Figure \* ARABIC </w:instrText>
      </w:r>
      <w:r>
        <w:fldChar w:fldCharType="separate"/>
      </w:r>
      <w:r w:rsidR="009A25A0">
        <w:rPr>
          <w:noProof/>
        </w:rPr>
        <w:t>8</w:t>
      </w:r>
      <w:r>
        <w:fldChar w:fldCharType="end"/>
      </w:r>
      <w:bookmarkEnd w:id="19"/>
      <w:r>
        <w:t>: Inter-cell cross-correlation with uniform random scheduling, 0 time-offset</w:t>
      </w:r>
    </w:p>
    <w:p w14:paraId="6F04D836" w14:textId="07B3F4B2" w:rsidR="00A71149" w:rsidRPr="00FF4058" w:rsidRDefault="00594692" w:rsidP="00FF4058">
      <w:r>
        <w:t xml:space="preserve">It </w:t>
      </w:r>
      <w:r w:rsidR="00A62464">
        <w:t xml:space="preserve">also </w:t>
      </w:r>
      <w:r>
        <w:t>turns out</w:t>
      </w:r>
      <w:r w:rsidR="00A62464">
        <w:t>, not shown,</w:t>
      </w:r>
      <w:r>
        <w:t xml:space="preserve"> that for a given sequence length, 300 in the </w:t>
      </w:r>
      <w:r w:rsidR="00B719FF">
        <w:t xml:space="preserve">resource specific example using a </w:t>
      </w:r>
      <w:r>
        <w:t>887 Zadoff-Chu, there is a trade-off between Cubic-Metric</w:t>
      </w:r>
      <w:r w:rsidR="00364DC2">
        <w:t xml:space="preserve"> and cross-correlation properties</w:t>
      </w:r>
      <w:r>
        <w:t xml:space="preserve">. Going for a very large prime improves Cubic Metric but hurts correlation properties. Hence to have a good trade-off between Cubic Metric and correlation properties </w:t>
      </w:r>
      <w:r w:rsidR="00601475">
        <w:t xml:space="preserve">for each carrier bandwidth different </w:t>
      </w:r>
      <w:r>
        <w:t>sequence</w:t>
      </w:r>
      <w:r w:rsidR="00601475">
        <w:t>s</w:t>
      </w:r>
      <w:r>
        <w:t xml:space="preserve"> </w:t>
      </w:r>
      <w:r w:rsidR="00601475">
        <w:t>are need</w:t>
      </w:r>
      <w:r w:rsidR="006E793A">
        <w:t>ed</w:t>
      </w:r>
      <w:r w:rsidR="00601475">
        <w:t xml:space="preserve"> due to</w:t>
      </w:r>
      <w:r>
        <w:t xml:space="preserve"> the sequence length</w:t>
      </w:r>
      <w:r w:rsidR="00601475">
        <w:t xml:space="preserve"> for the different carrier bandwidths</w:t>
      </w:r>
      <w:r>
        <w:t>. Consider for example a 20 MHz carrier with 1200</w:t>
      </w:r>
      <w:r w:rsidR="00D07479">
        <w:t xml:space="preserve"> </w:t>
      </w:r>
      <w:r>
        <w:t xml:space="preserve">sub-carriers would need a different SRS sequence (length 300 for comb 4) than a 40 Mhz carrier with 2400 sub-carriers (length 600 for comb 4).  </w:t>
      </w:r>
    </w:p>
    <w:p w14:paraId="52D14EC7" w14:textId="3BE75430" w:rsidR="00D91FAF" w:rsidRDefault="00D91FAF" w:rsidP="00D91FAF">
      <w:pPr>
        <w:pStyle w:val="Observation"/>
      </w:pPr>
      <w:bookmarkStart w:id="20" w:name="_Toc481584867"/>
      <w:bookmarkStart w:id="21" w:name="_Toc481572666"/>
      <w:bookmarkStart w:id="22" w:name="_Toc481584868"/>
      <w:bookmarkEnd w:id="20"/>
      <w:r>
        <w:t xml:space="preserve">For a </w:t>
      </w:r>
      <w:r w:rsidR="003123EA">
        <w:t>minimum</w:t>
      </w:r>
      <w:r>
        <w:t xml:space="preserve"> SRS allocation of 4 PRB using a 4 Comb a suitable number of cyclic shifts </w:t>
      </w:r>
      <w:r w:rsidR="005932FD">
        <w:t xml:space="preserve">to use </w:t>
      </w:r>
      <w:r>
        <w:t xml:space="preserve">is 4. For a SRS allocation of 8 PRBs or more on a 4 Comb a suitable </w:t>
      </w:r>
      <w:r w:rsidR="005932FD">
        <w:t xml:space="preserve">maximum </w:t>
      </w:r>
      <w:r>
        <w:t xml:space="preserve">number of cyclic shifts 8. Observe that the 4 cyclic shifts on a 4 PRB allocation </w:t>
      </w:r>
      <w:r w:rsidR="003123EA">
        <w:t>can be defined as</w:t>
      </w:r>
      <w:r>
        <w:t xml:space="preserve"> every second cyclic shift of the 8 </w:t>
      </w:r>
      <w:r w:rsidR="003123EA">
        <w:t xml:space="preserve">cyclic shifts </w:t>
      </w:r>
      <w:r>
        <w:t>on a 8 PRB or larger allocation.</w:t>
      </w:r>
    </w:p>
    <w:bookmarkEnd w:id="21"/>
    <w:bookmarkEnd w:id="22"/>
    <w:p w14:paraId="36964AAD" w14:textId="7B6E0F2E" w:rsidR="002313DD" w:rsidRPr="00F40AEB" w:rsidRDefault="002313DD" w:rsidP="00B7011F">
      <w:pPr>
        <w:pStyle w:val="Observation"/>
      </w:pPr>
      <w:r>
        <w:t xml:space="preserve">To maintain good </w:t>
      </w:r>
      <w:r w:rsidR="00DB38A6">
        <w:t xml:space="preserve">SRS </w:t>
      </w:r>
      <w:r>
        <w:t xml:space="preserve">sequence </w:t>
      </w:r>
      <w:r w:rsidR="00DB38A6">
        <w:t>properties,</w:t>
      </w:r>
      <w:r>
        <w:t xml:space="preserve"> the sequence </w:t>
      </w:r>
      <w:r w:rsidR="00DB38A6">
        <w:t>need</w:t>
      </w:r>
      <w:r w:rsidR="006668BD">
        <w:t>s</w:t>
      </w:r>
      <w:r w:rsidR="00DB38A6">
        <w:t xml:space="preserve"> to</w:t>
      </w:r>
      <w:r>
        <w:t xml:space="preserve"> be ad</w:t>
      </w:r>
      <w:r w:rsidR="006668BD">
        <w:t>a</w:t>
      </w:r>
      <w:r>
        <w:t>pted to the carrier bandwidth</w:t>
      </w:r>
      <w:r w:rsidR="00DB38A6">
        <w:t>, the number of Combs and the minimum SRS frequency resource</w:t>
      </w:r>
    </w:p>
    <w:p w14:paraId="71A635FB" w14:textId="114EF620" w:rsidR="00916FAD" w:rsidRDefault="00916FAD" w:rsidP="00F40AEB">
      <w:pPr>
        <w:pStyle w:val="Proposal"/>
      </w:pPr>
      <w:bookmarkStart w:id="23" w:name="_Toc481572673"/>
      <w:bookmarkStart w:id="24" w:name="_Toc481584875"/>
      <w:bookmarkStart w:id="25" w:name="_Toc481147566"/>
      <w:bookmarkStart w:id="26" w:name="_Toc481491068"/>
      <w:bookmarkStart w:id="27" w:name="_Toc481492015"/>
      <w:bookmarkStart w:id="28" w:name="_Toc481492118"/>
      <w:bookmarkStart w:id="29" w:name="_Toc481492326"/>
      <w:bookmarkStart w:id="30" w:name="_Toc481492374"/>
      <w:bookmarkStart w:id="31" w:name="_Toc481572674"/>
      <w:bookmarkStart w:id="32" w:name="_Toc481584876"/>
      <w:bookmarkStart w:id="33" w:name="_Toc481589675"/>
      <w:bookmarkStart w:id="34" w:name="_Toc481589762"/>
      <w:bookmarkStart w:id="35" w:name="_Toc481671054"/>
      <w:bookmarkStart w:id="36" w:name="_Toc481671603"/>
      <w:bookmarkStart w:id="37" w:name="_Toc481743789"/>
      <w:bookmarkStart w:id="38" w:name="_Toc481753026"/>
      <w:bookmarkEnd w:id="23"/>
      <w:bookmarkEnd w:id="24"/>
      <w:r>
        <w:t xml:space="preserve">On a 4 Comb </w:t>
      </w:r>
      <w:r w:rsidR="00364DC2">
        <w:t>support</w:t>
      </w:r>
      <w:r>
        <w:t xml:space="preserve"> </w:t>
      </w:r>
      <w:r w:rsidR="00364DC2">
        <w:t xml:space="preserve">8 </w:t>
      </w:r>
      <w:r>
        <w:t>cyclic shifts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5AD4418" w14:textId="4F20F72B" w:rsidR="00E10F7D" w:rsidRDefault="00007FCD" w:rsidP="00E10F7D">
      <w:pPr>
        <w:pStyle w:val="Heading2"/>
      </w:pPr>
      <w:bookmarkStart w:id="39" w:name="_Ref481585511"/>
      <w:r>
        <w:t>M</w:t>
      </w:r>
      <w:r w:rsidR="00E10F7D">
        <w:t xml:space="preserve">ulti-symbol SRS and intra-slot </w:t>
      </w:r>
      <w:r w:rsidR="008C5307">
        <w:t xml:space="preserve">and inter-slot </w:t>
      </w:r>
      <w:r w:rsidR="00E10F7D">
        <w:t>hopping</w:t>
      </w:r>
      <w:bookmarkEnd w:id="39"/>
    </w:p>
    <w:p w14:paraId="40B39F84" w14:textId="0315922E" w:rsidR="00D1376B" w:rsidRDefault="00514CE3" w:rsidP="00514CE3">
      <w:r>
        <w:t xml:space="preserve">One of the mayor use cases for SRS in NR is reciprocity operation, this will probably drive the power budget and the number of needed SRS per </w:t>
      </w:r>
      <w:r w:rsidR="00122A7F">
        <w:t>slot</w:t>
      </w:r>
      <w:r>
        <w:t xml:space="preserve"> and PRB. Consider as an example a 128 antenna base-station which </w:t>
      </w:r>
      <w:r w:rsidR="004465AC">
        <w:t>in theory can serve 128 spatial layers in DL but due to practical reasons only will</w:t>
      </w:r>
      <w:r>
        <w:t xml:space="preserve"> serve</w:t>
      </w:r>
      <w:r w:rsidR="004465AC">
        <w:t xml:space="preserve"> perhaps</w:t>
      </w:r>
      <w:r>
        <w:t xml:space="preserve"> 32 spatial layers</w:t>
      </w:r>
      <w:r w:rsidR="004465AC">
        <w:t xml:space="preserve">. </w:t>
      </w:r>
      <w:r w:rsidR="003123EA">
        <w:t>Observe that w</w:t>
      </w:r>
      <w:r w:rsidR="000E6BF4">
        <w:t xml:space="preserve">ith good DL beam-forming the number of spatial layers </w:t>
      </w:r>
      <w:r w:rsidR="003123EA">
        <w:t>is</w:t>
      </w:r>
      <w:r w:rsidR="000E6BF4">
        <w:t xml:space="preserve"> not limited by the number of orthogonal DM-RS ports due to that differen</w:t>
      </w:r>
      <w:r w:rsidR="003123EA">
        <w:t>t</w:t>
      </w:r>
      <w:r w:rsidR="000E6BF4">
        <w:t xml:space="preserve"> base-sequences can assigned to UEs that are well spatially separated.</w:t>
      </w:r>
      <w:r w:rsidR="003123EA">
        <w:t xml:space="preserve"> </w:t>
      </w:r>
      <w:r w:rsidR="004465AC">
        <w:t>If we want to serve 32 spatial layers and hence sound at least 32 ports in one slot this</w:t>
      </w:r>
      <w:r>
        <w:t xml:space="preserve"> implies that if we can multiplex 16 SRS per </w:t>
      </w:r>
      <w:r w:rsidR="00122A7F">
        <w:t>PRB</w:t>
      </w:r>
      <w:r w:rsidR="001178CF">
        <w:t xml:space="preserve"> and symbol</w:t>
      </w:r>
      <w:r w:rsidR="00122A7F">
        <w:t xml:space="preserve"> </w:t>
      </w:r>
      <w:r>
        <w:t xml:space="preserve">that we need at least 2 SRS OFDM symbols per </w:t>
      </w:r>
      <w:r w:rsidR="00122A7F">
        <w:t>slot</w:t>
      </w:r>
      <w:r w:rsidR="00EC7317">
        <w:t xml:space="preserve">, in case of frequency reuse on Comb 2 or 4 this value </w:t>
      </w:r>
      <w:r w:rsidR="00702CFB">
        <w:t>can increase</w:t>
      </w:r>
      <w:r w:rsidR="00EC7317">
        <w:t xml:space="preserve"> </w:t>
      </w:r>
      <w:r w:rsidR="00702CFB">
        <w:t xml:space="preserve">as much as </w:t>
      </w:r>
      <w:r w:rsidR="00EC7317">
        <w:t>to 4 or 8 OFDM symbols</w:t>
      </w:r>
      <w:r>
        <w:t>.</w:t>
      </w:r>
      <w:bookmarkStart w:id="40" w:name="_Toc480814718"/>
      <w:bookmarkEnd w:id="40"/>
    </w:p>
    <w:p w14:paraId="32ED6093" w14:textId="21537FAC" w:rsidR="002E0E0D" w:rsidRDefault="00DF59EF" w:rsidP="00514CE3">
      <w:r>
        <w:t xml:space="preserve">The size of base-station array also influences the link budget of the SRS in relation to the DL data on PDSCH. This </w:t>
      </w:r>
      <w:r w:rsidR="00F364D9">
        <w:t xml:space="preserve">is </w:t>
      </w:r>
      <w:r>
        <w:t>due to that the SRS do</w:t>
      </w:r>
      <w:r w:rsidR="002E0E0D">
        <w:t>es no</w:t>
      </w:r>
      <w:r>
        <w:t xml:space="preserve">t benefit from the beam-forming gain achieved for the DL data. </w:t>
      </w:r>
      <w:r w:rsidR="002E0E0D">
        <w:t>Hence if we scale the antenna array a factor 10 we can need to scale the power budget on SRS a factor 10 to maintain the estimation quality on SRS.</w:t>
      </w:r>
    </w:p>
    <w:p w14:paraId="5A41C099" w14:textId="407CACE6" w:rsidR="00EC7317" w:rsidRDefault="002E0E0D" w:rsidP="00514CE3">
      <w:r>
        <w:lastRenderedPageBreak/>
        <w:t>For a more detailed analysis we can c</w:t>
      </w:r>
      <w:r w:rsidR="00DF59EF">
        <w:t xml:space="preserve">onsider </w:t>
      </w:r>
      <w:r>
        <w:t>again a 128 antenna BS with</w:t>
      </w:r>
      <w:r w:rsidR="00514CE3">
        <w:t xml:space="preserve"> 32 spatial layers </w:t>
      </w:r>
      <w:r>
        <w:t xml:space="preserve">that </w:t>
      </w:r>
      <w:r w:rsidR="00514CE3">
        <w:t xml:space="preserve">are distributed over 16 </w:t>
      </w:r>
      <w:r w:rsidR="00AC6C0F">
        <w:t>UEs with 2 TX/RX and</w:t>
      </w:r>
      <w:r>
        <w:t xml:space="preserve"> 23 dBm power.</w:t>
      </w:r>
      <w:r w:rsidR="00514CE3">
        <w:t xml:space="preserve"> </w:t>
      </w:r>
      <w:r>
        <w:t>If</w:t>
      </w:r>
      <w:r w:rsidR="00514CE3">
        <w:t xml:space="preserve"> the base-</w:t>
      </w:r>
      <w:r>
        <w:t>station has</w:t>
      </w:r>
      <w:r w:rsidR="00514CE3">
        <w:t xml:space="preserve"> 46 dBm</w:t>
      </w:r>
      <w:r>
        <w:t xml:space="preserve"> power</w:t>
      </w:r>
      <w:r w:rsidR="00514CE3">
        <w:t xml:space="preserve"> there is</w:t>
      </w:r>
      <w:r>
        <w:t xml:space="preserve"> roughly a 30 dB difference due to</w:t>
      </w:r>
      <w:r w:rsidR="008C5307">
        <w:t xml:space="preserve"> around 18 dB beam-forming difference and 11 dBm power difference</w:t>
      </w:r>
      <w:r w:rsidR="00AE1ED4">
        <w:t xml:space="preserve"> if you divide the base-station power equally over the UEs</w:t>
      </w:r>
      <w:r w:rsidR="008C5307">
        <w:t xml:space="preserve">. </w:t>
      </w:r>
      <w:r w:rsidR="00E25030">
        <w:t>A fact that offsets this big difference</w:t>
      </w:r>
      <w:r w:rsidR="00DF59EF">
        <w:t xml:space="preserve"> </w:t>
      </w:r>
      <w:r w:rsidR="00AE1ED4">
        <w:t xml:space="preserve">is that </w:t>
      </w:r>
      <w:r w:rsidR="008C5307">
        <w:t xml:space="preserve">the SNR requirements on SRS </w:t>
      </w:r>
      <w:r w:rsidR="00247C4A">
        <w:t>is</w:t>
      </w:r>
      <w:r w:rsidR="008C5307">
        <w:t xml:space="preserve"> much lower than </w:t>
      </w:r>
      <w:r w:rsidR="00DF59EF">
        <w:t xml:space="preserve">the SNR </w:t>
      </w:r>
      <w:r w:rsidR="00AE1ED4">
        <w:t xml:space="preserve">we </w:t>
      </w:r>
      <w:r w:rsidR="00DF59EF">
        <w:t xml:space="preserve">want </w:t>
      </w:r>
      <w:r w:rsidR="008C5307">
        <w:t xml:space="preserve">on DL data, </w:t>
      </w:r>
      <w:r w:rsidR="00983769">
        <w:t>and we can</w:t>
      </w:r>
      <w:r w:rsidR="00AE1ED4">
        <w:t xml:space="preserve"> also</w:t>
      </w:r>
      <w:r w:rsidR="00983769">
        <w:t xml:space="preserve"> expect</w:t>
      </w:r>
      <w:r w:rsidR="008C5307">
        <w:t xml:space="preserve"> impairment losses in the DL beam-forming. </w:t>
      </w:r>
      <w:r w:rsidR="00AC6C0F">
        <w:t xml:space="preserve">In </w:t>
      </w:r>
      <w:r w:rsidR="00600D2D">
        <w:fldChar w:fldCharType="begin"/>
      </w:r>
      <w:r w:rsidR="00600D2D">
        <w:instrText xml:space="preserve"> REF _Ref481486796 \h </w:instrText>
      </w:r>
      <w:r w:rsidR="00600D2D">
        <w:fldChar w:fldCharType="separate"/>
      </w:r>
      <w:r w:rsidR="00F364D9">
        <w:t xml:space="preserve">Figure </w:t>
      </w:r>
      <w:r w:rsidR="00F364D9">
        <w:rPr>
          <w:noProof/>
        </w:rPr>
        <w:t>9</w:t>
      </w:r>
      <w:r w:rsidR="00600D2D">
        <w:fldChar w:fldCharType="end"/>
      </w:r>
      <w:r w:rsidR="00600D2D">
        <w:t xml:space="preserve"> </w:t>
      </w:r>
      <w:r w:rsidR="00AC6C0F">
        <w:t xml:space="preserve">we can see that operating </w:t>
      </w:r>
      <w:r w:rsidR="00E25030">
        <w:t xml:space="preserve">SRS </w:t>
      </w:r>
      <w:r w:rsidR="00AC6C0F">
        <w:t xml:space="preserve">at -10 dB SNR only gives </w:t>
      </w:r>
      <w:r>
        <w:t xml:space="preserve">a </w:t>
      </w:r>
      <w:r w:rsidR="00AC6C0F">
        <w:t>moderate loss</w:t>
      </w:r>
      <w:r>
        <w:t xml:space="preserve"> in gain</w:t>
      </w:r>
      <w:r w:rsidR="00AC6C0F">
        <w:t xml:space="preserve"> </w:t>
      </w:r>
      <w:r w:rsidR="00600D2D">
        <w:t>of</w:t>
      </w:r>
      <w:r w:rsidR="00427EAB">
        <w:t xml:space="preserve"> around</w:t>
      </w:r>
      <w:r>
        <w:t xml:space="preserve"> 0.5 dB</w:t>
      </w:r>
      <w:r w:rsidR="00600D2D">
        <w:t xml:space="preserve"> </w:t>
      </w:r>
      <w:r w:rsidR="00AC6C0F">
        <w:t xml:space="preserve">for a wide-band DL beam-forming strategy. </w:t>
      </w:r>
      <w:r w:rsidR="008C5307">
        <w:t xml:space="preserve">Hence </w:t>
      </w:r>
      <w:r>
        <w:t xml:space="preserve">this more detailed reasoning also gives that </w:t>
      </w:r>
      <w:r w:rsidR="008C5307">
        <w:t>in the ball-park 10 dB can be necessary to compensate using multi-symbol SRS.</w:t>
      </w:r>
      <w:r w:rsidR="00EC7317">
        <w:t xml:space="preserve"> </w:t>
      </w:r>
    </w:p>
    <w:p w14:paraId="31D304D5" w14:textId="471E7652" w:rsidR="00AC6C0F" w:rsidRDefault="00600D2D" w:rsidP="00600D2D">
      <w:pPr>
        <w:jc w:val="center"/>
      </w:pPr>
      <w:r>
        <w:rPr>
          <w:noProof/>
          <w:lang w:val="sv-SE" w:eastAsia="sv-SE"/>
        </w:rPr>
        <w:drawing>
          <wp:inline distT="0" distB="0" distL="0" distR="0" wp14:anchorId="0727C97F" wp14:editId="7BE6CC01">
            <wp:extent cx="2401200" cy="1868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01200" cy="1868400"/>
                    </a:xfrm>
                    <a:prstGeom prst="rect">
                      <a:avLst/>
                    </a:prstGeom>
                    <a:noFill/>
                  </pic:spPr>
                </pic:pic>
              </a:graphicData>
            </a:graphic>
          </wp:inline>
        </w:drawing>
      </w:r>
    </w:p>
    <w:p w14:paraId="76AE090B" w14:textId="5997226D" w:rsidR="00600D2D" w:rsidRDefault="00600D2D" w:rsidP="00600D2D">
      <w:pPr>
        <w:pStyle w:val="Caption"/>
      </w:pPr>
      <w:bookmarkStart w:id="41" w:name="_Ref481486796"/>
      <w:r>
        <w:t xml:space="preserve">Figure </w:t>
      </w:r>
      <w:r>
        <w:fldChar w:fldCharType="begin"/>
      </w:r>
      <w:r>
        <w:instrText xml:space="preserve"> SEQ Figure \* ARABIC </w:instrText>
      </w:r>
      <w:r>
        <w:fldChar w:fldCharType="separate"/>
      </w:r>
      <w:r w:rsidR="00F364D9">
        <w:rPr>
          <w:noProof/>
        </w:rPr>
        <w:t>9</w:t>
      </w:r>
      <w:r>
        <w:fldChar w:fldCharType="end"/>
      </w:r>
      <w:bookmarkEnd w:id="41"/>
      <w:r>
        <w:t xml:space="preserve">: Reciprocity wideband BF-loss, -10 </w:t>
      </w:r>
      <w:r w:rsidR="00F364D9">
        <w:t>dB</w:t>
      </w:r>
      <w:r>
        <w:t xml:space="preserve"> SNR, CDL_A 300ns, 128 RX/TX BS, 2 TX/RX UE, </w:t>
      </w:r>
      <w:r w:rsidR="009A0480">
        <w:t>Resource specific SRS,</w:t>
      </w:r>
      <w:r>
        <w:t xml:space="preserve"> Comb 4 SRS, </w:t>
      </w:r>
      <w:r w:rsidR="009A0480">
        <w:t>1</w:t>
      </w:r>
      <w:r>
        <w:t xml:space="preserve"> CS on Comb 0</w:t>
      </w:r>
      <w:r w:rsidR="009A0480">
        <w:t>, 1</w:t>
      </w:r>
    </w:p>
    <w:p w14:paraId="2DA956AC" w14:textId="5A8D0B1D" w:rsidR="00514CE3" w:rsidRDefault="00EC7317" w:rsidP="00514CE3">
      <w:r>
        <w:t>Observe that for SU-MIMO scenarios i.e. rural cases this calculation becomes even worse and a very large offset is created between UL SRS and DL data. But that in those scenarios the beam-management procedures can be used, instead of reciprocity that is assumed to give the maximum system capacity in dense city scenarios.</w:t>
      </w:r>
    </w:p>
    <w:p w14:paraId="22413C13" w14:textId="280694B6" w:rsidR="008C5307" w:rsidRDefault="008C5307" w:rsidP="008C5307">
      <w:pPr>
        <w:pStyle w:val="Observation"/>
      </w:pPr>
      <w:bookmarkStart w:id="42" w:name="_Toc481572668"/>
      <w:bookmarkStart w:id="43" w:name="_Toc481584870"/>
      <w:r>
        <w:t>At least 2 OFDM symbols is needed within 1 slot to support MU-MIMO and high Doppler users</w:t>
      </w:r>
      <w:bookmarkEnd w:id="42"/>
      <w:bookmarkEnd w:id="43"/>
    </w:p>
    <w:p w14:paraId="43616A49" w14:textId="624B62D4" w:rsidR="00A92072" w:rsidRDefault="00EC7317" w:rsidP="00A92072">
      <w:pPr>
        <w:pStyle w:val="Observation"/>
      </w:pPr>
      <w:bookmarkStart w:id="44" w:name="_Toc481572669"/>
      <w:bookmarkStart w:id="45" w:name="_Toc481584871"/>
      <w:r>
        <w:t>At least</w:t>
      </w:r>
      <w:r w:rsidR="008C5307">
        <w:t xml:space="preserve"> 8 OFDM symbols for SRS can be needed in NR for reciprocity operation</w:t>
      </w:r>
      <w:r>
        <w:t xml:space="preserve"> due to </w:t>
      </w:r>
      <w:r w:rsidR="00A01254">
        <w:t>the link-budget imbalance betwee</w:t>
      </w:r>
      <w:r w:rsidR="00522536">
        <w:t>n</w:t>
      </w:r>
      <w:r w:rsidR="00A01254">
        <w:t xml:space="preserve"> DL and UL</w:t>
      </w:r>
      <w:bookmarkEnd w:id="44"/>
      <w:bookmarkEnd w:id="45"/>
    </w:p>
    <w:p w14:paraId="0A9062D7" w14:textId="4245A887" w:rsidR="008C5307" w:rsidRDefault="00A92072" w:rsidP="00A92072">
      <w:r w:rsidRPr="00A92072">
        <w:t xml:space="preserve">Overall conclusion </w:t>
      </w:r>
      <w:r w:rsidR="003909C7">
        <w:t>is that we c</w:t>
      </w:r>
      <w:r w:rsidRPr="00A92072">
        <w:t xml:space="preserve">ould support 8 OFDM symbols SRS, but these can be distributed over multiple slots </w:t>
      </w:r>
      <w:r w:rsidR="00EC7317" w:rsidRPr="00A92072">
        <w:t xml:space="preserve">or be contained within one slot. How this distribution should look like is very scenario </w:t>
      </w:r>
      <w:r w:rsidR="005737E1">
        <w:t>dependent, f</w:t>
      </w:r>
      <w:r w:rsidRPr="00A92072">
        <w:t>or example</w:t>
      </w:r>
      <w:r>
        <w:t>,</w:t>
      </w:r>
      <w:r w:rsidR="005737E1">
        <w:t xml:space="preserve"> with a user</w:t>
      </w:r>
      <w:r>
        <w:t xml:space="preserve"> with bad path gain and high Doppler all 8 </w:t>
      </w:r>
      <w:r w:rsidR="005737E1">
        <w:t>need to</w:t>
      </w:r>
      <w:r>
        <w:t xml:space="preserve"> be contained within one slot. But if bad path gain users are indoor users these would not be expected to have high Doppler hence allowing these users to distribute the 8 SRS </w:t>
      </w:r>
      <w:r w:rsidR="00FB098F">
        <w:t xml:space="preserve">OFDM symbols </w:t>
      </w:r>
      <w:r>
        <w:t>over e.g. 4 slots with 2 OFDM symbols</w:t>
      </w:r>
      <w:r w:rsidR="003909C7">
        <w:t xml:space="preserve"> each</w:t>
      </w:r>
      <w:r>
        <w:t xml:space="preserve">. This configuration then for the same overhead gives lower average delay for the users that </w:t>
      </w:r>
      <w:r w:rsidR="0007569C">
        <w:t>have sufficiently good coverage to sound using only</w:t>
      </w:r>
      <w:r>
        <w:t xml:space="preserve"> 2 symbol SRS</w:t>
      </w:r>
      <w:r w:rsidR="0007569C">
        <w:t xml:space="preserve">. </w:t>
      </w:r>
      <w:r w:rsidR="00FB098F">
        <w:t>This d</w:t>
      </w:r>
      <w:r w:rsidR="0007569C">
        <w:t>ue to that these users</w:t>
      </w:r>
      <w:r w:rsidR="00AB537C">
        <w:t xml:space="preserve"> can be given a SRS each 2 OFDM symbol SRS opportunity</w:t>
      </w:r>
      <w:r w:rsidR="00735ADB">
        <w:t>.</w:t>
      </w:r>
    </w:p>
    <w:p w14:paraId="475BBF21" w14:textId="3F22022F" w:rsidR="003909C7" w:rsidRDefault="003909C7" w:rsidP="00FA2857">
      <w:pPr>
        <w:pStyle w:val="Proposal"/>
      </w:pPr>
      <w:bookmarkStart w:id="46" w:name="_Toc481147572"/>
      <w:bookmarkStart w:id="47" w:name="_Toc481491071"/>
      <w:bookmarkStart w:id="48" w:name="_Toc481492018"/>
      <w:bookmarkStart w:id="49" w:name="_Toc481492121"/>
      <w:bookmarkStart w:id="50" w:name="_Toc481492329"/>
      <w:bookmarkStart w:id="51" w:name="_Toc481492377"/>
      <w:bookmarkStart w:id="52" w:name="_Toc481572677"/>
      <w:bookmarkStart w:id="53" w:name="_Toc481584879"/>
      <w:bookmarkStart w:id="54" w:name="_Toc481589678"/>
      <w:bookmarkStart w:id="55" w:name="_Toc481589765"/>
      <w:bookmarkStart w:id="56" w:name="_Toc481671056"/>
      <w:bookmarkStart w:id="57" w:name="_Toc481671605"/>
      <w:bookmarkStart w:id="58" w:name="_Toc481743790"/>
      <w:bookmarkStart w:id="59" w:name="_Toc481753027"/>
      <w:r>
        <w:t>Support 1, 2 and 4 OFDM symbol SRS within one slot</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98E501A" w14:textId="6CE38A4D" w:rsidR="00A2161F" w:rsidRDefault="00735ADB" w:rsidP="00F84BF1">
      <w:pPr>
        <w:pStyle w:val="BodyText"/>
      </w:pPr>
      <w:r>
        <w:t xml:space="preserve">In </w:t>
      </w:r>
      <w:r>
        <w:fldChar w:fldCharType="begin"/>
      </w:r>
      <w:r>
        <w:instrText xml:space="preserve"> REF _Ref481579483 \h </w:instrText>
      </w:r>
      <w:r>
        <w:fldChar w:fldCharType="separate"/>
      </w:r>
      <w:r>
        <w:t xml:space="preserve">Figure </w:t>
      </w:r>
      <w:r>
        <w:rPr>
          <w:noProof/>
        </w:rPr>
        <w:t>10</w:t>
      </w:r>
      <w:r>
        <w:fldChar w:fldCharType="end"/>
      </w:r>
      <w:r>
        <w:t xml:space="preserve"> we illustrate this by using either a large SRS in Option A were everyone can sound the channel including the user with bad path gain, hence the channel estimate will age over time an everyone will have a channel estimate with age 1, 3, 5 and 7 slots when performing DL transmissions. On the other hand, if you distribute the SRS as in Option B, normal users with good coverage always have a new estimate when performing DL transmissions, observe that </w:t>
      </w:r>
      <w:r>
        <w:t xml:space="preserve">UE1 can </w:t>
      </w:r>
      <w:r>
        <w:t xml:space="preserve">thus </w:t>
      </w:r>
      <w:r>
        <w:t>be dif</w:t>
      </w:r>
      <w:r>
        <w:t>ferent users in different slots</w:t>
      </w:r>
      <w:bookmarkStart w:id="60" w:name="_GoBack"/>
      <w:bookmarkEnd w:id="60"/>
      <w:r>
        <w:t>.</w:t>
      </w:r>
    </w:p>
    <w:p w14:paraId="7C8B34ED" w14:textId="0FADC2CF" w:rsidR="00AB537C" w:rsidRDefault="00AB537C" w:rsidP="00F84BF1">
      <w:pPr>
        <w:pStyle w:val="BodyText"/>
      </w:pPr>
      <w:r>
        <w:rPr>
          <w:noProof/>
          <w:lang w:val="sv-SE" w:eastAsia="sv-SE"/>
        </w:rPr>
        <w:lastRenderedPageBreak/>
        <w:drawing>
          <wp:inline distT="0" distB="0" distL="0" distR="0" wp14:anchorId="7E66E101" wp14:editId="3D906ABC">
            <wp:extent cx="5990400" cy="2329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90400" cy="2329200"/>
                    </a:xfrm>
                    <a:prstGeom prst="rect">
                      <a:avLst/>
                    </a:prstGeom>
                    <a:noFill/>
                  </pic:spPr>
                </pic:pic>
              </a:graphicData>
            </a:graphic>
          </wp:inline>
        </w:drawing>
      </w:r>
    </w:p>
    <w:p w14:paraId="18172710" w14:textId="27A653B8" w:rsidR="00AB537C" w:rsidRPr="00A92072" w:rsidRDefault="00AB537C" w:rsidP="00F84BF1">
      <w:pPr>
        <w:pStyle w:val="Caption"/>
      </w:pPr>
      <w:bookmarkStart w:id="61" w:name="_Ref481579483"/>
      <w:r>
        <w:t xml:space="preserve">Figure </w:t>
      </w:r>
      <w:r>
        <w:fldChar w:fldCharType="begin"/>
      </w:r>
      <w:r>
        <w:instrText xml:space="preserve"> SEQ Figure \* ARABIC </w:instrText>
      </w:r>
      <w:r>
        <w:fldChar w:fldCharType="separate"/>
      </w:r>
      <w:r w:rsidR="00F364D9">
        <w:rPr>
          <w:noProof/>
        </w:rPr>
        <w:t>10</w:t>
      </w:r>
      <w:r>
        <w:fldChar w:fldCharType="end"/>
      </w:r>
      <w:bookmarkEnd w:id="61"/>
      <w:r>
        <w:t>: SRS using 8 symbols in 1 slot or 2 symbols in 4 slots</w:t>
      </w:r>
    </w:p>
    <w:p w14:paraId="5BCE7337" w14:textId="60E344D9" w:rsidR="005737E1" w:rsidRDefault="005737E1" w:rsidP="00514CE3"/>
    <w:p w14:paraId="09D51A51" w14:textId="0A5825E4" w:rsidR="005737E1" w:rsidRDefault="005737E1" w:rsidP="005737E1">
      <w:pPr>
        <w:pStyle w:val="Heading2"/>
      </w:pPr>
      <w:r>
        <w:t>Multi-symbol SRS and port mapping</w:t>
      </w:r>
    </w:p>
    <w:p w14:paraId="72B25DC3" w14:textId="40BC88F2" w:rsidR="005737E1" w:rsidRDefault="00D043D3" w:rsidP="005737E1">
      <w:r>
        <w:t>When deciding how to map multiple ports onto resources in a multi-symbol SRS there are some considerations. We will here discuss cubic-metric, PAPR, power amplifier utilization and analogue beam-forming.</w:t>
      </w:r>
    </w:p>
    <w:p w14:paraId="1BDE9424" w14:textId="1282C860" w:rsidR="00D043D3" w:rsidRDefault="00D043D3" w:rsidP="005737E1">
      <w:r>
        <w:t xml:space="preserve">The simplest case is for analogue beam-forming where we have a clear limitation on that different beam-directions </w:t>
      </w:r>
      <w:r w:rsidR="00005C01">
        <w:t>must</w:t>
      </w:r>
      <w:r>
        <w:t xml:space="preserve"> be separated over different OFDM symbols</w:t>
      </w:r>
      <w:r w:rsidR="00005C01">
        <w:t xml:space="preserve"> due to the limitations in analogue beam-forming, this is then depicted in </w:t>
      </w:r>
      <w:r w:rsidR="00005C01">
        <w:fldChar w:fldCharType="begin"/>
      </w:r>
      <w:r w:rsidR="00005C01">
        <w:instrText xml:space="preserve"> REF _Ref481139591 \h </w:instrText>
      </w:r>
      <w:r w:rsidR="00005C01">
        <w:fldChar w:fldCharType="separate"/>
      </w:r>
      <w:r w:rsidR="00F364D9">
        <w:t xml:space="preserve">Figure </w:t>
      </w:r>
      <w:r w:rsidR="00F364D9">
        <w:rPr>
          <w:noProof/>
        </w:rPr>
        <w:t>11</w:t>
      </w:r>
      <w:r w:rsidR="00005C01">
        <w:fldChar w:fldCharType="end"/>
      </w:r>
      <w:r w:rsidR="005F6384">
        <w:t xml:space="preserve"> Option a)</w:t>
      </w:r>
      <w:r>
        <w:t xml:space="preserve">. Hence the </w:t>
      </w:r>
      <w:r w:rsidR="00005C01">
        <w:t xml:space="preserve">wanted </w:t>
      </w:r>
      <w:r>
        <w:t xml:space="preserve">number of ports per </w:t>
      </w:r>
      <w:r w:rsidR="00005C01">
        <w:t xml:space="preserve">OFDM symbol is the number of analogue beam-formers in the UE e.g. 1 in the example in </w:t>
      </w:r>
      <w:r w:rsidR="00005C01">
        <w:fldChar w:fldCharType="begin"/>
      </w:r>
      <w:r w:rsidR="00005C01">
        <w:instrText xml:space="preserve"> REF _Ref481139591 \h </w:instrText>
      </w:r>
      <w:r w:rsidR="00005C01">
        <w:fldChar w:fldCharType="separate"/>
      </w:r>
      <w:r w:rsidR="00F364D9">
        <w:t xml:space="preserve">Figure </w:t>
      </w:r>
      <w:r w:rsidR="00F364D9">
        <w:rPr>
          <w:noProof/>
        </w:rPr>
        <w:t>11</w:t>
      </w:r>
      <w:r w:rsidR="00005C01">
        <w:fldChar w:fldCharType="end"/>
      </w:r>
      <w:r w:rsidR="00005C01">
        <w:t>.</w:t>
      </w:r>
    </w:p>
    <w:p w14:paraId="129AF3B4" w14:textId="3DCE75FD" w:rsidR="00005C01" w:rsidRDefault="00F364D9" w:rsidP="00F364D9">
      <w:pPr>
        <w:jc w:val="center"/>
      </w:pPr>
      <w:r>
        <w:rPr>
          <w:noProof/>
          <w:lang w:val="sv-SE" w:eastAsia="sv-SE"/>
        </w:rPr>
        <w:drawing>
          <wp:inline distT="0" distB="0" distL="0" distR="0" wp14:anchorId="3CD8DC46" wp14:editId="523C827A">
            <wp:extent cx="4561200" cy="2664000"/>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61200" cy="2664000"/>
                    </a:xfrm>
                    <a:prstGeom prst="rect">
                      <a:avLst/>
                    </a:prstGeom>
                    <a:noFill/>
                  </pic:spPr>
                </pic:pic>
              </a:graphicData>
            </a:graphic>
          </wp:inline>
        </w:drawing>
      </w:r>
    </w:p>
    <w:p w14:paraId="0E05EC48" w14:textId="7C62B21E" w:rsidR="00005C01" w:rsidRDefault="00005C01" w:rsidP="00005C01">
      <w:pPr>
        <w:pStyle w:val="Caption"/>
      </w:pPr>
      <w:bookmarkStart w:id="62" w:name="_Ref481139591"/>
      <w:r>
        <w:t xml:space="preserve">Figure </w:t>
      </w:r>
      <w:r>
        <w:fldChar w:fldCharType="begin"/>
      </w:r>
      <w:r>
        <w:instrText xml:space="preserve"> SEQ Figure \* ARABIC </w:instrText>
      </w:r>
      <w:r>
        <w:fldChar w:fldCharType="separate"/>
      </w:r>
      <w:r w:rsidR="00F364D9">
        <w:rPr>
          <w:noProof/>
        </w:rPr>
        <w:t>11</w:t>
      </w:r>
      <w:r>
        <w:fldChar w:fldCharType="end"/>
      </w:r>
      <w:bookmarkEnd w:id="62"/>
      <w:r>
        <w:t>: SRS port mapping to multiple OFDM symbols examples</w:t>
      </w:r>
    </w:p>
    <w:p w14:paraId="43B02698" w14:textId="483BAC7A" w:rsidR="00005C01" w:rsidRDefault="00005C01" w:rsidP="00005C01">
      <w:r>
        <w:t>For d</w:t>
      </w:r>
      <w:r w:rsidR="005F6384">
        <w:t>igital implementations you should</w:t>
      </w:r>
      <w:r>
        <w:t xml:space="preserve"> consider the type of SRS and hence the pre-coder used to transmit the different SRS ports. For pre-coded SRS you typically utilized all PAs for each of the ports exemplified by an FFT pre</w:t>
      </w:r>
      <w:r w:rsidR="00CA4A8D">
        <w:t>-</w:t>
      </w:r>
      <w:r>
        <w:t xml:space="preserve">coder </w:t>
      </w:r>
      <w:r w:rsidR="00C105E6">
        <w:t xml:space="preserve">matrix </w:t>
      </w:r>
      <w:r>
        <w:t xml:space="preserve">in Option a) in </w:t>
      </w:r>
      <w:r>
        <w:fldChar w:fldCharType="begin"/>
      </w:r>
      <w:r>
        <w:instrText xml:space="preserve"> REF _Ref481139591 \h </w:instrText>
      </w:r>
      <w:r>
        <w:fldChar w:fldCharType="separate"/>
      </w:r>
      <w:r w:rsidR="00F364D9">
        <w:t xml:space="preserve">Figure </w:t>
      </w:r>
      <w:r w:rsidR="00F364D9">
        <w:rPr>
          <w:noProof/>
        </w:rPr>
        <w:t>11</w:t>
      </w:r>
      <w:r>
        <w:fldChar w:fldCharType="end"/>
      </w:r>
      <w:r w:rsidR="004D2065">
        <w:t>. In this case you then</w:t>
      </w:r>
      <w:r>
        <w:t xml:space="preserve"> </w:t>
      </w:r>
      <w:r w:rsidR="004D2065">
        <w:t>should</w:t>
      </w:r>
      <w:r>
        <w:t xml:space="preserve"> map the different ports on different OFDM symbols, otherwise the Cubic Metric will be destroyed by the superposition of the ports on each of the PAs. For non-pre</w:t>
      </w:r>
      <w:r w:rsidR="00CA4A8D">
        <w:t>-</w:t>
      </w:r>
      <w:r>
        <w:t>coded SRS only 1 PA is used to transmit each o</w:t>
      </w:r>
      <w:r w:rsidR="004D2065">
        <w:t>f the SRS ports, hence you should</w:t>
      </w:r>
      <w:r>
        <w:t xml:space="preserve"> send all ports in each of the OFDM symbols not to limit the out-put power of the UE to force UEs to achieve max-allowed-power on each PA.</w:t>
      </w:r>
    </w:p>
    <w:p w14:paraId="2CCD70AB" w14:textId="154D59D9" w:rsidR="00005C01" w:rsidRDefault="00005C01" w:rsidP="00005C01">
      <w:pPr>
        <w:pStyle w:val="Observation"/>
      </w:pPr>
      <w:bookmarkStart w:id="63" w:name="_Toc481572670"/>
      <w:bookmarkStart w:id="64" w:name="_Toc481584872"/>
      <w:r>
        <w:lastRenderedPageBreak/>
        <w:t>Support to map different ports to different OFDM symbols is needed for analogue beam-forming and to keep low Cubic Metric and PAPR with pre-coded SRS</w:t>
      </w:r>
      <w:bookmarkEnd w:id="63"/>
      <w:bookmarkEnd w:id="64"/>
    </w:p>
    <w:p w14:paraId="537CA8BB" w14:textId="0451F8C5" w:rsidR="00005C01" w:rsidRDefault="00005C01" w:rsidP="00005C01">
      <w:pPr>
        <w:pStyle w:val="Observation"/>
      </w:pPr>
      <w:bookmarkStart w:id="65" w:name="_Toc481572671"/>
      <w:bookmarkStart w:id="66" w:name="_Toc481584873"/>
      <w:r>
        <w:t>Support to frequency-hop all ports is needed to achieve full PA utilization</w:t>
      </w:r>
      <w:r w:rsidR="00A42555">
        <w:t xml:space="preserve"> for non-beam formed SRS</w:t>
      </w:r>
      <w:bookmarkEnd w:id="65"/>
      <w:bookmarkEnd w:id="66"/>
    </w:p>
    <w:p w14:paraId="38083B2E" w14:textId="36D6FA34" w:rsidR="00005C01" w:rsidRDefault="00005C01" w:rsidP="00005C01">
      <w:pPr>
        <w:pStyle w:val="Proposal"/>
      </w:pPr>
      <w:bookmarkStart w:id="67" w:name="_Toc481147574"/>
      <w:bookmarkStart w:id="68" w:name="_Toc481491073"/>
      <w:bookmarkStart w:id="69" w:name="_Toc481492020"/>
      <w:bookmarkStart w:id="70" w:name="_Toc481492123"/>
      <w:bookmarkStart w:id="71" w:name="_Toc481492331"/>
      <w:bookmarkStart w:id="72" w:name="_Toc481492379"/>
      <w:bookmarkStart w:id="73" w:name="_Toc481572679"/>
      <w:bookmarkStart w:id="74" w:name="_Toc481584881"/>
      <w:bookmarkStart w:id="75" w:name="_Toc481589680"/>
      <w:bookmarkStart w:id="76" w:name="_Toc481589766"/>
      <w:bookmarkStart w:id="77" w:name="_Toc481671057"/>
      <w:bookmarkStart w:id="78" w:name="_Toc481671606"/>
      <w:bookmarkStart w:id="79" w:name="_Toc481743791"/>
      <w:bookmarkStart w:id="80" w:name="_Toc481753028"/>
      <w:r>
        <w:t>Support sending different SRS ports in different OFDM symbols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35034D3" w14:textId="46943F99" w:rsidR="00D043D3" w:rsidRPr="005737E1" w:rsidRDefault="00005C01" w:rsidP="005737E1">
      <w:pPr>
        <w:pStyle w:val="Proposal"/>
      </w:pPr>
      <w:bookmarkStart w:id="81" w:name="_Toc481147575"/>
      <w:bookmarkStart w:id="82" w:name="_Toc481491074"/>
      <w:bookmarkStart w:id="83" w:name="_Toc481492021"/>
      <w:bookmarkStart w:id="84" w:name="_Toc481492124"/>
      <w:bookmarkStart w:id="85" w:name="_Toc481492332"/>
      <w:bookmarkStart w:id="86" w:name="_Toc481492380"/>
      <w:bookmarkStart w:id="87" w:name="_Toc481572680"/>
      <w:bookmarkStart w:id="88" w:name="_Toc481584882"/>
      <w:bookmarkStart w:id="89" w:name="_Toc481589681"/>
      <w:bookmarkStart w:id="90" w:name="_Toc481589767"/>
      <w:bookmarkStart w:id="91" w:name="_Toc481671058"/>
      <w:bookmarkStart w:id="92" w:name="_Toc481671607"/>
      <w:bookmarkStart w:id="93" w:name="_Toc481743792"/>
      <w:bookmarkStart w:id="94" w:name="_Toc481753029"/>
      <w:r>
        <w:t>Support frequency-hop all SRS ports over multiple OFDM 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E1D1093" w14:textId="77777777" w:rsidR="00514CE3" w:rsidRPr="00D1376B" w:rsidRDefault="00514CE3" w:rsidP="00514CE3"/>
    <w:p w14:paraId="70F492A0" w14:textId="2B8B7FF4" w:rsidR="00007FCD" w:rsidRDefault="00007FCD" w:rsidP="00007FCD">
      <w:pPr>
        <w:pStyle w:val="Heading2"/>
      </w:pPr>
      <w:r>
        <w:t xml:space="preserve">SRS density down-selection for </w:t>
      </w:r>
      <w:r w:rsidR="00F40AEB">
        <w:t xml:space="preserve">beam-management and </w:t>
      </w:r>
      <w:r>
        <w:t>low-accuracy CSI</w:t>
      </w:r>
    </w:p>
    <w:p w14:paraId="4C5E9F51" w14:textId="193F0A93" w:rsidR="00C459F7" w:rsidRDefault="00C459F7" w:rsidP="00C459F7">
      <w:r>
        <w:t xml:space="preserve">For some less stringent use-cases compared to reciprocity operation e.g. beam-selection or wide-band pre-coder selection there is a benefit to frequency orthogonalize </w:t>
      </w:r>
      <w:r w:rsidR="009005D0">
        <w:t xml:space="preserve">over comb </w:t>
      </w:r>
      <w:r>
        <w:t>due to the cross-corr</w:t>
      </w:r>
      <w:r w:rsidR="009005D0">
        <w:t>elation trade-off discussed in S</w:t>
      </w:r>
      <w:r>
        <w:t xml:space="preserve">ub-section </w:t>
      </w:r>
      <w:r w:rsidR="009005D0">
        <w:fldChar w:fldCharType="begin"/>
      </w:r>
      <w:r w:rsidR="009005D0">
        <w:instrText xml:space="preserve"> REF _Ref481490676 \r \h </w:instrText>
      </w:r>
      <w:r w:rsidR="009005D0">
        <w:fldChar w:fldCharType="separate"/>
      </w:r>
      <w:r w:rsidR="00F364D9">
        <w:t>2.2</w:t>
      </w:r>
      <w:r w:rsidR="009005D0">
        <w:fldChar w:fldCharType="end"/>
      </w:r>
      <w:r>
        <w:t xml:space="preserve">. </w:t>
      </w:r>
      <w:r w:rsidR="00350D04">
        <w:t>For example, in the case of beam-management you want good orthogonalization, you don’t need frequency domain interpolation and you want good frequency diversity. For inter-node measurements you would further want to frequency plan the resources.</w:t>
      </w:r>
      <w:r>
        <w:t xml:space="preserve"> </w:t>
      </w:r>
      <w:r w:rsidR="00350D04">
        <w:rPr>
          <w:rStyle w:val="CommentReference"/>
        </w:rPr>
        <w:t>T</w:t>
      </w:r>
      <w:r>
        <w:t xml:space="preserve">hese observations leads to </w:t>
      </w:r>
      <w:r w:rsidR="009B0275">
        <w:t xml:space="preserve">is could be beneficial to use </w:t>
      </w:r>
      <w:r>
        <w:t>a sparser Comb structure</w:t>
      </w:r>
      <w:r w:rsidR="00350D04">
        <w:t xml:space="preserve"> could be good for beam-management purposes</w:t>
      </w:r>
      <w:r>
        <w:t xml:space="preserve">. The two main options </w:t>
      </w:r>
      <w:r w:rsidR="00350D04">
        <w:t>are</w:t>
      </w:r>
      <w:r>
        <w:t xml:space="preserve"> then to add a 8 Comb or a 12 Comb, 8 is nice due to that it still maintains somewhat good sampling, 12 is nice due to the even sampling in relation to the PRB size.</w:t>
      </w:r>
      <w:r w:rsidR="00291916">
        <w:t xml:space="preserve"> Both options also makes it possible to have a unified structure on SRS by adding this </w:t>
      </w:r>
      <w:r w:rsidR="009C547C">
        <w:t>sparser</w:t>
      </w:r>
      <w:r w:rsidR="00291916">
        <w:t xml:space="preserve"> Comb structure as a sub-sampling of one of the more dense combs.</w:t>
      </w:r>
      <w:r w:rsidR="009B0275">
        <w:t xml:space="preserve"> Hence if a down-selection is needed for e.g. beam-management this can be done while still maintaining a unified SRS design.</w:t>
      </w:r>
    </w:p>
    <w:p w14:paraId="21B86E29" w14:textId="503D63DF" w:rsidR="00C459F7" w:rsidRPr="00C459F7" w:rsidRDefault="00291916" w:rsidP="00C459F7">
      <w:pPr>
        <w:pStyle w:val="Proposal"/>
      </w:pPr>
      <w:bookmarkStart w:id="95" w:name="_Toc481147577"/>
      <w:bookmarkStart w:id="96" w:name="_Toc481491076"/>
      <w:bookmarkStart w:id="97" w:name="_Toc481492023"/>
      <w:bookmarkStart w:id="98" w:name="_Toc481492126"/>
      <w:bookmarkStart w:id="99" w:name="_Toc481492334"/>
      <w:bookmarkStart w:id="100" w:name="_Toc481492382"/>
      <w:bookmarkStart w:id="101" w:name="_Toc481572682"/>
      <w:bookmarkStart w:id="102" w:name="_Toc481584884"/>
      <w:bookmarkStart w:id="103" w:name="_Toc481589682"/>
      <w:bookmarkStart w:id="104" w:name="_Toc481589768"/>
      <w:bookmarkStart w:id="105" w:name="_Toc481671059"/>
      <w:bookmarkStart w:id="106" w:name="_Toc481671608"/>
      <w:bookmarkStart w:id="107" w:name="_Toc481743793"/>
      <w:bookmarkStart w:id="108" w:name="_Toc481753030"/>
      <w:r>
        <w:t>Use a unified structure on SRS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t xml:space="preserve"> </w:t>
      </w:r>
      <w:r w:rsidR="00C459F7">
        <w:t xml:space="preserve"> </w:t>
      </w:r>
    </w:p>
    <w:p w14:paraId="7F242F9A" w14:textId="4D77A3E2" w:rsidR="00E10F7D" w:rsidRPr="00E10F7D" w:rsidRDefault="00007FCD" w:rsidP="00007FCD">
      <w:pPr>
        <w:pStyle w:val="Heading2"/>
      </w:pPr>
      <w:r>
        <w:t xml:space="preserve">RRC Configuration and DCI </w:t>
      </w:r>
      <w:r w:rsidR="0092730F">
        <w:t>signalling</w:t>
      </w:r>
    </w:p>
    <w:p w14:paraId="0EC5387C" w14:textId="0ECBE477" w:rsidR="00E10F7D" w:rsidRDefault="009C547C" w:rsidP="003A0E41">
      <w:r>
        <w:t>One of the corner stones in the NR work has been the lean system and future compatibility. This type of system design also enables features such as Dynamic TDD and URLLC. Hence semi static configuration should not be mandatory for operating SRS. This precludes only using RRC configuration of SRS and mandates at least triggering of a RRC configured SRS in e.g. DCI.</w:t>
      </w:r>
    </w:p>
    <w:p w14:paraId="3F085032" w14:textId="3856BC77" w:rsidR="009C547C" w:rsidRDefault="009C547C" w:rsidP="003A0E41">
      <w:r>
        <w:t xml:space="preserve">Further from a DCI overhead perspective moving as much of the configuration to RRC is </w:t>
      </w:r>
      <w:r w:rsidR="00054B4F">
        <w:t>preferred. As disc</w:t>
      </w:r>
      <w:r w:rsidR="009005D0">
        <w:t>ussed here and in [1] there is quite a</w:t>
      </w:r>
      <w:r w:rsidR="00054B4F">
        <w:t xml:space="preserve"> few use cases where</w:t>
      </w:r>
      <w:r w:rsidR="009005D0">
        <w:t xml:space="preserve"> SRS</w:t>
      </w:r>
      <w:r w:rsidR="00054B4F">
        <w:t xml:space="preserve"> is used. Hence the number of different RRC configured SRS assignments should cover a set of functions solved by a unified SRS. For example, we can need for a given user support for regular SRS for e.g. reciprocity where we can also need adaptation to the number and/or power requirements of scheduled users, we can need support for the UL beam-forming, we can need the inter-node measurement</w:t>
      </w:r>
      <w:r w:rsidR="009005D0">
        <w:t>s</w:t>
      </w:r>
      <w:r w:rsidR="00054B4F">
        <w:t>, we can need to pick different cyclic shift</w:t>
      </w:r>
      <w:r w:rsidR="00594692">
        <w:t>s</w:t>
      </w:r>
      <w:r w:rsidR="00054B4F">
        <w:t xml:space="preserve"> and/or hopping pattern</w:t>
      </w:r>
      <w:r w:rsidR="009005D0">
        <w:t>s to maintain orthogonality</w:t>
      </w:r>
      <w:r w:rsidR="00054B4F">
        <w:t>, w</w:t>
      </w:r>
      <w:r w:rsidR="009005D0">
        <w:t>e can need to trigger a single a</w:t>
      </w:r>
      <w:r w:rsidR="00054B4F">
        <w:t xml:space="preserve">perodic SRS or a </w:t>
      </w:r>
      <w:r w:rsidR="009005D0">
        <w:t>p</w:t>
      </w:r>
      <w:r w:rsidR="00054B4F">
        <w:t>eriodic SRS</w:t>
      </w:r>
      <w:r w:rsidR="00594692">
        <w:t>, we can need to trigger not sending SRS</w:t>
      </w:r>
      <w:r w:rsidR="00054B4F">
        <w:t>. This basically implies that we need at least 2 bits for SRS configuration and at least 1 bit for orthogonalization either cyclic shift or hopping pattern</w:t>
      </w:r>
      <w:r w:rsidR="00594692">
        <w:t xml:space="preserve"> or not sending SRS</w:t>
      </w:r>
      <w:r w:rsidR="00054B4F">
        <w:t>.</w:t>
      </w:r>
      <w:r w:rsidR="00594692">
        <w:t xml:space="preserve"> </w:t>
      </w:r>
      <w:r w:rsidR="009005D0">
        <w:t>N</w:t>
      </w:r>
      <w:r w:rsidR="00594692">
        <w:t xml:space="preserve">ot sending SRS can be either </w:t>
      </w:r>
      <w:r w:rsidR="009005D0">
        <w:t xml:space="preserve">be </w:t>
      </w:r>
      <w:r w:rsidR="00594692">
        <w:t>blanking OFDM symbols to allow other users to transmit SRS or to use all OFDM symbols to transmit other transmissions e.g. data.</w:t>
      </w:r>
    </w:p>
    <w:p w14:paraId="12263076" w14:textId="36914C03" w:rsidR="00054B4F" w:rsidRDefault="00054B4F" w:rsidP="00054B4F">
      <w:pPr>
        <w:pStyle w:val="Proposal"/>
      </w:pPr>
      <w:bookmarkStart w:id="109" w:name="_Toc481147578"/>
      <w:bookmarkStart w:id="110" w:name="_Toc481491077"/>
      <w:bookmarkStart w:id="111" w:name="_Toc481492024"/>
      <w:bookmarkStart w:id="112" w:name="_Toc481492127"/>
      <w:bookmarkStart w:id="113" w:name="_Toc481492335"/>
      <w:bookmarkStart w:id="114" w:name="_Toc481492383"/>
      <w:bookmarkStart w:id="115" w:name="_Toc481572683"/>
      <w:bookmarkStart w:id="116" w:name="_Toc481584885"/>
      <w:bookmarkStart w:id="117" w:name="_Toc481589683"/>
      <w:bookmarkStart w:id="118" w:name="_Toc481589769"/>
      <w:bookmarkStart w:id="119" w:name="_Toc481671060"/>
      <w:bookmarkStart w:id="120" w:name="_Toc481671609"/>
      <w:bookmarkStart w:id="121" w:name="_Toc481743794"/>
      <w:bookmarkStart w:id="122" w:name="_Toc481753031"/>
      <w:r>
        <w:t>Configure and trigger SRS using both RRC and DCI</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327F3C" w14:textId="77777777" w:rsidR="00C01F33" w:rsidRPr="00CE0424" w:rsidRDefault="00C01F33" w:rsidP="003A0E41">
      <w:pPr>
        <w:pStyle w:val="Heading1"/>
      </w:pPr>
      <w:r w:rsidRPr="00CE0424">
        <w:t>Conclusion</w:t>
      </w:r>
      <w:r w:rsidR="00AE2FEB">
        <w:t>s</w:t>
      </w:r>
    </w:p>
    <w:p w14:paraId="2D70DE92" w14:textId="15BC51EA" w:rsidR="00F84BF1" w:rsidRDefault="00E5689D" w:rsidP="009A0480">
      <w:pPr>
        <w:pStyle w:val="BodyText"/>
      </w:pPr>
      <w:r>
        <w:t xml:space="preserve">Based on the discussion </w:t>
      </w:r>
      <w:r w:rsidR="009C6832">
        <w:t>in this contri</w:t>
      </w:r>
      <w:r w:rsidR="003A0E41">
        <w:t>bution</w:t>
      </w:r>
      <w:r w:rsidR="008E065E" w:rsidRPr="00CE0424">
        <w:t xml:space="preserve"> we propose the</w:t>
      </w:r>
      <w:r w:rsidR="00924989">
        <w:t xml:space="preserve"> following</w:t>
      </w:r>
      <w:r w:rsidR="008E065E" w:rsidRPr="00CE0424">
        <w:t>:</w:t>
      </w:r>
    </w:p>
    <w:p w14:paraId="1D6FBA4B" w14:textId="77777777" w:rsidR="00F364D9" w:rsidRDefault="009F601B">
      <w:pPr>
        <w:pStyle w:val="TOC1"/>
        <w:rPr>
          <w:rFonts w:asciiTheme="minorHAnsi" w:eastAsiaTheme="minorEastAsia" w:hAnsiTheme="minorHAnsi" w:cstheme="minorBidi"/>
          <w:b w:val="0"/>
          <w:sz w:val="22"/>
          <w:lang w:val="sv-SE" w:eastAsia="sv-SE"/>
        </w:rPr>
      </w:pPr>
      <w:r>
        <w:rPr>
          <w:b w:val="0"/>
          <w:bCs/>
        </w:rPr>
        <w:lastRenderedPageBreak/>
        <w:fldChar w:fldCharType="begin"/>
      </w:r>
      <w:r>
        <w:rPr>
          <w:b w:val="0"/>
          <w:bCs/>
        </w:rPr>
        <w:instrText xml:space="preserve"> TOC \f \n \p " " \t "Proposal;1" </w:instrText>
      </w:r>
      <w:r>
        <w:rPr>
          <w:b w:val="0"/>
          <w:bCs/>
        </w:rPr>
        <w:fldChar w:fldCharType="separate"/>
      </w:r>
      <w:r w:rsidR="00F364D9">
        <w:t>Proposal 1</w:t>
      </w:r>
      <w:r w:rsidR="00F364D9">
        <w:rPr>
          <w:rFonts w:asciiTheme="minorHAnsi" w:eastAsiaTheme="minorEastAsia" w:hAnsiTheme="minorHAnsi" w:cstheme="minorBidi"/>
          <w:b w:val="0"/>
          <w:sz w:val="22"/>
          <w:lang w:val="sv-SE" w:eastAsia="sv-SE"/>
        </w:rPr>
        <w:tab/>
      </w:r>
      <w:r w:rsidR="00F364D9">
        <w:t>SRS sequences that partially overlap in the frequency domain share the same base sequence values in the overlap region.</w:t>
      </w:r>
    </w:p>
    <w:p w14:paraId="624A93BB" w14:textId="77777777" w:rsidR="00F364D9" w:rsidRDefault="00F364D9">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On a 4 Comb support 8 cyclic shifts</w:t>
      </w:r>
    </w:p>
    <w:p w14:paraId="62124785" w14:textId="77777777" w:rsidR="00F364D9" w:rsidRDefault="00F364D9">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Support 1, 2 and 4 OFDM symbol SRS within one slot</w:t>
      </w:r>
    </w:p>
    <w:p w14:paraId="724EAA4E" w14:textId="77777777" w:rsidR="00F364D9" w:rsidRDefault="00F364D9">
      <w:pPr>
        <w:pStyle w:val="TOC1"/>
        <w:rPr>
          <w:rFonts w:asciiTheme="minorHAnsi" w:eastAsiaTheme="minorEastAsia" w:hAnsiTheme="minorHAnsi" w:cstheme="minorBidi"/>
          <w:b w:val="0"/>
          <w:sz w:val="22"/>
          <w:lang w:val="sv-SE" w:eastAsia="sv-SE"/>
        </w:rPr>
      </w:pPr>
      <w:r>
        <w:t>Proposal 4</w:t>
      </w:r>
      <w:r>
        <w:rPr>
          <w:rFonts w:asciiTheme="minorHAnsi" w:eastAsiaTheme="minorEastAsia" w:hAnsiTheme="minorHAnsi" w:cstheme="minorBidi"/>
          <w:b w:val="0"/>
          <w:sz w:val="22"/>
          <w:lang w:val="sv-SE" w:eastAsia="sv-SE"/>
        </w:rPr>
        <w:tab/>
      </w:r>
      <w:r>
        <w:t>Support sending different SRS ports in different OFDM symbols</w:t>
      </w:r>
    </w:p>
    <w:p w14:paraId="4EE86F3E" w14:textId="77777777" w:rsidR="00F364D9" w:rsidRDefault="00F364D9">
      <w:pPr>
        <w:pStyle w:val="TOC1"/>
        <w:rPr>
          <w:rFonts w:asciiTheme="minorHAnsi" w:eastAsiaTheme="minorEastAsia" w:hAnsiTheme="minorHAnsi" w:cstheme="minorBidi"/>
          <w:b w:val="0"/>
          <w:sz w:val="22"/>
          <w:lang w:val="sv-SE" w:eastAsia="sv-SE"/>
        </w:rPr>
      </w:pPr>
      <w:r>
        <w:t>Proposal 5</w:t>
      </w:r>
      <w:r>
        <w:rPr>
          <w:rFonts w:asciiTheme="minorHAnsi" w:eastAsiaTheme="minorEastAsia" w:hAnsiTheme="minorHAnsi" w:cstheme="minorBidi"/>
          <w:b w:val="0"/>
          <w:sz w:val="22"/>
          <w:lang w:val="sv-SE" w:eastAsia="sv-SE"/>
        </w:rPr>
        <w:tab/>
      </w:r>
      <w:r>
        <w:t>Support frequency-hop all SRS ports over multiple OFDM symbols</w:t>
      </w:r>
    </w:p>
    <w:p w14:paraId="46006F92" w14:textId="77777777" w:rsidR="00F364D9" w:rsidRDefault="00F364D9">
      <w:pPr>
        <w:pStyle w:val="TOC1"/>
        <w:rPr>
          <w:rFonts w:asciiTheme="minorHAnsi" w:eastAsiaTheme="minorEastAsia" w:hAnsiTheme="minorHAnsi" w:cstheme="minorBidi"/>
          <w:b w:val="0"/>
          <w:sz w:val="22"/>
          <w:lang w:val="sv-SE" w:eastAsia="sv-SE"/>
        </w:rPr>
      </w:pPr>
      <w:r>
        <w:t>Proposal 6</w:t>
      </w:r>
      <w:r>
        <w:rPr>
          <w:rFonts w:asciiTheme="minorHAnsi" w:eastAsiaTheme="minorEastAsia" w:hAnsiTheme="minorHAnsi" w:cstheme="minorBidi"/>
          <w:b w:val="0"/>
          <w:sz w:val="22"/>
          <w:lang w:val="sv-SE" w:eastAsia="sv-SE"/>
        </w:rPr>
        <w:tab/>
      </w:r>
      <w:r>
        <w:t>Use a unified structure on SRS</w:t>
      </w:r>
    </w:p>
    <w:p w14:paraId="19C509E9" w14:textId="77777777" w:rsidR="00F364D9" w:rsidRDefault="00F364D9">
      <w:pPr>
        <w:pStyle w:val="TOC1"/>
        <w:rPr>
          <w:rFonts w:asciiTheme="minorHAnsi" w:eastAsiaTheme="minorEastAsia" w:hAnsiTheme="minorHAnsi" w:cstheme="minorBidi"/>
          <w:b w:val="0"/>
          <w:sz w:val="22"/>
          <w:lang w:val="sv-SE" w:eastAsia="sv-SE"/>
        </w:rPr>
      </w:pPr>
      <w:r>
        <w:t>Proposal 7</w:t>
      </w:r>
      <w:r>
        <w:rPr>
          <w:rFonts w:asciiTheme="minorHAnsi" w:eastAsiaTheme="minorEastAsia" w:hAnsiTheme="minorHAnsi" w:cstheme="minorBidi"/>
          <w:b w:val="0"/>
          <w:sz w:val="22"/>
          <w:lang w:val="sv-SE" w:eastAsia="sv-SE"/>
        </w:rPr>
        <w:tab/>
      </w:r>
      <w:r>
        <w:t>Configure and trigger SRS using both RRC and DCI</w:t>
      </w:r>
    </w:p>
    <w:p w14:paraId="60B357CF" w14:textId="0C234359" w:rsidR="00C01F33" w:rsidRPr="00790B99" w:rsidRDefault="009F601B" w:rsidP="009F601B">
      <w:pPr>
        <w:pStyle w:val="BodyText"/>
        <w:rPr>
          <w:b/>
          <w:bCs/>
        </w:rPr>
      </w:pPr>
      <w:r>
        <w:rPr>
          <w:b/>
          <w:bCs/>
        </w:rPr>
        <w:fldChar w:fldCharType="end"/>
      </w:r>
    </w:p>
    <w:p w14:paraId="5B3C850D" w14:textId="77777777" w:rsidR="00F507D1" w:rsidRPr="00CE0424" w:rsidRDefault="00F507D1" w:rsidP="00CE0424">
      <w:pPr>
        <w:pStyle w:val="Heading1"/>
      </w:pPr>
      <w:bookmarkStart w:id="123" w:name="_In-sequence_SDU_delivery"/>
      <w:bookmarkEnd w:id="123"/>
      <w:r w:rsidRPr="00CE0424">
        <w:t>References</w:t>
      </w:r>
    </w:p>
    <w:p w14:paraId="3BC9304B" w14:textId="1698B8F4" w:rsidR="003A7EF3" w:rsidRPr="00CE0424" w:rsidRDefault="00523023" w:rsidP="00523023">
      <w:pPr>
        <w:pStyle w:val="Reference"/>
      </w:pPr>
      <w:r w:rsidRPr="00523023">
        <w:t>R1-1705908</w:t>
      </w:r>
      <w:r w:rsidR="00220DD8">
        <w:t xml:space="preserve">, </w:t>
      </w:r>
      <w:r>
        <w:t>“</w:t>
      </w:r>
      <w:r w:rsidRPr="00523023">
        <w:rPr>
          <w:i/>
        </w:rPr>
        <w:t>On SRS Design</w:t>
      </w:r>
      <w:r>
        <w:rPr>
          <w:i/>
        </w:rPr>
        <w:t>”</w:t>
      </w:r>
      <w:r w:rsidR="00220DD8">
        <w:t xml:space="preserve">, </w:t>
      </w:r>
      <w:r>
        <w:t>Ericsson</w:t>
      </w:r>
      <w:r w:rsidR="00220DD8">
        <w:t xml:space="preserve">, </w:t>
      </w:r>
      <w:r>
        <w:t>Ran1_88bis Spokane</w:t>
      </w:r>
    </w:p>
    <w:sectPr w:rsidR="003A7EF3" w:rsidRPr="00CE0424" w:rsidSect="00C02A4C">
      <w:headerReference w:type="even" r:id="rId24"/>
      <w:footerReference w:type="default" r:id="rId2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7E3D6" w14:textId="77777777" w:rsidR="00C510FE" w:rsidRDefault="00C510FE">
      <w:r>
        <w:separator/>
      </w:r>
    </w:p>
  </w:endnote>
  <w:endnote w:type="continuationSeparator" w:id="0">
    <w:p w14:paraId="6C9E4DD2" w14:textId="77777777" w:rsidR="00C510FE" w:rsidRDefault="00C51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8992866" w:rsidR="005B4A74" w:rsidRDefault="005B4A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5ADB">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5ADB">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CB814" w14:textId="77777777" w:rsidR="00C510FE" w:rsidRDefault="00C510FE">
      <w:r>
        <w:separator/>
      </w:r>
    </w:p>
  </w:footnote>
  <w:footnote w:type="continuationSeparator" w:id="0">
    <w:p w14:paraId="54AF580F" w14:textId="77777777" w:rsidR="00C510FE" w:rsidRDefault="00C51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5B4A74" w:rsidRDefault="005B4A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646FCA"/>
    <w:multiLevelType w:val="hybridMultilevel"/>
    <w:tmpl w:val="CDB6716A"/>
    <w:lvl w:ilvl="0" w:tplc="6DE43A50">
      <w:start w:val="1"/>
      <w:numFmt w:val="bullet"/>
      <w:lvlText w:val="›"/>
      <w:lvlJc w:val="left"/>
      <w:pPr>
        <w:tabs>
          <w:tab w:val="num" w:pos="720"/>
        </w:tabs>
        <w:ind w:left="720" w:hanging="360"/>
      </w:pPr>
      <w:rPr>
        <w:rFonts w:ascii="Arial" w:hAnsi="Arial" w:hint="default"/>
      </w:rPr>
    </w:lvl>
    <w:lvl w:ilvl="1" w:tplc="88BC10A0">
      <w:numFmt w:val="bullet"/>
      <w:lvlText w:val="–"/>
      <w:lvlJc w:val="left"/>
      <w:pPr>
        <w:tabs>
          <w:tab w:val="num" w:pos="1440"/>
        </w:tabs>
        <w:ind w:left="1440" w:hanging="360"/>
      </w:pPr>
      <w:rPr>
        <w:rFonts w:ascii="Ericsson Capital TT" w:hAnsi="Ericsson Capital TT" w:hint="default"/>
      </w:rPr>
    </w:lvl>
    <w:lvl w:ilvl="2" w:tplc="154A212A" w:tentative="1">
      <w:start w:val="1"/>
      <w:numFmt w:val="bullet"/>
      <w:lvlText w:val="›"/>
      <w:lvlJc w:val="left"/>
      <w:pPr>
        <w:tabs>
          <w:tab w:val="num" w:pos="2160"/>
        </w:tabs>
        <w:ind w:left="2160" w:hanging="360"/>
      </w:pPr>
      <w:rPr>
        <w:rFonts w:ascii="Arial" w:hAnsi="Arial" w:hint="default"/>
      </w:rPr>
    </w:lvl>
    <w:lvl w:ilvl="3" w:tplc="959C1EEA" w:tentative="1">
      <w:start w:val="1"/>
      <w:numFmt w:val="bullet"/>
      <w:lvlText w:val="›"/>
      <w:lvlJc w:val="left"/>
      <w:pPr>
        <w:tabs>
          <w:tab w:val="num" w:pos="2880"/>
        </w:tabs>
        <w:ind w:left="2880" w:hanging="360"/>
      </w:pPr>
      <w:rPr>
        <w:rFonts w:ascii="Arial" w:hAnsi="Arial" w:hint="default"/>
      </w:rPr>
    </w:lvl>
    <w:lvl w:ilvl="4" w:tplc="5B90246A" w:tentative="1">
      <w:start w:val="1"/>
      <w:numFmt w:val="bullet"/>
      <w:lvlText w:val="›"/>
      <w:lvlJc w:val="left"/>
      <w:pPr>
        <w:tabs>
          <w:tab w:val="num" w:pos="3600"/>
        </w:tabs>
        <w:ind w:left="3600" w:hanging="360"/>
      </w:pPr>
      <w:rPr>
        <w:rFonts w:ascii="Arial" w:hAnsi="Arial" w:hint="default"/>
      </w:rPr>
    </w:lvl>
    <w:lvl w:ilvl="5" w:tplc="68A4B4C2" w:tentative="1">
      <w:start w:val="1"/>
      <w:numFmt w:val="bullet"/>
      <w:lvlText w:val="›"/>
      <w:lvlJc w:val="left"/>
      <w:pPr>
        <w:tabs>
          <w:tab w:val="num" w:pos="4320"/>
        </w:tabs>
        <w:ind w:left="4320" w:hanging="360"/>
      </w:pPr>
      <w:rPr>
        <w:rFonts w:ascii="Arial" w:hAnsi="Arial" w:hint="default"/>
      </w:rPr>
    </w:lvl>
    <w:lvl w:ilvl="6" w:tplc="2B36168C" w:tentative="1">
      <w:start w:val="1"/>
      <w:numFmt w:val="bullet"/>
      <w:lvlText w:val="›"/>
      <w:lvlJc w:val="left"/>
      <w:pPr>
        <w:tabs>
          <w:tab w:val="num" w:pos="5040"/>
        </w:tabs>
        <w:ind w:left="5040" w:hanging="360"/>
      </w:pPr>
      <w:rPr>
        <w:rFonts w:ascii="Arial" w:hAnsi="Arial" w:hint="default"/>
      </w:rPr>
    </w:lvl>
    <w:lvl w:ilvl="7" w:tplc="399C7D34" w:tentative="1">
      <w:start w:val="1"/>
      <w:numFmt w:val="bullet"/>
      <w:lvlText w:val="›"/>
      <w:lvlJc w:val="left"/>
      <w:pPr>
        <w:tabs>
          <w:tab w:val="num" w:pos="5760"/>
        </w:tabs>
        <w:ind w:left="5760" w:hanging="360"/>
      </w:pPr>
      <w:rPr>
        <w:rFonts w:ascii="Arial" w:hAnsi="Arial" w:hint="default"/>
      </w:rPr>
    </w:lvl>
    <w:lvl w:ilvl="8" w:tplc="AAC246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2B7E42"/>
    <w:multiLevelType w:val="hybridMultilevel"/>
    <w:tmpl w:val="3858F66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3471DB"/>
    <w:multiLevelType w:val="hybridMultilevel"/>
    <w:tmpl w:val="64AA52F8"/>
    <w:lvl w:ilvl="0" w:tplc="6FA81F5C">
      <w:start w:val="1"/>
      <w:numFmt w:val="bullet"/>
      <w:lvlText w:val="›"/>
      <w:lvlJc w:val="left"/>
      <w:pPr>
        <w:tabs>
          <w:tab w:val="num" w:pos="720"/>
        </w:tabs>
        <w:ind w:left="720" w:hanging="360"/>
      </w:pPr>
      <w:rPr>
        <w:rFonts w:ascii="Arial" w:hAnsi="Arial" w:hint="default"/>
      </w:rPr>
    </w:lvl>
    <w:lvl w:ilvl="1" w:tplc="7F9C1E18">
      <w:numFmt w:val="bullet"/>
      <w:lvlText w:val="–"/>
      <w:lvlJc w:val="left"/>
      <w:pPr>
        <w:tabs>
          <w:tab w:val="num" w:pos="1440"/>
        </w:tabs>
        <w:ind w:left="1440" w:hanging="360"/>
      </w:pPr>
      <w:rPr>
        <w:rFonts w:ascii="Ericsson Capital TT" w:hAnsi="Ericsson Capital TT" w:hint="default"/>
      </w:rPr>
    </w:lvl>
    <w:lvl w:ilvl="2" w:tplc="FBACB2D6" w:tentative="1">
      <w:start w:val="1"/>
      <w:numFmt w:val="bullet"/>
      <w:lvlText w:val="›"/>
      <w:lvlJc w:val="left"/>
      <w:pPr>
        <w:tabs>
          <w:tab w:val="num" w:pos="2160"/>
        </w:tabs>
        <w:ind w:left="2160" w:hanging="360"/>
      </w:pPr>
      <w:rPr>
        <w:rFonts w:ascii="Arial" w:hAnsi="Arial" w:hint="default"/>
      </w:rPr>
    </w:lvl>
    <w:lvl w:ilvl="3" w:tplc="5CC43CE8" w:tentative="1">
      <w:start w:val="1"/>
      <w:numFmt w:val="bullet"/>
      <w:lvlText w:val="›"/>
      <w:lvlJc w:val="left"/>
      <w:pPr>
        <w:tabs>
          <w:tab w:val="num" w:pos="2880"/>
        </w:tabs>
        <w:ind w:left="2880" w:hanging="360"/>
      </w:pPr>
      <w:rPr>
        <w:rFonts w:ascii="Arial" w:hAnsi="Arial" w:hint="default"/>
      </w:rPr>
    </w:lvl>
    <w:lvl w:ilvl="4" w:tplc="03C4E4F8" w:tentative="1">
      <w:start w:val="1"/>
      <w:numFmt w:val="bullet"/>
      <w:lvlText w:val="›"/>
      <w:lvlJc w:val="left"/>
      <w:pPr>
        <w:tabs>
          <w:tab w:val="num" w:pos="3600"/>
        </w:tabs>
        <w:ind w:left="3600" w:hanging="360"/>
      </w:pPr>
      <w:rPr>
        <w:rFonts w:ascii="Arial" w:hAnsi="Arial" w:hint="default"/>
      </w:rPr>
    </w:lvl>
    <w:lvl w:ilvl="5" w:tplc="A2E25610" w:tentative="1">
      <w:start w:val="1"/>
      <w:numFmt w:val="bullet"/>
      <w:lvlText w:val="›"/>
      <w:lvlJc w:val="left"/>
      <w:pPr>
        <w:tabs>
          <w:tab w:val="num" w:pos="4320"/>
        </w:tabs>
        <w:ind w:left="4320" w:hanging="360"/>
      </w:pPr>
      <w:rPr>
        <w:rFonts w:ascii="Arial" w:hAnsi="Arial" w:hint="default"/>
      </w:rPr>
    </w:lvl>
    <w:lvl w:ilvl="6" w:tplc="FD8EE782" w:tentative="1">
      <w:start w:val="1"/>
      <w:numFmt w:val="bullet"/>
      <w:lvlText w:val="›"/>
      <w:lvlJc w:val="left"/>
      <w:pPr>
        <w:tabs>
          <w:tab w:val="num" w:pos="5040"/>
        </w:tabs>
        <w:ind w:left="5040" w:hanging="360"/>
      </w:pPr>
      <w:rPr>
        <w:rFonts w:ascii="Arial" w:hAnsi="Arial" w:hint="default"/>
      </w:rPr>
    </w:lvl>
    <w:lvl w:ilvl="7" w:tplc="170470DC" w:tentative="1">
      <w:start w:val="1"/>
      <w:numFmt w:val="bullet"/>
      <w:lvlText w:val="›"/>
      <w:lvlJc w:val="left"/>
      <w:pPr>
        <w:tabs>
          <w:tab w:val="num" w:pos="5760"/>
        </w:tabs>
        <w:ind w:left="5760" w:hanging="360"/>
      </w:pPr>
      <w:rPr>
        <w:rFonts w:ascii="Arial" w:hAnsi="Arial" w:hint="default"/>
      </w:rPr>
    </w:lvl>
    <w:lvl w:ilvl="8" w:tplc="0478CD4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3"/>
  </w:num>
  <w:num w:numId="3">
    <w:abstractNumId w:val="9"/>
  </w:num>
  <w:num w:numId="4">
    <w:abstractNumId w:val="10"/>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8"/>
  </w:num>
  <w:num w:numId="15">
    <w:abstractNumId w:val="12"/>
  </w:num>
  <w:num w:numId="16">
    <w:abstractNumId w:val="4"/>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5C01"/>
    <w:rsid w:val="00006446"/>
    <w:rsid w:val="00006896"/>
    <w:rsid w:val="00007CDC"/>
    <w:rsid w:val="00007FCD"/>
    <w:rsid w:val="00011B28"/>
    <w:rsid w:val="00015D15"/>
    <w:rsid w:val="0002564D"/>
    <w:rsid w:val="00025ECA"/>
    <w:rsid w:val="00030B30"/>
    <w:rsid w:val="000325B8"/>
    <w:rsid w:val="00034C15"/>
    <w:rsid w:val="00036BA1"/>
    <w:rsid w:val="00042009"/>
    <w:rsid w:val="000422E2"/>
    <w:rsid w:val="00042F22"/>
    <w:rsid w:val="000444EF"/>
    <w:rsid w:val="0005095D"/>
    <w:rsid w:val="00052A07"/>
    <w:rsid w:val="000534E3"/>
    <w:rsid w:val="00054B4F"/>
    <w:rsid w:val="0005606A"/>
    <w:rsid w:val="00057117"/>
    <w:rsid w:val="000616E7"/>
    <w:rsid w:val="0006487E"/>
    <w:rsid w:val="00065E1A"/>
    <w:rsid w:val="0007569C"/>
    <w:rsid w:val="00077E5F"/>
    <w:rsid w:val="0008036A"/>
    <w:rsid w:val="00081AE6"/>
    <w:rsid w:val="000855EB"/>
    <w:rsid w:val="00085B52"/>
    <w:rsid w:val="000866F2"/>
    <w:rsid w:val="00086A06"/>
    <w:rsid w:val="0009009F"/>
    <w:rsid w:val="00091557"/>
    <w:rsid w:val="000924C1"/>
    <w:rsid w:val="000924F0"/>
    <w:rsid w:val="00093474"/>
    <w:rsid w:val="0009510F"/>
    <w:rsid w:val="000A1B7B"/>
    <w:rsid w:val="000A56F2"/>
    <w:rsid w:val="000B161A"/>
    <w:rsid w:val="000B2719"/>
    <w:rsid w:val="000B3A8F"/>
    <w:rsid w:val="000B4AB9"/>
    <w:rsid w:val="000B58C3"/>
    <w:rsid w:val="000B61E9"/>
    <w:rsid w:val="000C165A"/>
    <w:rsid w:val="000C2E19"/>
    <w:rsid w:val="000D0D07"/>
    <w:rsid w:val="000D4797"/>
    <w:rsid w:val="000D5FBE"/>
    <w:rsid w:val="000E0527"/>
    <w:rsid w:val="000E1E92"/>
    <w:rsid w:val="000E5CCE"/>
    <w:rsid w:val="000E6BF4"/>
    <w:rsid w:val="000F06D6"/>
    <w:rsid w:val="000F0EB1"/>
    <w:rsid w:val="000F1106"/>
    <w:rsid w:val="000F3BE9"/>
    <w:rsid w:val="000F3F6C"/>
    <w:rsid w:val="000F6DF3"/>
    <w:rsid w:val="001005FF"/>
    <w:rsid w:val="001062FB"/>
    <w:rsid w:val="001063E6"/>
    <w:rsid w:val="00113CF4"/>
    <w:rsid w:val="001153EA"/>
    <w:rsid w:val="00115643"/>
    <w:rsid w:val="00116765"/>
    <w:rsid w:val="001178CF"/>
    <w:rsid w:val="001219F5"/>
    <w:rsid w:val="00121A20"/>
    <w:rsid w:val="00122A7F"/>
    <w:rsid w:val="0012377F"/>
    <w:rsid w:val="00124203"/>
    <w:rsid w:val="00124314"/>
    <w:rsid w:val="00126B4A"/>
    <w:rsid w:val="00132FD0"/>
    <w:rsid w:val="001344C0"/>
    <w:rsid w:val="001346FA"/>
    <w:rsid w:val="00135252"/>
    <w:rsid w:val="00137AB5"/>
    <w:rsid w:val="00137F0B"/>
    <w:rsid w:val="00142661"/>
    <w:rsid w:val="00151E23"/>
    <w:rsid w:val="001526E0"/>
    <w:rsid w:val="0015373E"/>
    <w:rsid w:val="001551B5"/>
    <w:rsid w:val="001659C1"/>
    <w:rsid w:val="00172356"/>
    <w:rsid w:val="00173A8E"/>
    <w:rsid w:val="00175E43"/>
    <w:rsid w:val="0018143F"/>
    <w:rsid w:val="00190AC1"/>
    <w:rsid w:val="00190D41"/>
    <w:rsid w:val="0019341A"/>
    <w:rsid w:val="00197DF9"/>
    <w:rsid w:val="001A1987"/>
    <w:rsid w:val="001A2564"/>
    <w:rsid w:val="001A34F4"/>
    <w:rsid w:val="001A4C72"/>
    <w:rsid w:val="001A6173"/>
    <w:rsid w:val="001A6CBA"/>
    <w:rsid w:val="001B0D97"/>
    <w:rsid w:val="001B5A5D"/>
    <w:rsid w:val="001C1CE5"/>
    <w:rsid w:val="001C3D2A"/>
    <w:rsid w:val="001D51BA"/>
    <w:rsid w:val="001D6342"/>
    <w:rsid w:val="001D64DC"/>
    <w:rsid w:val="001D6D53"/>
    <w:rsid w:val="001E133F"/>
    <w:rsid w:val="001E2560"/>
    <w:rsid w:val="001E58E2"/>
    <w:rsid w:val="001E7AED"/>
    <w:rsid w:val="001F2A20"/>
    <w:rsid w:val="001F35BC"/>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501"/>
    <w:rsid w:val="00230765"/>
    <w:rsid w:val="002313DD"/>
    <w:rsid w:val="002319E4"/>
    <w:rsid w:val="00233FF7"/>
    <w:rsid w:val="00234CAB"/>
    <w:rsid w:val="00235632"/>
    <w:rsid w:val="00235872"/>
    <w:rsid w:val="00241559"/>
    <w:rsid w:val="002435B3"/>
    <w:rsid w:val="002451ED"/>
    <w:rsid w:val="002458EB"/>
    <w:rsid w:val="00247C4A"/>
    <w:rsid w:val="002500C8"/>
    <w:rsid w:val="00257543"/>
    <w:rsid w:val="002617E7"/>
    <w:rsid w:val="00264228"/>
    <w:rsid w:val="00264334"/>
    <w:rsid w:val="0026473E"/>
    <w:rsid w:val="00266214"/>
    <w:rsid w:val="00267BFB"/>
    <w:rsid w:val="00267C83"/>
    <w:rsid w:val="0027144F"/>
    <w:rsid w:val="00271813"/>
    <w:rsid w:val="00271F3A"/>
    <w:rsid w:val="00272BFA"/>
    <w:rsid w:val="00273278"/>
    <w:rsid w:val="002737F4"/>
    <w:rsid w:val="002805F5"/>
    <w:rsid w:val="00280751"/>
    <w:rsid w:val="00280BE1"/>
    <w:rsid w:val="0028280A"/>
    <w:rsid w:val="00286ACD"/>
    <w:rsid w:val="00287838"/>
    <w:rsid w:val="002907B5"/>
    <w:rsid w:val="00290D66"/>
    <w:rsid w:val="00291916"/>
    <w:rsid w:val="00292EB7"/>
    <w:rsid w:val="00294F0A"/>
    <w:rsid w:val="00296227"/>
    <w:rsid w:val="00296F44"/>
    <w:rsid w:val="0029777D"/>
    <w:rsid w:val="002A055E"/>
    <w:rsid w:val="002A1D4E"/>
    <w:rsid w:val="002A2869"/>
    <w:rsid w:val="002B24D6"/>
    <w:rsid w:val="002C41E6"/>
    <w:rsid w:val="002D071A"/>
    <w:rsid w:val="002D34B2"/>
    <w:rsid w:val="002D7637"/>
    <w:rsid w:val="002E0E0D"/>
    <w:rsid w:val="002E17F2"/>
    <w:rsid w:val="002E7CAE"/>
    <w:rsid w:val="002F2771"/>
    <w:rsid w:val="002F37A9"/>
    <w:rsid w:val="002F6288"/>
    <w:rsid w:val="00301511"/>
    <w:rsid w:val="00301CE6"/>
    <w:rsid w:val="0030256B"/>
    <w:rsid w:val="0030501F"/>
    <w:rsid w:val="00307BA1"/>
    <w:rsid w:val="00311702"/>
    <w:rsid w:val="00311E82"/>
    <w:rsid w:val="003123EA"/>
    <w:rsid w:val="00313FD6"/>
    <w:rsid w:val="003143BD"/>
    <w:rsid w:val="003203ED"/>
    <w:rsid w:val="00322C9F"/>
    <w:rsid w:val="00324D23"/>
    <w:rsid w:val="00327997"/>
    <w:rsid w:val="00331751"/>
    <w:rsid w:val="00331B7B"/>
    <w:rsid w:val="00333AE3"/>
    <w:rsid w:val="00334579"/>
    <w:rsid w:val="00335858"/>
    <w:rsid w:val="00336BDA"/>
    <w:rsid w:val="00342BD7"/>
    <w:rsid w:val="00346DB5"/>
    <w:rsid w:val="003471E3"/>
    <w:rsid w:val="003477B1"/>
    <w:rsid w:val="00350D04"/>
    <w:rsid w:val="00356A14"/>
    <w:rsid w:val="00357380"/>
    <w:rsid w:val="003602D9"/>
    <w:rsid w:val="003604CE"/>
    <w:rsid w:val="00364DC2"/>
    <w:rsid w:val="00370E47"/>
    <w:rsid w:val="003742AC"/>
    <w:rsid w:val="00374ADB"/>
    <w:rsid w:val="00377CE1"/>
    <w:rsid w:val="003806C3"/>
    <w:rsid w:val="00385BF0"/>
    <w:rsid w:val="003909C7"/>
    <w:rsid w:val="003939FF"/>
    <w:rsid w:val="003A0E41"/>
    <w:rsid w:val="003A2223"/>
    <w:rsid w:val="003A2A0F"/>
    <w:rsid w:val="003A45A1"/>
    <w:rsid w:val="003A5B0A"/>
    <w:rsid w:val="003A6BAC"/>
    <w:rsid w:val="003A7EF3"/>
    <w:rsid w:val="003B159C"/>
    <w:rsid w:val="003B369F"/>
    <w:rsid w:val="003B36A3"/>
    <w:rsid w:val="003B4A14"/>
    <w:rsid w:val="003B7FE5"/>
    <w:rsid w:val="003C11C8"/>
    <w:rsid w:val="003C2702"/>
    <w:rsid w:val="003C6BB0"/>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368A"/>
    <w:rsid w:val="00404204"/>
    <w:rsid w:val="004050EA"/>
    <w:rsid w:val="0040512B"/>
    <w:rsid w:val="00405CA5"/>
    <w:rsid w:val="00407CD3"/>
    <w:rsid w:val="00410134"/>
    <w:rsid w:val="00410B72"/>
    <w:rsid w:val="00410F18"/>
    <w:rsid w:val="0041263E"/>
    <w:rsid w:val="00413AAC"/>
    <w:rsid w:val="00413E92"/>
    <w:rsid w:val="00421105"/>
    <w:rsid w:val="004242F4"/>
    <w:rsid w:val="00427248"/>
    <w:rsid w:val="00427EAB"/>
    <w:rsid w:val="00435E4D"/>
    <w:rsid w:val="00437447"/>
    <w:rsid w:val="00441782"/>
    <w:rsid w:val="00441A92"/>
    <w:rsid w:val="00444F56"/>
    <w:rsid w:val="00446488"/>
    <w:rsid w:val="004465AC"/>
    <w:rsid w:val="004517AA"/>
    <w:rsid w:val="00452CAC"/>
    <w:rsid w:val="00457565"/>
    <w:rsid w:val="00457B71"/>
    <w:rsid w:val="004669E2"/>
    <w:rsid w:val="00470C31"/>
    <w:rsid w:val="004734D0"/>
    <w:rsid w:val="0047556B"/>
    <w:rsid w:val="00477768"/>
    <w:rsid w:val="004873EF"/>
    <w:rsid w:val="00492BC5"/>
    <w:rsid w:val="004964F1"/>
    <w:rsid w:val="004A16BC"/>
    <w:rsid w:val="004A2B94"/>
    <w:rsid w:val="004B7C0C"/>
    <w:rsid w:val="004C356D"/>
    <w:rsid w:val="004C3898"/>
    <w:rsid w:val="004C5B73"/>
    <w:rsid w:val="004D2065"/>
    <w:rsid w:val="004D36B1"/>
    <w:rsid w:val="004D7EBD"/>
    <w:rsid w:val="004E2680"/>
    <w:rsid w:val="004E28F9"/>
    <w:rsid w:val="004E462E"/>
    <w:rsid w:val="004E56DC"/>
    <w:rsid w:val="004E76F4"/>
    <w:rsid w:val="004F0B4E"/>
    <w:rsid w:val="004F0B6C"/>
    <w:rsid w:val="004F1D2F"/>
    <w:rsid w:val="004F2078"/>
    <w:rsid w:val="004F4DA3"/>
    <w:rsid w:val="004F5D87"/>
    <w:rsid w:val="004F7D55"/>
    <w:rsid w:val="00506557"/>
    <w:rsid w:val="0050677A"/>
    <w:rsid w:val="005108D8"/>
    <w:rsid w:val="005116F9"/>
    <w:rsid w:val="00514CE3"/>
    <w:rsid w:val="005153A7"/>
    <w:rsid w:val="00517649"/>
    <w:rsid w:val="005219CF"/>
    <w:rsid w:val="00522536"/>
    <w:rsid w:val="00523023"/>
    <w:rsid w:val="00534B59"/>
    <w:rsid w:val="00536759"/>
    <w:rsid w:val="00537C62"/>
    <w:rsid w:val="00546970"/>
    <w:rsid w:val="00554192"/>
    <w:rsid w:val="00554E19"/>
    <w:rsid w:val="0056121F"/>
    <w:rsid w:val="00571C7A"/>
    <w:rsid w:val="00572505"/>
    <w:rsid w:val="005737E1"/>
    <w:rsid w:val="00575DA6"/>
    <w:rsid w:val="00582809"/>
    <w:rsid w:val="0058798C"/>
    <w:rsid w:val="005900FA"/>
    <w:rsid w:val="005932FD"/>
    <w:rsid w:val="005935A4"/>
    <w:rsid w:val="00594692"/>
    <w:rsid w:val="005948C2"/>
    <w:rsid w:val="00595DCA"/>
    <w:rsid w:val="0059779B"/>
    <w:rsid w:val="005A209A"/>
    <w:rsid w:val="005A662D"/>
    <w:rsid w:val="005A6E73"/>
    <w:rsid w:val="005B28C4"/>
    <w:rsid w:val="005B35D7"/>
    <w:rsid w:val="005B392A"/>
    <w:rsid w:val="005B3AA3"/>
    <w:rsid w:val="005B4A74"/>
    <w:rsid w:val="005B4CFF"/>
    <w:rsid w:val="005B6F83"/>
    <w:rsid w:val="005C74FB"/>
    <w:rsid w:val="005D1602"/>
    <w:rsid w:val="005E06A0"/>
    <w:rsid w:val="005E385F"/>
    <w:rsid w:val="005E5B81"/>
    <w:rsid w:val="005F2CB1"/>
    <w:rsid w:val="005F3025"/>
    <w:rsid w:val="005F618C"/>
    <w:rsid w:val="005F6384"/>
    <w:rsid w:val="005F70BD"/>
    <w:rsid w:val="00600D2D"/>
    <w:rsid w:val="00601475"/>
    <w:rsid w:val="0060283C"/>
    <w:rsid w:val="00604F14"/>
    <w:rsid w:val="00611B83"/>
    <w:rsid w:val="00613257"/>
    <w:rsid w:val="00620A71"/>
    <w:rsid w:val="00620D80"/>
    <w:rsid w:val="00623325"/>
    <w:rsid w:val="006234A6"/>
    <w:rsid w:val="00627171"/>
    <w:rsid w:val="00627E4C"/>
    <w:rsid w:val="00630001"/>
    <w:rsid w:val="006311B3"/>
    <w:rsid w:val="0063284C"/>
    <w:rsid w:val="00636398"/>
    <w:rsid w:val="006368D3"/>
    <w:rsid w:val="006377EC"/>
    <w:rsid w:val="0064151F"/>
    <w:rsid w:val="00641533"/>
    <w:rsid w:val="0064208D"/>
    <w:rsid w:val="00643475"/>
    <w:rsid w:val="0064396A"/>
    <w:rsid w:val="0064624E"/>
    <w:rsid w:val="00650AB9"/>
    <w:rsid w:val="00655366"/>
    <w:rsid w:val="00655733"/>
    <w:rsid w:val="00655ACD"/>
    <w:rsid w:val="00656A92"/>
    <w:rsid w:val="00656DDE"/>
    <w:rsid w:val="0066011D"/>
    <w:rsid w:val="006607C0"/>
    <w:rsid w:val="006613A6"/>
    <w:rsid w:val="006627A2"/>
    <w:rsid w:val="006634E6"/>
    <w:rsid w:val="006655EE"/>
    <w:rsid w:val="006668BD"/>
    <w:rsid w:val="00667EE7"/>
    <w:rsid w:val="00670922"/>
    <w:rsid w:val="00670BE1"/>
    <w:rsid w:val="0067218F"/>
    <w:rsid w:val="00672C58"/>
    <w:rsid w:val="006741F2"/>
    <w:rsid w:val="00674CC3"/>
    <w:rsid w:val="00675C72"/>
    <w:rsid w:val="006771F9"/>
    <w:rsid w:val="006776D7"/>
    <w:rsid w:val="00681003"/>
    <w:rsid w:val="006817C9"/>
    <w:rsid w:val="00683ECE"/>
    <w:rsid w:val="00695FC2"/>
    <w:rsid w:val="00696949"/>
    <w:rsid w:val="00697052"/>
    <w:rsid w:val="006A340A"/>
    <w:rsid w:val="006A46FB"/>
    <w:rsid w:val="006A5E28"/>
    <w:rsid w:val="006A6585"/>
    <w:rsid w:val="006A697B"/>
    <w:rsid w:val="006A7AFF"/>
    <w:rsid w:val="006B1816"/>
    <w:rsid w:val="006B2099"/>
    <w:rsid w:val="006B50CF"/>
    <w:rsid w:val="006C03B8"/>
    <w:rsid w:val="006C5EC9"/>
    <w:rsid w:val="006C6059"/>
    <w:rsid w:val="006C7522"/>
    <w:rsid w:val="006C7B2E"/>
    <w:rsid w:val="006D6F08"/>
    <w:rsid w:val="006E062C"/>
    <w:rsid w:val="006E1514"/>
    <w:rsid w:val="006E2288"/>
    <w:rsid w:val="006E28B7"/>
    <w:rsid w:val="006E3310"/>
    <w:rsid w:val="006E4E39"/>
    <w:rsid w:val="006E565E"/>
    <w:rsid w:val="006E673D"/>
    <w:rsid w:val="006E793A"/>
    <w:rsid w:val="006E7D3B"/>
    <w:rsid w:val="006F1B70"/>
    <w:rsid w:val="006F341D"/>
    <w:rsid w:val="006F3CDE"/>
    <w:rsid w:val="006F53A7"/>
    <w:rsid w:val="006F58D4"/>
    <w:rsid w:val="00702CFB"/>
    <w:rsid w:val="0070346E"/>
    <w:rsid w:val="00704EDB"/>
    <w:rsid w:val="00706101"/>
    <w:rsid w:val="00707072"/>
    <w:rsid w:val="00707D61"/>
    <w:rsid w:val="00712287"/>
    <w:rsid w:val="00712772"/>
    <w:rsid w:val="007148D3"/>
    <w:rsid w:val="00715B9A"/>
    <w:rsid w:val="00726EA6"/>
    <w:rsid w:val="00727208"/>
    <w:rsid w:val="00727680"/>
    <w:rsid w:val="007331D9"/>
    <w:rsid w:val="007348B1"/>
    <w:rsid w:val="00735ADB"/>
    <w:rsid w:val="007362A6"/>
    <w:rsid w:val="00736D7D"/>
    <w:rsid w:val="00737FB0"/>
    <w:rsid w:val="0074084D"/>
    <w:rsid w:val="00740E58"/>
    <w:rsid w:val="007445A0"/>
    <w:rsid w:val="0074524B"/>
    <w:rsid w:val="00747D8B"/>
    <w:rsid w:val="00751228"/>
    <w:rsid w:val="007571E1"/>
    <w:rsid w:val="007604B2"/>
    <w:rsid w:val="00765281"/>
    <w:rsid w:val="00766BAD"/>
    <w:rsid w:val="007715E3"/>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686"/>
    <w:rsid w:val="007C6A07"/>
    <w:rsid w:val="007C75A1"/>
    <w:rsid w:val="007C77A5"/>
    <w:rsid w:val="007D04E5"/>
    <w:rsid w:val="007D5901"/>
    <w:rsid w:val="007D7526"/>
    <w:rsid w:val="007E4610"/>
    <w:rsid w:val="007E4715"/>
    <w:rsid w:val="007E505B"/>
    <w:rsid w:val="007E7091"/>
    <w:rsid w:val="007F75D5"/>
    <w:rsid w:val="008009B0"/>
    <w:rsid w:val="00803FAE"/>
    <w:rsid w:val="008045C9"/>
    <w:rsid w:val="0080605F"/>
    <w:rsid w:val="00807786"/>
    <w:rsid w:val="00811FCB"/>
    <w:rsid w:val="008158D6"/>
    <w:rsid w:val="00816AAC"/>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037"/>
    <w:rsid w:val="00891E5D"/>
    <w:rsid w:val="00894A88"/>
    <w:rsid w:val="00895386"/>
    <w:rsid w:val="008972AF"/>
    <w:rsid w:val="008A21FF"/>
    <w:rsid w:val="008A2CE2"/>
    <w:rsid w:val="008A30AC"/>
    <w:rsid w:val="008A3AE4"/>
    <w:rsid w:val="008A44B8"/>
    <w:rsid w:val="008A51A8"/>
    <w:rsid w:val="008A54C7"/>
    <w:rsid w:val="008A77D8"/>
    <w:rsid w:val="008B0483"/>
    <w:rsid w:val="008B120C"/>
    <w:rsid w:val="008B168E"/>
    <w:rsid w:val="008B51A0"/>
    <w:rsid w:val="008B592A"/>
    <w:rsid w:val="008B7B5C"/>
    <w:rsid w:val="008B7E2F"/>
    <w:rsid w:val="008C0C99"/>
    <w:rsid w:val="008C2017"/>
    <w:rsid w:val="008C4958"/>
    <w:rsid w:val="008C4BAA"/>
    <w:rsid w:val="008C5307"/>
    <w:rsid w:val="008C6AE8"/>
    <w:rsid w:val="008C7573"/>
    <w:rsid w:val="008C7BDB"/>
    <w:rsid w:val="008D34F1"/>
    <w:rsid w:val="008D39D8"/>
    <w:rsid w:val="008D6D1A"/>
    <w:rsid w:val="008E065E"/>
    <w:rsid w:val="008E0927"/>
    <w:rsid w:val="008E1909"/>
    <w:rsid w:val="008F1EAB"/>
    <w:rsid w:val="008F2C22"/>
    <w:rsid w:val="008F33DC"/>
    <w:rsid w:val="008F477F"/>
    <w:rsid w:val="009005D0"/>
    <w:rsid w:val="00902350"/>
    <w:rsid w:val="0090336B"/>
    <w:rsid w:val="009053AA"/>
    <w:rsid w:val="00906939"/>
    <w:rsid w:val="00910B7D"/>
    <w:rsid w:val="00911DFB"/>
    <w:rsid w:val="009139D9"/>
    <w:rsid w:val="00914AD8"/>
    <w:rsid w:val="00916079"/>
    <w:rsid w:val="00916FAD"/>
    <w:rsid w:val="00917CE9"/>
    <w:rsid w:val="00920BF2"/>
    <w:rsid w:val="00922010"/>
    <w:rsid w:val="00923260"/>
    <w:rsid w:val="00924989"/>
    <w:rsid w:val="0092730F"/>
    <w:rsid w:val="00931BD9"/>
    <w:rsid w:val="00933603"/>
    <w:rsid w:val="00935739"/>
    <w:rsid w:val="009368F3"/>
    <w:rsid w:val="00941636"/>
    <w:rsid w:val="00943742"/>
    <w:rsid w:val="00945C05"/>
    <w:rsid w:val="00946945"/>
    <w:rsid w:val="00947226"/>
    <w:rsid w:val="00947713"/>
    <w:rsid w:val="009479F2"/>
    <w:rsid w:val="00950DE7"/>
    <w:rsid w:val="00952A24"/>
    <w:rsid w:val="00953920"/>
    <w:rsid w:val="00953D47"/>
    <w:rsid w:val="0095681E"/>
    <w:rsid w:val="009572D4"/>
    <w:rsid w:val="00961921"/>
    <w:rsid w:val="0096430A"/>
    <w:rsid w:val="0096554B"/>
    <w:rsid w:val="0096584A"/>
    <w:rsid w:val="00966E04"/>
    <w:rsid w:val="00971F08"/>
    <w:rsid w:val="0097603D"/>
    <w:rsid w:val="00976949"/>
    <w:rsid w:val="00980477"/>
    <w:rsid w:val="00983769"/>
    <w:rsid w:val="00984190"/>
    <w:rsid w:val="00984FE6"/>
    <w:rsid w:val="00985253"/>
    <w:rsid w:val="009853B3"/>
    <w:rsid w:val="00985BFD"/>
    <w:rsid w:val="00990630"/>
    <w:rsid w:val="00991761"/>
    <w:rsid w:val="009942DF"/>
    <w:rsid w:val="00994DCA"/>
    <w:rsid w:val="009960EC"/>
    <w:rsid w:val="009970DD"/>
    <w:rsid w:val="00997CB2"/>
    <w:rsid w:val="009A0480"/>
    <w:rsid w:val="009A0FBA"/>
    <w:rsid w:val="009A1601"/>
    <w:rsid w:val="009A18A7"/>
    <w:rsid w:val="009A25A0"/>
    <w:rsid w:val="009A462D"/>
    <w:rsid w:val="009A5CBA"/>
    <w:rsid w:val="009B0275"/>
    <w:rsid w:val="009B1F30"/>
    <w:rsid w:val="009B3AC2"/>
    <w:rsid w:val="009B4DF4"/>
    <w:rsid w:val="009B564E"/>
    <w:rsid w:val="009B7E87"/>
    <w:rsid w:val="009C403E"/>
    <w:rsid w:val="009C547C"/>
    <w:rsid w:val="009C6832"/>
    <w:rsid w:val="009D29D7"/>
    <w:rsid w:val="009D4FF0"/>
    <w:rsid w:val="009D703C"/>
    <w:rsid w:val="009D718F"/>
    <w:rsid w:val="009E068F"/>
    <w:rsid w:val="009E14E0"/>
    <w:rsid w:val="009E35DB"/>
    <w:rsid w:val="009E47A3"/>
    <w:rsid w:val="009E77BA"/>
    <w:rsid w:val="009F08F3"/>
    <w:rsid w:val="009F344F"/>
    <w:rsid w:val="009F601B"/>
    <w:rsid w:val="00A01254"/>
    <w:rsid w:val="00A031D8"/>
    <w:rsid w:val="00A048A8"/>
    <w:rsid w:val="00A04F49"/>
    <w:rsid w:val="00A13E54"/>
    <w:rsid w:val="00A15745"/>
    <w:rsid w:val="00A17F63"/>
    <w:rsid w:val="00A2161F"/>
    <w:rsid w:val="00A2193B"/>
    <w:rsid w:val="00A2351A"/>
    <w:rsid w:val="00A23BE1"/>
    <w:rsid w:val="00A264A9"/>
    <w:rsid w:val="00A27785"/>
    <w:rsid w:val="00A30187"/>
    <w:rsid w:val="00A3448A"/>
    <w:rsid w:val="00A35E67"/>
    <w:rsid w:val="00A36297"/>
    <w:rsid w:val="00A36C20"/>
    <w:rsid w:val="00A41E2B"/>
    <w:rsid w:val="00A41EA0"/>
    <w:rsid w:val="00A42389"/>
    <w:rsid w:val="00A42555"/>
    <w:rsid w:val="00A43B15"/>
    <w:rsid w:val="00A45B74"/>
    <w:rsid w:val="00A52E1D"/>
    <w:rsid w:val="00A569F7"/>
    <w:rsid w:val="00A61499"/>
    <w:rsid w:val="00A62464"/>
    <w:rsid w:val="00A62A77"/>
    <w:rsid w:val="00A63483"/>
    <w:rsid w:val="00A657D7"/>
    <w:rsid w:val="00A660AC"/>
    <w:rsid w:val="00A67E6C"/>
    <w:rsid w:val="00A71149"/>
    <w:rsid w:val="00A71B99"/>
    <w:rsid w:val="00A739D0"/>
    <w:rsid w:val="00A761D4"/>
    <w:rsid w:val="00A77EC4"/>
    <w:rsid w:val="00A85C6C"/>
    <w:rsid w:val="00A85EF6"/>
    <w:rsid w:val="00A92072"/>
    <w:rsid w:val="00A92879"/>
    <w:rsid w:val="00A9442A"/>
    <w:rsid w:val="00AA016F"/>
    <w:rsid w:val="00AA1ED6"/>
    <w:rsid w:val="00AA51D6"/>
    <w:rsid w:val="00AB0BC8"/>
    <w:rsid w:val="00AB11CA"/>
    <w:rsid w:val="00AB14D9"/>
    <w:rsid w:val="00AB4AB8"/>
    <w:rsid w:val="00AB537C"/>
    <w:rsid w:val="00AB5954"/>
    <w:rsid w:val="00AB5A07"/>
    <w:rsid w:val="00AB655E"/>
    <w:rsid w:val="00AC007F"/>
    <w:rsid w:val="00AC2ECD"/>
    <w:rsid w:val="00AC3119"/>
    <w:rsid w:val="00AC49FB"/>
    <w:rsid w:val="00AC5A10"/>
    <w:rsid w:val="00AC6C0F"/>
    <w:rsid w:val="00AC7597"/>
    <w:rsid w:val="00AC7789"/>
    <w:rsid w:val="00AD0AA3"/>
    <w:rsid w:val="00AD3F94"/>
    <w:rsid w:val="00AD4A5A"/>
    <w:rsid w:val="00AE1ED4"/>
    <w:rsid w:val="00AE27AC"/>
    <w:rsid w:val="00AE2FEB"/>
    <w:rsid w:val="00AE40E0"/>
    <w:rsid w:val="00AE4D0B"/>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15F4"/>
    <w:rsid w:val="00B6172F"/>
    <w:rsid w:val="00B664C7"/>
    <w:rsid w:val="00B7011F"/>
    <w:rsid w:val="00B719FF"/>
    <w:rsid w:val="00B739F6"/>
    <w:rsid w:val="00B75A51"/>
    <w:rsid w:val="00B77243"/>
    <w:rsid w:val="00B801B6"/>
    <w:rsid w:val="00B81A6C"/>
    <w:rsid w:val="00B85DE5"/>
    <w:rsid w:val="00B90F73"/>
    <w:rsid w:val="00B92D37"/>
    <w:rsid w:val="00B93B59"/>
    <w:rsid w:val="00B9406A"/>
    <w:rsid w:val="00BA0AA4"/>
    <w:rsid w:val="00BA2280"/>
    <w:rsid w:val="00BA2A08"/>
    <w:rsid w:val="00BA56D2"/>
    <w:rsid w:val="00BA76E0"/>
    <w:rsid w:val="00BB2A25"/>
    <w:rsid w:val="00BB51E9"/>
    <w:rsid w:val="00BC0FDC"/>
    <w:rsid w:val="00BC3053"/>
    <w:rsid w:val="00BC4D2E"/>
    <w:rsid w:val="00BD2E2C"/>
    <w:rsid w:val="00BD48AC"/>
    <w:rsid w:val="00BD5F1A"/>
    <w:rsid w:val="00BE0DC9"/>
    <w:rsid w:val="00BE1234"/>
    <w:rsid w:val="00BE2FA6"/>
    <w:rsid w:val="00BE333F"/>
    <w:rsid w:val="00BE601E"/>
    <w:rsid w:val="00BE7406"/>
    <w:rsid w:val="00BE7603"/>
    <w:rsid w:val="00BF0BFD"/>
    <w:rsid w:val="00BF3279"/>
    <w:rsid w:val="00BF74C7"/>
    <w:rsid w:val="00BF7642"/>
    <w:rsid w:val="00C015F1"/>
    <w:rsid w:val="00C01F33"/>
    <w:rsid w:val="00C02A4C"/>
    <w:rsid w:val="00C02CC6"/>
    <w:rsid w:val="00C040F7"/>
    <w:rsid w:val="00C044AB"/>
    <w:rsid w:val="00C05706"/>
    <w:rsid w:val="00C07377"/>
    <w:rsid w:val="00C10478"/>
    <w:rsid w:val="00C105E6"/>
    <w:rsid w:val="00C12107"/>
    <w:rsid w:val="00C14D4B"/>
    <w:rsid w:val="00C154BB"/>
    <w:rsid w:val="00C279B5"/>
    <w:rsid w:val="00C27C45"/>
    <w:rsid w:val="00C31868"/>
    <w:rsid w:val="00C3719D"/>
    <w:rsid w:val="00C44CC2"/>
    <w:rsid w:val="00C459F7"/>
    <w:rsid w:val="00C510FE"/>
    <w:rsid w:val="00C54995"/>
    <w:rsid w:val="00C54D41"/>
    <w:rsid w:val="00C60783"/>
    <w:rsid w:val="00C64672"/>
    <w:rsid w:val="00C70697"/>
    <w:rsid w:val="00C72EF4"/>
    <w:rsid w:val="00C7355C"/>
    <w:rsid w:val="00C75D2F"/>
    <w:rsid w:val="00C767BE"/>
    <w:rsid w:val="00C76E3C"/>
    <w:rsid w:val="00C800F0"/>
    <w:rsid w:val="00C81568"/>
    <w:rsid w:val="00C9027A"/>
    <w:rsid w:val="00C9068E"/>
    <w:rsid w:val="00C9314E"/>
    <w:rsid w:val="00C93C4B"/>
    <w:rsid w:val="00C944AB"/>
    <w:rsid w:val="00C95B40"/>
    <w:rsid w:val="00C97FC0"/>
    <w:rsid w:val="00CA1068"/>
    <w:rsid w:val="00CA1ED8"/>
    <w:rsid w:val="00CA2417"/>
    <w:rsid w:val="00CA4A8D"/>
    <w:rsid w:val="00CB1F1F"/>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3D3"/>
    <w:rsid w:val="00D07479"/>
    <w:rsid w:val="00D10249"/>
    <w:rsid w:val="00D115C3"/>
    <w:rsid w:val="00D11897"/>
    <w:rsid w:val="00D12C2B"/>
    <w:rsid w:val="00D13135"/>
    <w:rsid w:val="00D1376B"/>
    <w:rsid w:val="00D13E4E"/>
    <w:rsid w:val="00D209F2"/>
    <w:rsid w:val="00D239A7"/>
    <w:rsid w:val="00D23F47"/>
    <w:rsid w:val="00D27F3C"/>
    <w:rsid w:val="00D34B3E"/>
    <w:rsid w:val="00D36DC5"/>
    <w:rsid w:val="00D36E71"/>
    <w:rsid w:val="00D37D87"/>
    <w:rsid w:val="00D40B33"/>
    <w:rsid w:val="00D4318F"/>
    <w:rsid w:val="00D438BF"/>
    <w:rsid w:val="00D440F8"/>
    <w:rsid w:val="00D546FF"/>
    <w:rsid w:val="00D559A7"/>
    <w:rsid w:val="00D55AD5"/>
    <w:rsid w:val="00D576CA"/>
    <w:rsid w:val="00D61AF5"/>
    <w:rsid w:val="00D652B5"/>
    <w:rsid w:val="00D66155"/>
    <w:rsid w:val="00D708B0"/>
    <w:rsid w:val="00D77B1D"/>
    <w:rsid w:val="00D77E24"/>
    <w:rsid w:val="00D8021F"/>
    <w:rsid w:val="00D80383"/>
    <w:rsid w:val="00D81697"/>
    <w:rsid w:val="00D823C6"/>
    <w:rsid w:val="00D8482D"/>
    <w:rsid w:val="00D86CA3"/>
    <w:rsid w:val="00D871CE"/>
    <w:rsid w:val="00D9196D"/>
    <w:rsid w:val="00D91FAF"/>
    <w:rsid w:val="00D92982"/>
    <w:rsid w:val="00DA305E"/>
    <w:rsid w:val="00DA5417"/>
    <w:rsid w:val="00DA56E8"/>
    <w:rsid w:val="00DB0A9F"/>
    <w:rsid w:val="00DB377D"/>
    <w:rsid w:val="00DB38A6"/>
    <w:rsid w:val="00DC2D36"/>
    <w:rsid w:val="00DC53EF"/>
    <w:rsid w:val="00DE5608"/>
    <w:rsid w:val="00DE58D0"/>
    <w:rsid w:val="00DE654F"/>
    <w:rsid w:val="00DF0B6E"/>
    <w:rsid w:val="00DF15E0"/>
    <w:rsid w:val="00DF37A0"/>
    <w:rsid w:val="00DF59EF"/>
    <w:rsid w:val="00E10F7D"/>
    <w:rsid w:val="00E110E7"/>
    <w:rsid w:val="00E11B20"/>
    <w:rsid w:val="00E17FA2"/>
    <w:rsid w:val="00E22330"/>
    <w:rsid w:val="00E25030"/>
    <w:rsid w:val="00E250EA"/>
    <w:rsid w:val="00E30B5A"/>
    <w:rsid w:val="00E3123D"/>
    <w:rsid w:val="00E31461"/>
    <w:rsid w:val="00E31D43"/>
    <w:rsid w:val="00E32608"/>
    <w:rsid w:val="00E34188"/>
    <w:rsid w:val="00E34B6E"/>
    <w:rsid w:val="00E35559"/>
    <w:rsid w:val="00E3723A"/>
    <w:rsid w:val="00E37860"/>
    <w:rsid w:val="00E43FCF"/>
    <w:rsid w:val="00E446F1"/>
    <w:rsid w:val="00E46886"/>
    <w:rsid w:val="00E47AEF"/>
    <w:rsid w:val="00E53B73"/>
    <w:rsid w:val="00E53B75"/>
    <w:rsid w:val="00E542C5"/>
    <w:rsid w:val="00E54E3B"/>
    <w:rsid w:val="00E5689D"/>
    <w:rsid w:val="00E57565"/>
    <w:rsid w:val="00E63838"/>
    <w:rsid w:val="00E64434"/>
    <w:rsid w:val="00E64B80"/>
    <w:rsid w:val="00E67C51"/>
    <w:rsid w:val="00E72EFC"/>
    <w:rsid w:val="00E758EC"/>
    <w:rsid w:val="00E8234C"/>
    <w:rsid w:val="00E83AA9"/>
    <w:rsid w:val="00E83BCF"/>
    <w:rsid w:val="00E85928"/>
    <w:rsid w:val="00E87822"/>
    <w:rsid w:val="00E90395"/>
    <w:rsid w:val="00E90E49"/>
    <w:rsid w:val="00E917F9"/>
    <w:rsid w:val="00E9291C"/>
    <w:rsid w:val="00E93FFE"/>
    <w:rsid w:val="00E94F8A"/>
    <w:rsid w:val="00EA31D9"/>
    <w:rsid w:val="00EA4B16"/>
    <w:rsid w:val="00EA62A9"/>
    <w:rsid w:val="00EA7A41"/>
    <w:rsid w:val="00EB077B"/>
    <w:rsid w:val="00EB4EA2"/>
    <w:rsid w:val="00EB7AF8"/>
    <w:rsid w:val="00EC27C6"/>
    <w:rsid w:val="00EC4207"/>
    <w:rsid w:val="00EC4B7F"/>
    <w:rsid w:val="00EC5653"/>
    <w:rsid w:val="00EC7060"/>
    <w:rsid w:val="00EC71CE"/>
    <w:rsid w:val="00EC7317"/>
    <w:rsid w:val="00EC77A7"/>
    <w:rsid w:val="00ED1006"/>
    <w:rsid w:val="00ED34B0"/>
    <w:rsid w:val="00EE0E23"/>
    <w:rsid w:val="00EE2A93"/>
    <w:rsid w:val="00EE59C8"/>
    <w:rsid w:val="00EF18FE"/>
    <w:rsid w:val="00EF5787"/>
    <w:rsid w:val="00EF60D0"/>
    <w:rsid w:val="00EF6806"/>
    <w:rsid w:val="00F0528D"/>
    <w:rsid w:val="00F06C67"/>
    <w:rsid w:val="00F06DFD"/>
    <w:rsid w:val="00F071D1"/>
    <w:rsid w:val="00F07533"/>
    <w:rsid w:val="00F10629"/>
    <w:rsid w:val="00F15FA5"/>
    <w:rsid w:val="00F209B7"/>
    <w:rsid w:val="00F2376F"/>
    <w:rsid w:val="00F243D8"/>
    <w:rsid w:val="00F30828"/>
    <w:rsid w:val="00F313D6"/>
    <w:rsid w:val="00F33729"/>
    <w:rsid w:val="00F364D9"/>
    <w:rsid w:val="00F40AEB"/>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D57"/>
    <w:rsid w:val="00F8456C"/>
    <w:rsid w:val="00F84BF1"/>
    <w:rsid w:val="00F859D8"/>
    <w:rsid w:val="00F868F5"/>
    <w:rsid w:val="00F9056A"/>
    <w:rsid w:val="00F90F8D"/>
    <w:rsid w:val="00F92782"/>
    <w:rsid w:val="00F93AA9"/>
    <w:rsid w:val="00F96985"/>
    <w:rsid w:val="00F97838"/>
    <w:rsid w:val="00FA2857"/>
    <w:rsid w:val="00FA2BB3"/>
    <w:rsid w:val="00FB098F"/>
    <w:rsid w:val="00FB4C80"/>
    <w:rsid w:val="00FB6A6A"/>
    <w:rsid w:val="00FC7429"/>
    <w:rsid w:val="00FD07F6"/>
    <w:rsid w:val="00FD1EC8"/>
    <w:rsid w:val="00FD47ED"/>
    <w:rsid w:val="00FD74DB"/>
    <w:rsid w:val="00FD7660"/>
    <w:rsid w:val="00FE0655"/>
    <w:rsid w:val="00FE2365"/>
    <w:rsid w:val="00FE37D7"/>
    <w:rsid w:val="00FE40F9"/>
    <w:rsid w:val="00FE4C7B"/>
    <w:rsid w:val="00FE7336"/>
    <w:rsid w:val="00FE787C"/>
    <w:rsid w:val="00FF4058"/>
    <w:rsid w:val="00FF45A5"/>
    <w:rsid w:val="00FF4CD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3B15"/>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43B1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43B15"/>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43B15"/>
    <w:pPr>
      <w:numPr>
        <w:ilvl w:val="2"/>
      </w:numPr>
      <w:spacing w:before="120"/>
      <w:outlineLvl w:val="2"/>
    </w:pPr>
    <w:rPr>
      <w:sz w:val="24"/>
      <w:szCs w:val="28"/>
    </w:rPr>
  </w:style>
  <w:style w:type="paragraph" w:styleId="Heading4">
    <w:name w:val="heading 4"/>
    <w:basedOn w:val="Heading3"/>
    <w:next w:val="Normal"/>
    <w:qFormat/>
    <w:rsid w:val="00A43B15"/>
    <w:pPr>
      <w:numPr>
        <w:ilvl w:val="3"/>
      </w:numPr>
      <w:outlineLvl w:val="3"/>
    </w:pPr>
    <w:rPr>
      <w:szCs w:val="24"/>
    </w:rPr>
  </w:style>
  <w:style w:type="paragraph" w:styleId="Heading5">
    <w:name w:val="heading 5"/>
    <w:basedOn w:val="Heading4"/>
    <w:next w:val="Normal"/>
    <w:qFormat/>
    <w:rsid w:val="00A43B15"/>
    <w:pPr>
      <w:numPr>
        <w:ilvl w:val="4"/>
      </w:numPr>
      <w:outlineLvl w:val="4"/>
    </w:pPr>
    <w:rPr>
      <w:sz w:val="22"/>
      <w:szCs w:val="22"/>
    </w:rPr>
  </w:style>
  <w:style w:type="paragraph" w:styleId="Heading6">
    <w:name w:val="heading 6"/>
    <w:basedOn w:val="Normal"/>
    <w:next w:val="Normal"/>
    <w:qFormat/>
    <w:rsid w:val="00A43B15"/>
    <w:pPr>
      <w:keepNext/>
      <w:keepLines/>
      <w:numPr>
        <w:ilvl w:val="5"/>
        <w:numId w:val="1"/>
      </w:numPr>
      <w:spacing w:before="120"/>
      <w:outlineLvl w:val="5"/>
    </w:pPr>
    <w:rPr>
      <w:rFonts w:cs="Arial"/>
    </w:rPr>
  </w:style>
  <w:style w:type="paragraph" w:styleId="Heading7">
    <w:name w:val="heading 7"/>
    <w:basedOn w:val="Normal"/>
    <w:next w:val="Normal"/>
    <w:qFormat/>
    <w:rsid w:val="00A43B15"/>
    <w:pPr>
      <w:keepNext/>
      <w:keepLines/>
      <w:numPr>
        <w:ilvl w:val="6"/>
        <w:numId w:val="1"/>
      </w:numPr>
      <w:spacing w:before="120"/>
      <w:outlineLvl w:val="6"/>
    </w:pPr>
    <w:rPr>
      <w:rFonts w:cs="Arial"/>
    </w:rPr>
  </w:style>
  <w:style w:type="paragraph" w:styleId="Heading8">
    <w:name w:val="heading 8"/>
    <w:basedOn w:val="Heading7"/>
    <w:next w:val="Normal"/>
    <w:qFormat/>
    <w:rsid w:val="00A43B15"/>
    <w:pPr>
      <w:numPr>
        <w:ilvl w:val="7"/>
      </w:numPr>
      <w:outlineLvl w:val="7"/>
    </w:pPr>
  </w:style>
  <w:style w:type="paragraph" w:styleId="Heading9">
    <w:name w:val="heading 9"/>
    <w:basedOn w:val="Heading8"/>
    <w:next w:val="Normal"/>
    <w:qFormat/>
    <w:rsid w:val="00A43B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43B15"/>
    <w:pPr>
      <w:spacing w:before="180"/>
      <w:ind w:left="2693" w:hanging="2693"/>
    </w:pPr>
    <w:rPr>
      <w:b w:val="0"/>
      <w:bCs/>
    </w:rPr>
  </w:style>
  <w:style w:type="paragraph" w:styleId="TOC1">
    <w:name w:val="toc 1"/>
    <w:aliases w:val="Observation TOC2"/>
    <w:uiPriority w:val="39"/>
    <w:rsid w:val="00A43B1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43B15"/>
    <w:pPr>
      <w:keepNext/>
      <w:keepLines/>
      <w:spacing w:before="180"/>
      <w:jc w:val="center"/>
    </w:pPr>
  </w:style>
  <w:style w:type="paragraph" w:styleId="Caption">
    <w:name w:val="caption"/>
    <w:basedOn w:val="Normal"/>
    <w:next w:val="Normal"/>
    <w:qFormat/>
    <w:rsid w:val="00A43B15"/>
    <w:pPr>
      <w:spacing w:after="240"/>
      <w:jc w:val="center"/>
    </w:pPr>
    <w:rPr>
      <w:b/>
      <w:bCs/>
    </w:rPr>
  </w:style>
  <w:style w:type="paragraph" w:styleId="TOC5">
    <w:name w:val="toc 5"/>
    <w:aliases w:val="Observation TOC"/>
    <w:basedOn w:val="TOC4"/>
    <w:semiHidden/>
    <w:rsid w:val="00A43B15"/>
    <w:pPr>
      <w:tabs>
        <w:tab w:val="right" w:pos="1701"/>
      </w:tabs>
      <w:ind w:left="1701" w:hanging="1701"/>
    </w:pPr>
  </w:style>
  <w:style w:type="paragraph" w:styleId="TOC4">
    <w:name w:val="toc 4"/>
    <w:basedOn w:val="TOC3"/>
    <w:semiHidden/>
    <w:rsid w:val="00A43B15"/>
    <w:pPr>
      <w:ind w:left="1418" w:hanging="1418"/>
    </w:pPr>
  </w:style>
  <w:style w:type="paragraph" w:styleId="TOC3">
    <w:name w:val="toc 3"/>
    <w:basedOn w:val="TOC2"/>
    <w:semiHidden/>
    <w:rsid w:val="00A43B15"/>
    <w:pPr>
      <w:ind w:left="1134" w:hanging="1134"/>
    </w:pPr>
  </w:style>
  <w:style w:type="paragraph" w:styleId="TOC2">
    <w:name w:val="toc 2"/>
    <w:basedOn w:val="TOC1"/>
    <w:semiHidden/>
    <w:rsid w:val="00A43B15"/>
    <w:pPr>
      <w:keepNext w:val="0"/>
      <w:spacing w:before="0"/>
      <w:ind w:left="851" w:hanging="851"/>
    </w:pPr>
    <w:rPr>
      <w:szCs w:val="20"/>
    </w:rPr>
  </w:style>
  <w:style w:type="paragraph" w:styleId="Index2">
    <w:name w:val="index 2"/>
    <w:basedOn w:val="Index1"/>
    <w:semiHidden/>
    <w:rsid w:val="00A43B15"/>
    <w:pPr>
      <w:ind w:left="284"/>
    </w:pPr>
  </w:style>
  <w:style w:type="paragraph" w:styleId="Index1">
    <w:name w:val="index 1"/>
    <w:basedOn w:val="Normal"/>
    <w:semiHidden/>
    <w:rsid w:val="00A43B15"/>
    <w:pPr>
      <w:keepLines/>
      <w:spacing w:after="0"/>
    </w:pPr>
  </w:style>
  <w:style w:type="paragraph" w:styleId="DocumentMap">
    <w:name w:val="Document Map"/>
    <w:basedOn w:val="Normal"/>
    <w:semiHidden/>
    <w:rsid w:val="00A43B15"/>
    <w:pPr>
      <w:shd w:val="clear" w:color="auto" w:fill="000080"/>
    </w:pPr>
    <w:rPr>
      <w:rFonts w:ascii="Tahoma" w:hAnsi="Tahoma" w:cs="Tahoma"/>
    </w:rPr>
  </w:style>
  <w:style w:type="paragraph" w:styleId="ListNumber2">
    <w:name w:val="List Number 2"/>
    <w:basedOn w:val="ListNumber"/>
    <w:rsid w:val="00A43B15"/>
    <w:pPr>
      <w:ind w:left="851"/>
    </w:pPr>
  </w:style>
  <w:style w:type="paragraph" w:styleId="ListNumber">
    <w:name w:val="List Number"/>
    <w:basedOn w:val="List"/>
    <w:rsid w:val="00A43B15"/>
  </w:style>
  <w:style w:type="paragraph" w:styleId="List">
    <w:name w:val="List"/>
    <w:basedOn w:val="Normal"/>
    <w:rsid w:val="00A43B15"/>
    <w:pPr>
      <w:ind w:left="568" w:hanging="284"/>
    </w:pPr>
  </w:style>
  <w:style w:type="paragraph" w:styleId="Header">
    <w:name w:val="header"/>
    <w:rsid w:val="00A43B1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43B15"/>
    <w:rPr>
      <w:b/>
      <w:bCs/>
      <w:position w:val="6"/>
      <w:sz w:val="16"/>
      <w:szCs w:val="16"/>
    </w:rPr>
  </w:style>
  <w:style w:type="paragraph" w:styleId="FootnoteText">
    <w:name w:val="footnote text"/>
    <w:basedOn w:val="Normal"/>
    <w:semiHidden/>
    <w:rsid w:val="00A43B15"/>
    <w:pPr>
      <w:keepLines/>
      <w:spacing w:after="0"/>
      <w:ind w:left="454" w:hanging="454"/>
    </w:pPr>
    <w:rPr>
      <w:sz w:val="16"/>
      <w:szCs w:val="16"/>
    </w:rPr>
  </w:style>
  <w:style w:type="paragraph" w:customStyle="1" w:styleId="3GPPHeader">
    <w:name w:val="3GPP_Header"/>
    <w:basedOn w:val="Normal"/>
    <w:qFormat/>
    <w:rsid w:val="00A43B15"/>
    <w:pPr>
      <w:tabs>
        <w:tab w:val="left" w:pos="1800"/>
        <w:tab w:val="right" w:pos="9360"/>
      </w:tabs>
      <w:spacing w:after="0"/>
    </w:pPr>
    <w:rPr>
      <w:rFonts w:ascii="Arial" w:hAnsi="Arial"/>
      <w:b/>
    </w:rPr>
  </w:style>
  <w:style w:type="paragraph" w:styleId="TOC9">
    <w:name w:val="toc 9"/>
    <w:basedOn w:val="TOC8"/>
    <w:semiHidden/>
    <w:rsid w:val="00A43B15"/>
    <w:pPr>
      <w:ind w:left="1418" w:hanging="1418"/>
    </w:pPr>
  </w:style>
  <w:style w:type="paragraph" w:styleId="TOC6">
    <w:name w:val="toc 6"/>
    <w:basedOn w:val="TOC5"/>
    <w:next w:val="Normal"/>
    <w:semiHidden/>
    <w:rsid w:val="00A43B15"/>
    <w:pPr>
      <w:ind w:left="1985" w:hanging="1985"/>
    </w:pPr>
  </w:style>
  <w:style w:type="paragraph" w:styleId="TOC7">
    <w:name w:val="toc 7"/>
    <w:basedOn w:val="TOC6"/>
    <w:next w:val="Normal"/>
    <w:semiHidden/>
    <w:rsid w:val="00A43B15"/>
    <w:pPr>
      <w:ind w:left="2268" w:hanging="2268"/>
    </w:pPr>
  </w:style>
  <w:style w:type="paragraph" w:styleId="ListBullet2">
    <w:name w:val="List Bullet 2"/>
    <w:basedOn w:val="ListBullet"/>
    <w:rsid w:val="00A43B15"/>
    <w:pPr>
      <w:numPr>
        <w:numId w:val="6"/>
      </w:numPr>
    </w:pPr>
  </w:style>
  <w:style w:type="paragraph" w:styleId="ListBullet">
    <w:name w:val="List Bullet"/>
    <w:basedOn w:val="BodyText"/>
    <w:rsid w:val="00A43B15"/>
    <w:pPr>
      <w:numPr>
        <w:numId w:val="5"/>
      </w:numPr>
    </w:pPr>
  </w:style>
  <w:style w:type="paragraph" w:styleId="ListBullet3">
    <w:name w:val="List Bullet 3"/>
    <w:basedOn w:val="ListBullet2"/>
    <w:rsid w:val="00A43B15"/>
    <w:pPr>
      <w:numPr>
        <w:numId w:val="7"/>
      </w:numPr>
    </w:pPr>
  </w:style>
  <w:style w:type="paragraph" w:customStyle="1" w:styleId="EQ">
    <w:name w:val="EQ"/>
    <w:basedOn w:val="Normal"/>
    <w:next w:val="Normal"/>
    <w:rsid w:val="00A43B15"/>
    <w:pPr>
      <w:keepLines/>
      <w:tabs>
        <w:tab w:val="center" w:pos="4536"/>
        <w:tab w:val="right" w:pos="9072"/>
      </w:tabs>
      <w:spacing w:after="180"/>
      <w:jc w:val="left"/>
    </w:pPr>
    <w:rPr>
      <w:noProof/>
      <w:lang w:eastAsia="en-US"/>
    </w:rPr>
  </w:style>
  <w:style w:type="paragraph" w:styleId="List2">
    <w:name w:val="List 2"/>
    <w:basedOn w:val="List"/>
    <w:rsid w:val="00A43B15"/>
    <w:pPr>
      <w:ind w:left="851"/>
    </w:pPr>
  </w:style>
  <w:style w:type="paragraph" w:styleId="List3">
    <w:name w:val="List 3"/>
    <w:basedOn w:val="List2"/>
    <w:rsid w:val="00A43B15"/>
    <w:pPr>
      <w:ind w:left="1135"/>
    </w:pPr>
  </w:style>
  <w:style w:type="paragraph" w:styleId="List4">
    <w:name w:val="List 4"/>
    <w:basedOn w:val="List3"/>
    <w:rsid w:val="00A43B15"/>
    <w:pPr>
      <w:ind w:left="1418"/>
    </w:pPr>
  </w:style>
  <w:style w:type="paragraph" w:styleId="List5">
    <w:name w:val="List 5"/>
    <w:basedOn w:val="List4"/>
    <w:rsid w:val="00A43B15"/>
    <w:pPr>
      <w:ind w:left="1702"/>
    </w:pPr>
  </w:style>
  <w:style w:type="paragraph" w:customStyle="1" w:styleId="EditorsNote">
    <w:name w:val="Editor's Note"/>
    <w:basedOn w:val="Normal"/>
    <w:rsid w:val="00A43B15"/>
    <w:pPr>
      <w:keepLines/>
      <w:spacing w:after="180"/>
      <w:ind w:left="1135" w:hanging="851"/>
      <w:jc w:val="left"/>
    </w:pPr>
    <w:rPr>
      <w:color w:val="FF0000"/>
      <w:lang w:eastAsia="en-US"/>
    </w:rPr>
  </w:style>
  <w:style w:type="paragraph" w:styleId="ListBullet4">
    <w:name w:val="List Bullet 4"/>
    <w:basedOn w:val="ListBullet3"/>
    <w:rsid w:val="00A43B15"/>
    <w:pPr>
      <w:numPr>
        <w:numId w:val="8"/>
      </w:numPr>
    </w:pPr>
  </w:style>
  <w:style w:type="paragraph" w:styleId="ListBullet5">
    <w:name w:val="List Bullet 5"/>
    <w:basedOn w:val="ListBullet4"/>
    <w:rsid w:val="00A43B15"/>
    <w:pPr>
      <w:numPr>
        <w:numId w:val="4"/>
      </w:numPr>
    </w:pPr>
  </w:style>
  <w:style w:type="paragraph" w:styleId="Footer">
    <w:name w:val="footer"/>
    <w:basedOn w:val="Header"/>
    <w:semiHidden/>
    <w:rsid w:val="00A43B15"/>
    <w:pPr>
      <w:jc w:val="center"/>
    </w:pPr>
    <w:rPr>
      <w:i/>
      <w:iCs/>
    </w:rPr>
  </w:style>
  <w:style w:type="paragraph" w:customStyle="1" w:styleId="Reference">
    <w:name w:val="Reference"/>
    <w:basedOn w:val="Normal"/>
    <w:qFormat/>
    <w:rsid w:val="00A43B15"/>
    <w:pPr>
      <w:numPr>
        <w:numId w:val="2"/>
      </w:numPr>
    </w:pPr>
  </w:style>
  <w:style w:type="paragraph" w:styleId="BalloonText">
    <w:name w:val="Balloon Text"/>
    <w:basedOn w:val="Normal"/>
    <w:semiHidden/>
    <w:rsid w:val="00A43B15"/>
    <w:rPr>
      <w:rFonts w:ascii="Tahoma" w:hAnsi="Tahoma" w:cs="Tahoma"/>
      <w:sz w:val="16"/>
      <w:szCs w:val="16"/>
    </w:rPr>
  </w:style>
  <w:style w:type="character" w:styleId="PageNumber">
    <w:name w:val="page number"/>
    <w:basedOn w:val="DefaultParagraphFont"/>
    <w:semiHidden/>
    <w:rsid w:val="00A43B15"/>
  </w:style>
  <w:style w:type="paragraph" w:styleId="BodyText">
    <w:name w:val="Body Text"/>
    <w:basedOn w:val="Normal"/>
    <w:link w:val="BodyTextChar"/>
    <w:qFormat/>
    <w:rsid w:val="00A43B15"/>
  </w:style>
  <w:style w:type="character" w:styleId="Hyperlink">
    <w:name w:val="Hyperlink"/>
    <w:uiPriority w:val="99"/>
    <w:rsid w:val="00A43B15"/>
    <w:rPr>
      <w:color w:val="0000FF"/>
      <w:u w:val="single"/>
      <w:lang w:val="en-GB"/>
    </w:rPr>
  </w:style>
  <w:style w:type="character" w:styleId="FollowedHyperlink">
    <w:name w:val="FollowedHyperlink"/>
    <w:semiHidden/>
    <w:rsid w:val="00A43B15"/>
    <w:rPr>
      <w:color w:val="FF0000"/>
      <w:u w:val="single"/>
    </w:rPr>
  </w:style>
  <w:style w:type="character" w:styleId="CommentReference">
    <w:name w:val="annotation reference"/>
    <w:semiHidden/>
    <w:rsid w:val="00A43B15"/>
    <w:rPr>
      <w:sz w:val="16"/>
      <w:szCs w:val="16"/>
    </w:rPr>
  </w:style>
  <w:style w:type="paragraph" w:styleId="CommentText">
    <w:name w:val="annotation text"/>
    <w:basedOn w:val="Normal"/>
    <w:semiHidden/>
    <w:rsid w:val="00A43B15"/>
  </w:style>
  <w:style w:type="paragraph" w:styleId="CommentSubject">
    <w:name w:val="annotation subject"/>
    <w:basedOn w:val="CommentText"/>
    <w:next w:val="CommentText"/>
    <w:semiHidden/>
    <w:rsid w:val="00A43B15"/>
    <w:rPr>
      <w:b/>
      <w:bCs/>
    </w:rPr>
  </w:style>
  <w:style w:type="character" w:customStyle="1" w:styleId="Heading1Char">
    <w:name w:val="Heading 1 Char"/>
    <w:link w:val="Heading1"/>
    <w:rsid w:val="00A43B15"/>
    <w:rPr>
      <w:rFonts w:ascii="Arial" w:hAnsi="Arial" w:cs="Arial"/>
      <w:sz w:val="32"/>
      <w:szCs w:val="36"/>
      <w:lang w:val="en-GB" w:eastAsia="zh-CN"/>
    </w:rPr>
  </w:style>
  <w:style w:type="paragraph" w:customStyle="1" w:styleId="B1">
    <w:name w:val="B1"/>
    <w:basedOn w:val="List"/>
    <w:rsid w:val="00A43B15"/>
    <w:pPr>
      <w:spacing w:after="180"/>
      <w:jc w:val="left"/>
    </w:pPr>
    <w:rPr>
      <w:lang w:eastAsia="en-US"/>
    </w:rPr>
  </w:style>
  <w:style w:type="paragraph" w:customStyle="1" w:styleId="B2">
    <w:name w:val="B2"/>
    <w:basedOn w:val="List2"/>
    <w:rsid w:val="00A43B15"/>
    <w:pPr>
      <w:spacing w:after="180"/>
      <w:jc w:val="left"/>
    </w:pPr>
    <w:rPr>
      <w:lang w:eastAsia="en-US"/>
    </w:rPr>
  </w:style>
  <w:style w:type="paragraph" w:customStyle="1" w:styleId="B3">
    <w:name w:val="B3"/>
    <w:basedOn w:val="List3"/>
    <w:rsid w:val="00A43B15"/>
    <w:pPr>
      <w:spacing w:after="180"/>
      <w:jc w:val="left"/>
    </w:pPr>
    <w:rPr>
      <w:lang w:eastAsia="en-US"/>
    </w:rPr>
  </w:style>
  <w:style w:type="paragraph" w:customStyle="1" w:styleId="B4">
    <w:name w:val="B4"/>
    <w:basedOn w:val="List4"/>
    <w:rsid w:val="00A43B15"/>
    <w:pPr>
      <w:spacing w:after="180"/>
      <w:jc w:val="left"/>
    </w:pPr>
    <w:rPr>
      <w:lang w:eastAsia="en-US"/>
    </w:rPr>
  </w:style>
  <w:style w:type="paragraph" w:customStyle="1" w:styleId="Proposal">
    <w:name w:val="Proposal"/>
    <w:basedOn w:val="Normal"/>
    <w:qFormat/>
    <w:rsid w:val="00A43B15"/>
    <w:pPr>
      <w:numPr>
        <w:numId w:val="3"/>
      </w:numPr>
      <w:tabs>
        <w:tab w:val="clear" w:pos="1304"/>
        <w:tab w:val="left" w:pos="1701"/>
      </w:tabs>
      <w:ind w:left="1701" w:hanging="1701"/>
    </w:pPr>
    <w:rPr>
      <w:b/>
      <w:bCs/>
    </w:rPr>
  </w:style>
  <w:style w:type="character" w:customStyle="1" w:styleId="BodyTextChar">
    <w:name w:val="Body Text Char"/>
    <w:link w:val="BodyText"/>
    <w:rsid w:val="00A43B15"/>
    <w:rPr>
      <w:rFonts w:ascii="Times New Roman" w:hAnsi="Times New Roman"/>
      <w:lang w:val="en-GB" w:eastAsia="zh-CN"/>
    </w:rPr>
  </w:style>
  <w:style w:type="paragraph" w:customStyle="1" w:styleId="B5">
    <w:name w:val="B5"/>
    <w:basedOn w:val="List5"/>
    <w:rsid w:val="00A43B15"/>
    <w:pPr>
      <w:spacing w:after="180"/>
      <w:jc w:val="left"/>
    </w:pPr>
    <w:rPr>
      <w:lang w:eastAsia="en-US"/>
    </w:rPr>
  </w:style>
  <w:style w:type="paragraph" w:customStyle="1" w:styleId="EX">
    <w:name w:val="EX"/>
    <w:basedOn w:val="Normal"/>
    <w:rsid w:val="00A43B15"/>
    <w:pPr>
      <w:keepLines/>
      <w:spacing w:after="180"/>
      <w:ind w:left="1702" w:hanging="1418"/>
      <w:jc w:val="left"/>
    </w:pPr>
    <w:rPr>
      <w:lang w:eastAsia="en-US"/>
    </w:rPr>
  </w:style>
  <w:style w:type="paragraph" w:customStyle="1" w:styleId="EW">
    <w:name w:val="EW"/>
    <w:basedOn w:val="EX"/>
    <w:rsid w:val="00A43B15"/>
    <w:pPr>
      <w:spacing w:after="0"/>
    </w:pPr>
  </w:style>
  <w:style w:type="paragraph" w:customStyle="1" w:styleId="TAL">
    <w:name w:val="TAL"/>
    <w:basedOn w:val="Normal"/>
    <w:rsid w:val="00A43B15"/>
    <w:pPr>
      <w:keepNext/>
      <w:keepLines/>
      <w:spacing w:after="0"/>
      <w:jc w:val="left"/>
    </w:pPr>
    <w:rPr>
      <w:sz w:val="18"/>
      <w:lang w:eastAsia="en-US"/>
    </w:rPr>
  </w:style>
  <w:style w:type="paragraph" w:customStyle="1" w:styleId="TAC">
    <w:name w:val="TAC"/>
    <w:basedOn w:val="TAL"/>
    <w:rsid w:val="00A43B15"/>
    <w:pPr>
      <w:jc w:val="center"/>
    </w:pPr>
  </w:style>
  <w:style w:type="paragraph" w:customStyle="1" w:styleId="TAH">
    <w:name w:val="TAH"/>
    <w:basedOn w:val="TAC"/>
    <w:rsid w:val="00A43B15"/>
    <w:rPr>
      <w:b/>
    </w:rPr>
  </w:style>
  <w:style w:type="paragraph" w:customStyle="1" w:styleId="TAN">
    <w:name w:val="TAN"/>
    <w:basedOn w:val="TAL"/>
    <w:rsid w:val="00A43B15"/>
    <w:pPr>
      <w:ind w:left="851" w:hanging="851"/>
    </w:pPr>
  </w:style>
  <w:style w:type="paragraph" w:customStyle="1" w:styleId="TAR">
    <w:name w:val="TAR"/>
    <w:basedOn w:val="TAL"/>
    <w:rsid w:val="00A43B15"/>
    <w:pPr>
      <w:jc w:val="right"/>
    </w:pPr>
  </w:style>
  <w:style w:type="paragraph" w:customStyle="1" w:styleId="TH">
    <w:name w:val="TH"/>
    <w:basedOn w:val="Normal"/>
    <w:rsid w:val="00A43B15"/>
    <w:pPr>
      <w:keepNext/>
      <w:keepLines/>
      <w:spacing w:before="60" w:after="180"/>
      <w:jc w:val="center"/>
    </w:pPr>
    <w:rPr>
      <w:b/>
      <w:lang w:eastAsia="en-US"/>
    </w:rPr>
  </w:style>
  <w:style w:type="paragraph" w:customStyle="1" w:styleId="TF">
    <w:name w:val="TF"/>
    <w:basedOn w:val="TH"/>
    <w:rsid w:val="00A43B15"/>
    <w:pPr>
      <w:keepNext w:val="0"/>
      <w:spacing w:before="0" w:after="240"/>
    </w:pPr>
  </w:style>
  <w:style w:type="paragraph" w:customStyle="1" w:styleId="TT">
    <w:name w:val="TT"/>
    <w:basedOn w:val="Heading1"/>
    <w:next w:val="Normal"/>
    <w:rsid w:val="00A43B15"/>
    <w:pPr>
      <w:numPr>
        <w:numId w:val="0"/>
      </w:numPr>
      <w:ind w:left="1134" w:hanging="1134"/>
      <w:outlineLvl w:val="9"/>
    </w:pPr>
    <w:rPr>
      <w:rFonts w:cs="Times New Roman"/>
      <w:szCs w:val="20"/>
      <w:lang w:eastAsia="en-US"/>
    </w:rPr>
  </w:style>
  <w:style w:type="paragraph" w:customStyle="1" w:styleId="ZA">
    <w:name w:val="ZA"/>
    <w:rsid w:val="00A43B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43B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43B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43B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43B15"/>
  </w:style>
  <w:style w:type="paragraph" w:customStyle="1" w:styleId="ZH">
    <w:name w:val="ZH"/>
    <w:rsid w:val="00A43B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43B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43B15"/>
    <w:pPr>
      <w:framePr w:hRule="auto" w:wrap="notBeside" w:y="852"/>
    </w:pPr>
    <w:rPr>
      <w:i w:val="0"/>
      <w:sz w:val="40"/>
    </w:rPr>
  </w:style>
  <w:style w:type="paragraph" w:customStyle="1" w:styleId="ZU">
    <w:name w:val="ZU"/>
    <w:rsid w:val="00A43B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43B15"/>
    <w:pPr>
      <w:framePr w:wrap="notBeside" w:y="16161"/>
    </w:pPr>
  </w:style>
  <w:style w:type="paragraph" w:customStyle="1" w:styleId="FP">
    <w:name w:val="FP"/>
    <w:basedOn w:val="Normal"/>
    <w:rsid w:val="00A43B15"/>
    <w:pPr>
      <w:spacing w:after="0"/>
      <w:jc w:val="left"/>
    </w:pPr>
    <w:rPr>
      <w:lang w:eastAsia="en-US"/>
    </w:rPr>
  </w:style>
  <w:style w:type="paragraph" w:customStyle="1" w:styleId="Observation">
    <w:name w:val="Observation"/>
    <w:basedOn w:val="Proposal"/>
    <w:qFormat/>
    <w:rsid w:val="00A43B15"/>
    <w:pPr>
      <w:numPr>
        <w:numId w:val="13"/>
      </w:numPr>
      <w:ind w:left="1701" w:hanging="1701"/>
    </w:pPr>
  </w:style>
  <w:style w:type="paragraph" w:styleId="TableofFigures">
    <w:name w:val="table of figures"/>
    <w:basedOn w:val="Normal"/>
    <w:next w:val="Normal"/>
    <w:uiPriority w:val="99"/>
    <w:rsid w:val="00A43B15"/>
    <w:pPr>
      <w:ind w:left="1418" w:hanging="1418"/>
      <w:jc w:val="left"/>
    </w:pPr>
    <w:rPr>
      <w:b/>
    </w:rPr>
  </w:style>
  <w:style w:type="paragraph" w:styleId="Index4">
    <w:name w:val="index 4"/>
    <w:basedOn w:val="Normal"/>
    <w:next w:val="Normal"/>
    <w:autoRedefine/>
    <w:rsid w:val="00A43B15"/>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7289624">
      <w:bodyDiv w:val="1"/>
      <w:marLeft w:val="0"/>
      <w:marRight w:val="0"/>
      <w:marTop w:val="0"/>
      <w:marBottom w:val="0"/>
      <w:divBdr>
        <w:top w:val="none" w:sz="0" w:space="0" w:color="auto"/>
        <w:left w:val="none" w:sz="0" w:space="0" w:color="auto"/>
        <w:bottom w:val="none" w:sz="0" w:space="0" w:color="auto"/>
        <w:right w:val="none" w:sz="0" w:space="0" w:color="auto"/>
      </w:divBdr>
      <w:divsChild>
        <w:div w:id="1723945597">
          <w:marLeft w:val="274"/>
          <w:marRight w:val="0"/>
          <w:marTop w:val="67"/>
          <w:marBottom w:val="0"/>
          <w:divBdr>
            <w:top w:val="none" w:sz="0" w:space="0" w:color="auto"/>
            <w:left w:val="none" w:sz="0" w:space="0" w:color="auto"/>
            <w:bottom w:val="none" w:sz="0" w:space="0" w:color="auto"/>
            <w:right w:val="none" w:sz="0" w:space="0" w:color="auto"/>
          </w:divBdr>
        </w:div>
        <w:div w:id="1982685154">
          <w:marLeft w:val="835"/>
          <w:marRight w:val="0"/>
          <w:marTop w:val="58"/>
          <w:marBottom w:val="0"/>
          <w:divBdr>
            <w:top w:val="none" w:sz="0" w:space="0" w:color="auto"/>
            <w:left w:val="none" w:sz="0" w:space="0" w:color="auto"/>
            <w:bottom w:val="none" w:sz="0" w:space="0" w:color="auto"/>
            <w:right w:val="none" w:sz="0" w:space="0" w:color="auto"/>
          </w:divBdr>
        </w:div>
        <w:div w:id="1529100661">
          <w:marLeft w:val="835"/>
          <w:marRight w:val="0"/>
          <w:marTop w:val="58"/>
          <w:marBottom w:val="0"/>
          <w:divBdr>
            <w:top w:val="none" w:sz="0" w:space="0" w:color="auto"/>
            <w:left w:val="none" w:sz="0" w:space="0" w:color="auto"/>
            <w:bottom w:val="none" w:sz="0" w:space="0" w:color="auto"/>
            <w:right w:val="none" w:sz="0" w:space="0" w:color="auto"/>
          </w:divBdr>
        </w:div>
        <w:div w:id="182476216">
          <w:marLeft w:val="835"/>
          <w:marRight w:val="0"/>
          <w:marTop w:val="58"/>
          <w:marBottom w:val="0"/>
          <w:divBdr>
            <w:top w:val="none" w:sz="0" w:space="0" w:color="auto"/>
            <w:left w:val="none" w:sz="0" w:space="0" w:color="auto"/>
            <w:bottom w:val="none" w:sz="0" w:space="0" w:color="auto"/>
            <w:right w:val="none" w:sz="0" w:space="0" w:color="auto"/>
          </w:divBdr>
        </w:div>
        <w:div w:id="1677416729">
          <w:marLeft w:val="274"/>
          <w:marRight w:val="0"/>
          <w:marTop w:val="67"/>
          <w:marBottom w:val="0"/>
          <w:divBdr>
            <w:top w:val="none" w:sz="0" w:space="0" w:color="auto"/>
            <w:left w:val="none" w:sz="0" w:space="0" w:color="auto"/>
            <w:bottom w:val="none" w:sz="0" w:space="0" w:color="auto"/>
            <w:right w:val="none" w:sz="0" w:space="0" w:color="auto"/>
          </w:divBdr>
        </w:div>
        <w:div w:id="1892305338">
          <w:marLeft w:val="835"/>
          <w:marRight w:val="0"/>
          <w:marTop w:val="58"/>
          <w:marBottom w:val="0"/>
          <w:divBdr>
            <w:top w:val="none" w:sz="0" w:space="0" w:color="auto"/>
            <w:left w:val="none" w:sz="0" w:space="0" w:color="auto"/>
            <w:bottom w:val="none" w:sz="0" w:space="0" w:color="auto"/>
            <w:right w:val="none" w:sz="0" w:space="0" w:color="auto"/>
          </w:divBdr>
        </w:div>
        <w:div w:id="1783839167">
          <w:marLeft w:val="835"/>
          <w:marRight w:val="0"/>
          <w:marTop w:val="58"/>
          <w:marBottom w:val="0"/>
          <w:divBdr>
            <w:top w:val="none" w:sz="0" w:space="0" w:color="auto"/>
            <w:left w:val="none" w:sz="0" w:space="0" w:color="auto"/>
            <w:bottom w:val="none" w:sz="0" w:space="0" w:color="auto"/>
            <w:right w:val="none" w:sz="0" w:space="0" w:color="auto"/>
          </w:divBdr>
        </w:div>
        <w:div w:id="1530138932">
          <w:marLeft w:val="835"/>
          <w:marRight w:val="0"/>
          <w:marTop w:val="58"/>
          <w:marBottom w:val="0"/>
          <w:divBdr>
            <w:top w:val="none" w:sz="0" w:space="0" w:color="auto"/>
            <w:left w:val="none" w:sz="0" w:space="0" w:color="auto"/>
            <w:bottom w:val="none" w:sz="0" w:space="0" w:color="auto"/>
            <w:right w:val="none" w:sz="0" w:space="0" w:color="auto"/>
          </w:divBdr>
        </w:div>
        <w:div w:id="63188903">
          <w:marLeft w:val="835"/>
          <w:marRight w:val="0"/>
          <w:marTop w:val="58"/>
          <w:marBottom w:val="0"/>
          <w:divBdr>
            <w:top w:val="none" w:sz="0" w:space="0" w:color="auto"/>
            <w:left w:val="none" w:sz="0" w:space="0" w:color="auto"/>
            <w:bottom w:val="none" w:sz="0" w:space="0" w:color="auto"/>
            <w:right w:val="none" w:sz="0" w:space="0" w:color="auto"/>
          </w:divBdr>
        </w:div>
        <w:div w:id="1187139432">
          <w:marLeft w:val="274"/>
          <w:marRight w:val="0"/>
          <w:marTop w:val="67"/>
          <w:marBottom w:val="0"/>
          <w:divBdr>
            <w:top w:val="none" w:sz="0" w:space="0" w:color="auto"/>
            <w:left w:val="none" w:sz="0" w:space="0" w:color="auto"/>
            <w:bottom w:val="none" w:sz="0" w:space="0" w:color="auto"/>
            <w:right w:val="none" w:sz="0" w:space="0" w:color="auto"/>
          </w:divBdr>
        </w:div>
        <w:div w:id="513303822">
          <w:marLeft w:val="835"/>
          <w:marRight w:val="0"/>
          <w:marTop w:val="58"/>
          <w:marBottom w:val="0"/>
          <w:divBdr>
            <w:top w:val="none" w:sz="0" w:space="0" w:color="auto"/>
            <w:left w:val="none" w:sz="0" w:space="0" w:color="auto"/>
            <w:bottom w:val="none" w:sz="0" w:space="0" w:color="auto"/>
            <w:right w:val="none" w:sz="0" w:space="0" w:color="auto"/>
          </w:divBdr>
        </w:div>
        <w:div w:id="1684745752">
          <w:marLeft w:val="835"/>
          <w:marRight w:val="0"/>
          <w:marTop w:val="58"/>
          <w:marBottom w:val="0"/>
          <w:divBdr>
            <w:top w:val="none" w:sz="0" w:space="0" w:color="auto"/>
            <w:left w:val="none" w:sz="0" w:space="0" w:color="auto"/>
            <w:bottom w:val="none" w:sz="0" w:space="0" w:color="auto"/>
            <w:right w:val="none" w:sz="0" w:space="0" w:color="auto"/>
          </w:divBdr>
        </w:div>
        <w:div w:id="917322814">
          <w:marLeft w:val="835"/>
          <w:marRight w:val="0"/>
          <w:marTop w:val="58"/>
          <w:marBottom w:val="0"/>
          <w:divBdr>
            <w:top w:val="none" w:sz="0" w:space="0" w:color="auto"/>
            <w:left w:val="none" w:sz="0" w:space="0" w:color="auto"/>
            <w:bottom w:val="none" w:sz="0" w:space="0" w:color="auto"/>
            <w:right w:val="none" w:sz="0" w:space="0" w:color="auto"/>
          </w:divBdr>
        </w:div>
        <w:div w:id="97723163">
          <w:marLeft w:val="835"/>
          <w:marRight w:val="0"/>
          <w:marTop w:val="58"/>
          <w:marBottom w:val="0"/>
          <w:divBdr>
            <w:top w:val="none" w:sz="0" w:space="0" w:color="auto"/>
            <w:left w:val="none" w:sz="0" w:space="0" w:color="auto"/>
            <w:bottom w:val="none" w:sz="0" w:space="0" w:color="auto"/>
            <w:right w:val="none" w:sz="0" w:space="0" w:color="auto"/>
          </w:divBdr>
        </w:div>
        <w:div w:id="1523934509">
          <w:marLeft w:val="835"/>
          <w:marRight w:val="0"/>
          <w:marTop w:val="58"/>
          <w:marBottom w:val="0"/>
          <w:divBdr>
            <w:top w:val="none" w:sz="0" w:space="0" w:color="auto"/>
            <w:left w:val="none" w:sz="0" w:space="0" w:color="auto"/>
            <w:bottom w:val="none" w:sz="0" w:space="0" w:color="auto"/>
            <w:right w:val="none" w:sz="0" w:space="0" w:color="auto"/>
          </w:divBdr>
        </w:div>
        <w:div w:id="1552306640">
          <w:marLeft w:val="835"/>
          <w:marRight w:val="0"/>
          <w:marTop w:val="58"/>
          <w:marBottom w:val="0"/>
          <w:divBdr>
            <w:top w:val="none" w:sz="0" w:space="0" w:color="auto"/>
            <w:left w:val="none" w:sz="0" w:space="0" w:color="auto"/>
            <w:bottom w:val="none" w:sz="0" w:space="0" w:color="auto"/>
            <w:right w:val="none" w:sz="0" w:space="0" w:color="auto"/>
          </w:divBdr>
        </w:div>
        <w:div w:id="530921768">
          <w:marLeft w:val="835"/>
          <w:marRight w:val="0"/>
          <w:marTop w:val="58"/>
          <w:marBottom w:val="0"/>
          <w:divBdr>
            <w:top w:val="none" w:sz="0" w:space="0" w:color="auto"/>
            <w:left w:val="none" w:sz="0" w:space="0" w:color="auto"/>
            <w:bottom w:val="none" w:sz="0" w:space="0" w:color="auto"/>
            <w:right w:val="none" w:sz="0" w:space="0" w:color="auto"/>
          </w:divBdr>
        </w:div>
        <w:div w:id="1484010234">
          <w:marLeft w:val="835"/>
          <w:marRight w:val="0"/>
          <w:marTop w:val="58"/>
          <w:marBottom w:val="0"/>
          <w:divBdr>
            <w:top w:val="none" w:sz="0" w:space="0" w:color="auto"/>
            <w:left w:val="none" w:sz="0" w:space="0" w:color="auto"/>
            <w:bottom w:val="none" w:sz="0" w:space="0" w:color="auto"/>
            <w:right w:val="none" w:sz="0" w:space="0" w:color="auto"/>
          </w:divBdr>
        </w:div>
      </w:divsChild>
    </w:div>
    <w:div w:id="1797485870">
      <w:bodyDiv w:val="1"/>
      <w:marLeft w:val="0"/>
      <w:marRight w:val="0"/>
      <w:marTop w:val="0"/>
      <w:marBottom w:val="0"/>
      <w:divBdr>
        <w:top w:val="none" w:sz="0" w:space="0" w:color="auto"/>
        <w:left w:val="none" w:sz="0" w:space="0" w:color="auto"/>
        <w:bottom w:val="none" w:sz="0" w:space="0" w:color="auto"/>
        <w:right w:val="none" w:sz="0" w:space="0" w:color="auto"/>
      </w:divBdr>
      <w:divsChild>
        <w:div w:id="1209999963">
          <w:marLeft w:val="274"/>
          <w:marRight w:val="0"/>
          <w:marTop w:val="67"/>
          <w:marBottom w:val="0"/>
          <w:divBdr>
            <w:top w:val="none" w:sz="0" w:space="0" w:color="auto"/>
            <w:left w:val="none" w:sz="0" w:space="0" w:color="auto"/>
            <w:bottom w:val="none" w:sz="0" w:space="0" w:color="auto"/>
            <w:right w:val="none" w:sz="0" w:space="0" w:color="auto"/>
          </w:divBdr>
        </w:div>
        <w:div w:id="638343501">
          <w:marLeft w:val="835"/>
          <w:marRight w:val="0"/>
          <w:marTop w:val="58"/>
          <w:marBottom w:val="0"/>
          <w:divBdr>
            <w:top w:val="none" w:sz="0" w:space="0" w:color="auto"/>
            <w:left w:val="none" w:sz="0" w:space="0" w:color="auto"/>
            <w:bottom w:val="none" w:sz="0" w:space="0" w:color="auto"/>
            <w:right w:val="none" w:sz="0" w:space="0" w:color="auto"/>
          </w:divBdr>
        </w:div>
        <w:div w:id="2101176994">
          <w:marLeft w:val="835"/>
          <w:marRight w:val="0"/>
          <w:marTop w:val="58"/>
          <w:marBottom w:val="0"/>
          <w:divBdr>
            <w:top w:val="none" w:sz="0" w:space="0" w:color="auto"/>
            <w:left w:val="none" w:sz="0" w:space="0" w:color="auto"/>
            <w:bottom w:val="none" w:sz="0" w:space="0" w:color="auto"/>
            <w:right w:val="none" w:sz="0" w:space="0" w:color="auto"/>
          </w:divBdr>
        </w:div>
        <w:div w:id="2006127737">
          <w:marLeft w:val="835"/>
          <w:marRight w:val="0"/>
          <w:marTop w:val="58"/>
          <w:marBottom w:val="0"/>
          <w:divBdr>
            <w:top w:val="none" w:sz="0" w:space="0" w:color="auto"/>
            <w:left w:val="none" w:sz="0" w:space="0" w:color="auto"/>
            <w:bottom w:val="none" w:sz="0" w:space="0" w:color="auto"/>
            <w:right w:val="none" w:sz="0" w:space="0" w:color="auto"/>
          </w:divBdr>
        </w:div>
        <w:div w:id="1066536498">
          <w:marLeft w:val="274"/>
          <w:marRight w:val="0"/>
          <w:marTop w:val="67"/>
          <w:marBottom w:val="0"/>
          <w:divBdr>
            <w:top w:val="none" w:sz="0" w:space="0" w:color="auto"/>
            <w:left w:val="none" w:sz="0" w:space="0" w:color="auto"/>
            <w:bottom w:val="none" w:sz="0" w:space="0" w:color="auto"/>
            <w:right w:val="none" w:sz="0" w:space="0" w:color="auto"/>
          </w:divBdr>
        </w:div>
        <w:div w:id="1060247233">
          <w:marLeft w:val="835"/>
          <w:marRight w:val="0"/>
          <w:marTop w:val="58"/>
          <w:marBottom w:val="0"/>
          <w:divBdr>
            <w:top w:val="none" w:sz="0" w:space="0" w:color="auto"/>
            <w:left w:val="none" w:sz="0" w:space="0" w:color="auto"/>
            <w:bottom w:val="none" w:sz="0" w:space="0" w:color="auto"/>
            <w:right w:val="none" w:sz="0" w:space="0" w:color="auto"/>
          </w:divBdr>
        </w:div>
        <w:div w:id="574241562">
          <w:marLeft w:val="835"/>
          <w:marRight w:val="0"/>
          <w:marTop w:val="58"/>
          <w:marBottom w:val="0"/>
          <w:divBdr>
            <w:top w:val="none" w:sz="0" w:space="0" w:color="auto"/>
            <w:left w:val="none" w:sz="0" w:space="0" w:color="auto"/>
            <w:bottom w:val="none" w:sz="0" w:space="0" w:color="auto"/>
            <w:right w:val="none" w:sz="0" w:space="0" w:color="auto"/>
          </w:divBdr>
        </w:div>
        <w:div w:id="1007290453">
          <w:marLeft w:val="835"/>
          <w:marRight w:val="0"/>
          <w:marTop w:val="58"/>
          <w:marBottom w:val="0"/>
          <w:divBdr>
            <w:top w:val="none" w:sz="0" w:space="0" w:color="auto"/>
            <w:left w:val="none" w:sz="0" w:space="0" w:color="auto"/>
            <w:bottom w:val="none" w:sz="0" w:space="0" w:color="auto"/>
            <w:right w:val="none" w:sz="0" w:space="0" w:color="auto"/>
          </w:divBdr>
        </w:div>
        <w:div w:id="315649056">
          <w:marLeft w:val="835"/>
          <w:marRight w:val="0"/>
          <w:marTop w:val="58"/>
          <w:marBottom w:val="0"/>
          <w:divBdr>
            <w:top w:val="none" w:sz="0" w:space="0" w:color="auto"/>
            <w:left w:val="none" w:sz="0" w:space="0" w:color="auto"/>
            <w:bottom w:val="none" w:sz="0" w:space="0" w:color="auto"/>
            <w:right w:val="none" w:sz="0" w:space="0" w:color="auto"/>
          </w:divBdr>
        </w:div>
        <w:div w:id="1912302242">
          <w:marLeft w:val="274"/>
          <w:marRight w:val="0"/>
          <w:marTop w:val="67"/>
          <w:marBottom w:val="0"/>
          <w:divBdr>
            <w:top w:val="none" w:sz="0" w:space="0" w:color="auto"/>
            <w:left w:val="none" w:sz="0" w:space="0" w:color="auto"/>
            <w:bottom w:val="none" w:sz="0" w:space="0" w:color="auto"/>
            <w:right w:val="none" w:sz="0" w:space="0" w:color="auto"/>
          </w:divBdr>
        </w:div>
        <w:div w:id="327755595">
          <w:marLeft w:val="835"/>
          <w:marRight w:val="0"/>
          <w:marTop w:val="58"/>
          <w:marBottom w:val="0"/>
          <w:divBdr>
            <w:top w:val="none" w:sz="0" w:space="0" w:color="auto"/>
            <w:left w:val="none" w:sz="0" w:space="0" w:color="auto"/>
            <w:bottom w:val="none" w:sz="0" w:space="0" w:color="auto"/>
            <w:right w:val="none" w:sz="0" w:space="0" w:color="auto"/>
          </w:divBdr>
        </w:div>
        <w:div w:id="1629701225">
          <w:marLeft w:val="835"/>
          <w:marRight w:val="0"/>
          <w:marTop w:val="58"/>
          <w:marBottom w:val="0"/>
          <w:divBdr>
            <w:top w:val="none" w:sz="0" w:space="0" w:color="auto"/>
            <w:left w:val="none" w:sz="0" w:space="0" w:color="auto"/>
            <w:bottom w:val="none" w:sz="0" w:space="0" w:color="auto"/>
            <w:right w:val="none" w:sz="0" w:space="0" w:color="auto"/>
          </w:divBdr>
        </w:div>
        <w:div w:id="1001197468">
          <w:marLeft w:val="835"/>
          <w:marRight w:val="0"/>
          <w:marTop w:val="58"/>
          <w:marBottom w:val="0"/>
          <w:divBdr>
            <w:top w:val="none" w:sz="0" w:space="0" w:color="auto"/>
            <w:left w:val="none" w:sz="0" w:space="0" w:color="auto"/>
            <w:bottom w:val="none" w:sz="0" w:space="0" w:color="auto"/>
            <w:right w:val="none" w:sz="0" w:space="0" w:color="auto"/>
          </w:divBdr>
        </w:div>
        <w:div w:id="600380927">
          <w:marLeft w:val="835"/>
          <w:marRight w:val="0"/>
          <w:marTop w:val="58"/>
          <w:marBottom w:val="0"/>
          <w:divBdr>
            <w:top w:val="none" w:sz="0" w:space="0" w:color="auto"/>
            <w:left w:val="none" w:sz="0" w:space="0" w:color="auto"/>
            <w:bottom w:val="none" w:sz="0" w:space="0" w:color="auto"/>
            <w:right w:val="none" w:sz="0" w:space="0" w:color="auto"/>
          </w:divBdr>
        </w:div>
        <w:div w:id="380639726">
          <w:marLeft w:val="835"/>
          <w:marRight w:val="0"/>
          <w:marTop w:val="58"/>
          <w:marBottom w:val="0"/>
          <w:divBdr>
            <w:top w:val="none" w:sz="0" w:space="0" w:color="auto"/>
            <w:left w:val="none" w:sz="0" w:space="0" w:color="auto"/>
            <w:bottom w:val="none" w:sz="0" w:space="0" w:color="auto"/>
            <w:right w:val="none" w:sz="0" w:space="0" w:color="auto"/>
          </w:divBdr>
        </w:div>
        <w:div w:id="1201239260">
          <w:marLeft w:val="835"/>
          <w:marRight w:val="0"/>
          <w:marTop w:val="58"/>
          <w:marBottom w:val="0"/>
          <w:divBdr>
            <w:top w:val="none" w:sz="0" w:space="0" w:color="auto"/>
            <w:left w:val="none" w:sz="0" w:space="0" w:color="auto"/>
            <w:bottom w:val="none" w:sz="0" w:space="0" w:color="auto"/>
            <w:right w:val="none" w:sz="0" w:space="0" w:color="auto"/>
          </w:divBdr>
        </w:div>
        <w:div w:id="1795518996">
          <w:marLeft w:val="274"/>
          <w:marRight w:val="0"/>
          <w:marTop w:val="67"/>
          <w:marBottom w:val="0"/>
          <w:divBdr>
            <w:top w:val="none" w:sz="0" w:space="0" w:color="auto"/>
            <w:left w:val="none" w:sz="0" w:space="0" w:color="auto"/>
            <w:bottom w:val="none" w:sz="0" w:space="0" w:color="auto"/>
            <w:right w:val="none" w:sz="0" w:space="0" w:color="auto"/>
          </w:divBdr>
        </w:div>
        <w:div w:id="1965426559">
          <w:marLeft w:val="835"/>
          <w:marRight w:val="0"/>
          <w:marTop w:val="58"/>
          <w:marBottom w:val="0"/>
          <w:divBdr>
            <w:top w:val="none" w:sz="0" w:space="0" w:color="auto"/>
            <w:left w:val="none" w:sz="0" w:space="0" w:color="auto"/>
            <w:bottom w:val="none" w:sz="0" w:space="0" w:color="auto"/>
            <w:right w:val="none" w:sz="0" w:space="0" w:color="auto"/>
          </w:divBdr>
        </w:div>
        <w:div w:id="1095401366">
          <w:marLeft w:val="835"/>
          <w:marRight w:val="0"/>
          <w:marTop w:val="58"/>
          <w:marBottom w:val="0"/>
          <w:divBdr>
            <w:top w:val="none" w:sz="0" w:space="0" w:color="auto"/>
            <w:left w:val="none" w:sz="0" w:space="0" w:color="auto"/>
            <w:bottom w:val="none" w:sz="0" w:space="0" w:color="auto"/>
            <w:right w:val="none" w:sz="0" w:space="0" w:color="auto"/>
          </w:divBdr>
        </w:div>
        <w:div w:id="2124108766">
          <w:marLeft w:val="835"/>
          <w:marRight w:val="0"/>
          <w:marTop w:val="58"/>
          <w:marBottom w:val="0"/>
          <w:divBdr>
            <w:top w:val="none" w:sz="0" w:space="0" w:color="auto"/>
            <w:left w:val="none" w:sz="0" w:space="0" w:color="auto"/>
            <w:bottom w:val="none" w:sz="0" w:space="0" w:color="auto"/>
            <w:right w:val="none" w:sz="0" w:space="0" w:color="auto"/>
          </w:divBdr>
        </w:div>
        <w:div w:id="904416604">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5NUHHDQN7SK2-1-116600</_dlc_DocId>
    <TaxCatchAll xmlns="08b2df90-05d3-4030-90d4-c9feeb4a1cd9">
      <Value>10</Value>
      <Value>9</Value>
      <Value>8</Value>
      <Value>2</Value>
      <Value>1</Value>
    </TaxCatchAll>
    <_dlc_DocIdUrl xmlns="08b2df90-05d3-4030-90d4-c9feeb4a1cd9">
      <Url>https://ericoll.internal.ericsson.com/sites/STAR/_layouts/DocIdRedir.aspx?ID=5NUHHDQN7SK2-1-116600</Url>
      <Description>5NUHHDQN7SK2-1-116600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757378A-0C0E-4D1A-820A-0E8782239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1135</TotalTime>
  <Pages>10</Pages>
  <Words>3640</Words>
  <Characters>19294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Martin Hessler</cp:lastModifiedBy>
  <cp:revision>84</cp:revision>
  <cp:lastPrinted>2008-01-31T15:09:00Z</cp:lastPrinted>
  <dcterms:created xsi:type="dcterms:W3CDTF">2017-05-02T08:17:00Z</dcterms:created>
  <dcterms:modified xsi:type="dcterms:W3CDTF">2017-05-05T12:51:00Z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c9909ab0-067c-4a59-8a70-7d079db58125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