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F8724" w14:textId="17B720E5" w:rsidR="007662EC" w:rsidRPr="007662EC" w:rsidRDefault="007662EC" w:rsidP="007662EC">
      <w:pPr>
        <w:pStyle w:val="3GPPHeader"/>
        <w:rPr>
          <w:highlight w:val="yellow"/>
          <w:lang w:val="sv-SE"/>
        </w:rPr>
      </w:pPr>
      <w:r w:rsidRPr="007662EC">
        <w:rPr>
          <w:lang w:val="sv-SE"/>
        </w:rPr>
        <w:t>3GPP TSG-RAN WG1 #89</w:t>
      </w:r>
      <w:r w:rsidRPr="007662EC">
        <w:rPr>
          <w:lang w:val="sv-SE"/>
        </w:rPr>
        <w:tab/>
      </w:r>
      <w:r w:rsidRPr="00E03BB4">
        <w:rPr>
          <w:lang w:val="sv-SE"/>
        </w:rPr>
        <w:t>R1-170</w:t>
      </w:r>
      <w:r w:rsidR="00E03BB4" w:rsidRPr="00E03BB4">
        <w:rPr>
          <w:lang w:val="sv-SE"/>
        </w:rPr>
        <w:t>8697</w:t>
      </w:r>
    </w:p>
    <w:p w14:paraId="70A02B7E" w14:textId="77777777" w:rsidR="007662EC" w:rsidRPr="007662EC" w:rsidRDefault="007662EC" w:rsidP="007662EC">
      <w:pPr>
        <w:pStyle w:val="Header"/>
        <w:rPr>
          <w:sz w:val="20"/>
        </w:rPr>
      </w:pPr>
      <w:r w:rsidRPr="007662EC">
        <w:rPr>
          <w:sz w:val="20"/>
        </w:rPr>
        <w:t>Hangzhou, China, 15</w:t>
      </w:r>
      <w:r w:rsidRPr="007662EC">
        <w:rPr>
          <w:sz w:val="20"/>
          <w:vertAlign w:val="superscript"/>
        </w:rPr>
        <w:t>th</w:t>
      </w:r>
      <w:r w:rsidRPr="007662EC">
        <w:rPr>
          <w:sz w:val="20"/>
        </w:rPr>
        <w:t>-19th May, 2017</w:t>
      </w:r>
    </w:p>
    <w:p w14:paraId="4BB1828D" w14:textId="77777777" w:rsidR="007662EC" w:rsidRPr="00437B7F" w:rsidRDefault="007662EC" w:rsidP="007662EC">
      <w:pPr>
        <w:pStyle w:val="3GPPHeader"/>
        <w:rPr>
          <w:lang w:val="en-US"/>
        </w:rPr>
      </w:pPr>
    </w:p>
    <w:p w14:paraId="73EA25C6" w14:textId="77777777" w:rsidR="007662EC" w:rsidRPr="00437B7F" w:rsidRDefault="007662EC" w:rsidP="007662EC">
      <w:pPr>
        <w:pStyle w:val="3GPPHeader"/>
        <w:rPr>
          <w:lang w:val="en-US"/>
        </w:rPr>
      </w:pPr>
      <w:r w:rsidRPr="00437B7F">
        <w:rPr>
          <w:lang w:val="en-US"/>
        </w:rPr>
        <w:t>Source:</w:t>
      </w:r>
      <w:r w:rsidRPr="00437B7F">
        <w:rPr>
          <w:lang w:val="en-US"/>
        </w:rPr>
        <w:tab/>
        <w:t>Ericsson</w:t>
      </w:r>
    </w:p>
    <w:p w14:paraId="78B812DD" w14:textId="726447EF" w:rsidR="007662EC" w:rsidRPr="00437B7F" w:rsidRDefault="007662EC" w:rsidP="007662EC">
      <w:pPr>
        <w:pStyle w:val="3GPPHeader"/>
        <w:rPr>
          <w:lang w:val="en-US"/>
        </w:rPr>
      </w:pPr>
      <w:r w:rsidRPr="00437B7F">
        <w:rPr>
          <w:lang w:val="en-US"/>
        </w:rPr>
        <w:t>Title:</w:t>
      </w:r>
      <w:r w:rsidRPr="00437B7F">
        <w:rPr>
          <w:lang w:val="en-US"/>
        </w:rPr>
        <w:tab/>
      </w:r>
      <w:r>
        <w:rPr>
          <w:lang w:val="en-US"/>
        </w:rPr>
        <w:t>On CSI reporting for short PUCCH</w:t>
      </w:r>
    </w:p>
    <w:p w14:paraId="48B8A4E4" w14:textId="77777777" w:rsidR="007662EC" w:rsidRPr="00437B7F" w:rsidRDefault="007662EC" w:rsidP="007662EC">
      <w:pPr>
        <w:pStyle w:val="3GPPHeader"/>
        <w:rPr>
          <w:lang w:val="en-US"/>
        </w:rPr>
      </w:pPr>
      <w:r w:rsidRPr="00437B7F">
        <w:rPr>
          <w:lang w:val="en-US"/>
        </w:rPr>
        <w:t>Agenda Item:</w:t>
      </w:r>
      <w:r w:rsidRPr="00437B7F">
        <w:rPr>
          <w:lang w:val="en-US"/>
        </w:rPr>
        <w:tab/>
      </w:r>
      <w:r>
        <w:rPr>
          <w:lang w:val="en-US"/>
        </w:rPr>
        <w:t>7.1.2.3.6</w:t>
      </w:r>
    </w:p>
    <w:p w14:paraId="6E9A9B5D" w14:textId="77777777" w:rsidR="007662EC" w:rsidRPr="00437B7F" w:rsidRDefault="007662EC" w:rsidP="007662EC">
      <w:pPr>
        <w:pStyle w:val="3GPPHeader"/>
        <w:rPr>
          <w:lang w:val="en-US"/>
        </w:rPr>
      </w:pPr>
      <w:r w:rsidRPr="00437B7F">
        <w:rPr>
          <w:lang w:val="en-US"/>
        </w:rPr>
        <w:t>Document for:</w:t>
      </w:r>
      <w:r w:rsidRPr="00437B7F">
        <w:rPr>
          <w:lang w:val="en-US"/>
        </w:rPr>
        <w:tab/>
        <w:t>Discussion and Decision</w:t>
      </w:r>
    </w:p>
    <w:p w14:paraId="0623FED4" w14:textId="577E5051" w:rsidR="00BF7642" w:rsidRPr="00E9149C" w:rsidRDefault="00BF7642" w:rsidP="00BF7642">
      <w:pPr>
        <w:pStyle w:val="BodyText"/>
      </w:pPr>
    </w:p>
    <w:p w14:paraId="42FFA723" w14:textId="6C300406" w:rsidR="00255D92" w:rsidRDefault="005E7D7B" w:rsidP="00303F00">
      <w:pPr>
        <w:pStyle w:val="Heading1"/>
      </w:pPr>
      <w:r w:rsidRPr="00303F00">
        <w:rPr>
          <w:noProof/>
          <w:lang w:val="en-US" w:eastAsia="sv-SE"/>
        </w:rPr>
        <w:t>On the lightweight, small payload CSI feedback</w:t>
      </w:r>
    </w:p>
    <w:p w14:paraId="3A77C939" w14:textId="77777777" w:rsidR="00255D92" w:rsidRDefault="00255D92" w:rsidP="00303F00">
      <w:r>
        <w:t xml:space="preserve">CSI feedback of Type I and Type II has been agreed where Type I is normal CSI feedback and Type II is Enhanced, giving higher spatial resolution compared to Type I. </w:t>
      </w:r>
    </w:p>
    <w:p w14:paraId="13327F80" w14:textId="3923A5D2" w:rsidR="00255D92" w:rsidRDefault="00255D92" w:rsidP="00303F00">
      <w:r>
        <w:t>Looking at the CSI feedback payload, Type I, which is “</w:t>
      </w:r>
      <w:r w:rsidRPr="00255D92">
        <w:t>Codebook-based PMI feedback with normal spatial resolution</w:t>
      </w:r>
      <w:r>
        <w:t>” is expected to be in the range of 30-100 bits per component carrier while it is expected that Type II, if codebook based, needs a significantly larger feedback payload, likely more than 150 information bits</w:t>
      </w:r>
      <w:bookmarkStart w:id="0" w:name="_GoBack"/>
      <w:bookmarkEnd w:id="0"/>
      <w:r>
        <w:t>.</w:t>
      </w:r>
    </w:p>
    <w:p w14:paraId="05E1926C" w14:textId="77777777" w:rsidR="002C7127" w:rsidRDefault="00255D92" w:rsidP="00303F00">
      <w:r>
        <w:t xml:space="preserve">Both Type I and Type II thus creates a significant feedback overhead and such reports will be triggered either aperiodically or semi-persistently when the scheduler observes there is a </w:t>
      </w:r>
      <w:r w:rsidR="002327A4">
        <w:t xml:space="preserve">significant amount of data to transmit to the UE, which </w:t>
      </w:r>
      <w:r w:rsidR="002C7127">
        <w:t>transmission will extend across</w:t>
      </w:r>
      <w:r w:rsidR="002327A4">
        <w:t xml:space="preserve"> many TTIs. </w:t>
      </w:r>
    </w:p>
    <w:p w14:paraId="1A45ED28" w14:textId="1DCDDCF5" w:rsidR="00E106D8" w:rsidRDefault="002327A4" w:rsidP="00303F00">
      <w:r>
        <w:t xml:space="preserve">For small, rather infrequent packets, which </w:t>
      </w:r>
      <w:r w:rsidR="002C7127">
        <w:t>are</w:t>
      </w:r>
      <w:r>
        <w:t xml:space="preserve"> transmitted and completed in a single slot, there is no reason to trigger a detailed </w:t>
      </w:r>
      <w:r w:rsidR="002C7127">
        <w:t xml:space="preserve">and full Type I/II </w:t>
      </w:r>
      <w:r>
        <w:t>CSI report.</w:t>
      </w:r>
      <w:r w:rsidR="00E106D8">
        <w:t xml:space="preserve"> </w:t>
      </w:r>
      <w:r w:rsidR="00473513">
        <w:t xml:space="preserve">Moreover, for PDCCH link adaptation, it is useful to get a periodic and coarse CSI report from the UE to set the aggregation level correctly. This </w:t>
      </w:r>
      <w:r w:rsidR="002C7127">
        <w:t>coarse</w:t>
      </w:r>
      <w:r w:rsidR="00473513">
        <w:t xml:space="preserve"> CSI report have coarse channel information both spatially and in frequency, and since it is a periodic report, there should be low UE computation complexity.</w:t>
      </w:r>
      <w:r w:rsidR="00A31BEF">
        <w:t xml:space="preserve"> The design target</w:t>
      </w:r>
      <w:r w:rsidR="002C7127">
        <w:t xml:space="preserve"> for the coarse report</w:t>
      </w:r>
      <w:r w:rsidR="00A31BEF">
        <w:t xml:space="preserve"> is not primarily link adaptation for PDSCH, but a “stay alive” message. If more data arrives in the buffer, a detailed aperiodic CSI report can be triggered. </w:t>
      </w:r>
    </w:p>
    <w:p w14:paraId="609FEDEB" w14:textId="52F3D6DF" w:rsidR="00E106D8" w:rsidRDefault="00473513" w:rsidP="00303F00">
      <w:pPr>
        <w:pStyle w:val="Observation"/>
      </w:pPr>
      <w:bookmarkStart w:id="1" w:name="_Toc471374583"/>
      <w:r>
        <w:t>There is a need for a lightweight</w:t>
      </w:r>
      <w:r w:rsidR="002C7127">
        <w:t xml:space="preserve"> (low payload)</w:t>
      </w:r>
      <w:r>
        <w:t xml:space="preserve"> </w:t>
      </w:r>
      <w:r w:rsidR="00E106D8">
        <w:t xml:space="preserve">CSI report, which has coarse spatial and frequency resolution, </w:t>
      </w:r>
      <w:r>
        <w:t xml:space="preserve">used for </w:t>
      </w:r>
      <w:r w:rsidR="002C7127">
        <w:t xml:space="preserve">e.g. </w:t>
      </w:r>
      <w:r>
        <w:t>direct transmission of small PDSCH packets</w:t>
      </w:r>
      <w:r w:rsidRPr="00473513">
        <w:t xml:space="preserve"> </w:t>
      </w:r>
      <w:r>
        <w:t>(low scheduling latency) and for PDCCH link adaptation.</w:t>
      </w:r>
      <w:bookmarkEnd w:id="1"/>
      <w:r>
        <w:t xml:space="preserve"> </w:t>
      </w:r>
    </w:p>
    <w:p w14:paraId="19EB8757" w14:textId="2FA2ACD0" w:rsidR="00AF0D30" w:rsidRDefault="00473513" w:rsidP="00303F00">
      <w:r>
        <w:t>In LTE, such</w:t>
      </w:r>
      <w:r w:rsidR="00A31BEF">
        <w:t xml:space="preserve"> lightweight reports exist to fit into the 11 bit </w:t>
      </w:r>
      <w:r w:rsidR="00AF0D30">
        <w:t xml:space="preserve">LTE </w:t>
      </w:r>
      <w:r w:rsidR="00A31BEF">
        <w:t xml:space="preserve">PUCCH format. </w:t>
      </w:r>
      <w:r w:rsidR="002C7127">
        <w:t>However, t</w:t>
      </w:r>
      <w:r w:rsidR="00A31BEF">
        <w:t xml:space="preserve">he starting point </w:t>
      </w:r>
      <w:r w:rsidR="00AF0D30">
        <w:t xml:space="preserve">for the LTE design </w:t>
      </w:r>
      <w:r w:rsidR="00A31BEF">
        <w:t>has been a Type I report with normal feedback and then this</w:t>
      </w:r>
      <w:r w:rsidR="00AF0D30">
        <w:t xml:space="preserve"> large</w:t>
      </w:r>
      <w:r w:rsidR="00A31BEF">
        <w:t xml:space="preserve"> report has been squeezed down to 11 bits by codebook subsampling and by spreading one report across several periodic transmission instances. This </w:t>
      </w:r>
      <w:r w:rsidR="0026445A">
        <w:t>worked well in the early LTE</w:t>
      </w:r>
      <w:r w:rsidR="002C7127">
        <w:t xml:space="preserve"> releases but with introduction of more MIMO antenna ports and advanced features, this </w:t>
      </w:r>
      <w:r w:rsidR="00A31BEF">
        <w:t xml:space="preserve">has </w:t>
      </w:r>
      <w:r w:rsidR="00565ED1">
        <w:t xml:space="preserve">led to 10 different CSI report types </w:t>
      </w:r>
      <w:r w:rsidR="002C7127">
        <w:t xml:space="preserve">(plus sub-types) for PUCCH, </w:t>
      </w:r>
      <w:r w:rsidR="00565ED1">
        <w:t>very complicated specifications</w:t>
      </w:r>
      <w:r w:rsidR="002C7127">
        <w:t>,</w:t>
      </w:r>
      <w:r w:rsidR="00565ED1">
        <w:t xml:space="preserve"> inter subframe dependencies between RI and PTI</w:t>
      </w:r>
      <w:r w:rsidR="002C7127">
        <w:t xml:space="preserve"> etc</w:t>
      </w:r>
      <w:r w:rsidR="00AF0D30">
        <w:t xml:space="preserve">. </w:t>
      </w:r>
      <w:r w:rsidR="00565ED1">
        <w:t xml:space="preserve"> </w:t>
      </w:r>
      <w:r w:rsidR="00AF0D30">
        <w:t>Spreading out a CSI report over multiple transmission instances</w:t>
      </w:r>
      <w:r w:rsidR="00565ED1">
        <w:t xml:space="preserve"> are prone to error propagation if one of the </w:t>
      </w:r>
      <w:r w:rsidR="00AF0D30">
        <w:t>sub-</w:t>
      </w:r>
      <w:r w:rsidR="00565ED1">
        <w:t>reports are lost</w:t>
      </w:r>
      <w:r w:rsidR="002C7127">
        <w:t xml:space="preserve"> so the LTE design is not very robust</w:t>
      </w:r>
      <w:r w:rsidR="00565ED1">
        <w:t xml:space="preserve">. </w:t>
      </w:r>
    </w:p>
    <w:p w14:paraId="05A58464" w14:textId="77062E94" w:rsidR="00D858B6" w:rsidRDefault="00565ED1" w:rsidP="00303F00">
      <w:r>
        <w:t xml:space="preserve">Moreover, </w:t>
      </w:r>
      <w:r w:rsidR="003200B5">
        <w:t xml:space="preserve">the </w:t>
      </w:r>
      <w:r>
        <w:t xml:space="preserve">codebook subsampling </w:t>
      </w:r>
      <w:r w:rsidR="00AF0D30">
        <w:t>to reduce</w:t>
      </w:r>
      <w:r>
        <w:t xml:space="preserve"> </w:t>
      </w:r>
      <w:r w:rsidR="00AF0D30">
        <w:t xml:space="preserve">CSI </w:t>
      </w:r>
      <w:r>
        <w:t xml:space="preserve">overhead may work </w:t>
      </w:r>
      <w:r w:rsidR="00AF0D30">
        <w:t xml:space="preserve">rather </w:t>
      </w:r>
      <w:r>
        <w:t xml:space="preserve">well for 4 CSI-RS ports </w:t>
      </w:r>
      <w:r w:rsidR="003200B5">
        <w:t xml:space="preserve">as in early LTE releases, </w:t>
      </w:r>
      <w:r>
        <w:t xml:space="preserve">but for a larger number of CSI-RS </w:t>
      </w:r>
      <w:r w:rsidR="003200B5">
        <w:t>ports</w:t>
      </w:r>
      <w:r>
        <w:t xml:space="preserve"> the beams are </w:t>
      </w:r>
      <w:r w:rsidR="003200B5">
        <w:t xml:space="preserve">very </w:t>
      </w:r>
      <w:r>
        <w:t xml:space="preserve">narrow and </w:t>
      </w:r>
      <w:r w:rsidR="003200B5">
        <w:t xml:space="preserve">codebook subsampling that leads to </w:t>
      </w:r>
      <w:r>
        <w:t xml:space="preserve">beam subsampling </w:t>
      </w:r>
      <w:r w:rsidR="003200B5">
        <w:t xml:space="preserve">may </w:t>
      </w:r>
      <w:r>
        <w:t xml:space="preserve">lead to </w:t>
      </w:r>
      <w:r w:rsidR="003200B5">
        <w:t xml:space="preserve">“blind directions” and thus </w:t>
      </w:r>
      <w:r>
        <w:t xml:space="preserve">poor performance. </w:t>
      </w:r>
      <w:r w:rsidR="003200B5">
        <w:t>Additionally, e</w:t>
      </w:r>
      <w:r w:rsidR="00AF0D30">
        <w:t>ven if subsampling is u</w:t>
      </w:r>
      <w:r w:rsidR="003200B5">
        <w:t>s</w:t>
      </w:r>
      <w:r w:rsidR="00AF0D30">
        <w:t>ed, t</w:t>
      </w:r>
      <w:r>
        <w:t>he UE still need to estimate the channel from all the (up to 32 or 64)</w:t>
      </w:r>
      <w:r w:rsidR="003200B5">
        <w:t xml:space="preserve"> CSI-RS ports</w:t>
      </w:r>
      <w:r>
        <w:t xml:space="preserve"> </w:t>
      </w:r>
      <w:r w:rsidR="003200B5">
        <w:t>for the</w:t>
      </w:r>
      <w:r>
        <w:t xml:space="preserve"> </w:t>
      </w:r>
      <w:r w:rsidR="003200B5">
        <w:t xml:space="preserve">lightweight </w:t>
      </w:r>
      <w:r>
        <w:t xml:space="preserve">PUCCH report, which leads </w:t>
      </w:r>
      <w:r w:rsidR="00AF0D30">
        <w:t>to</w:t>
      </w:r>
      <w:r>
        <w:t xml:space="preserve"> unnecessary UE complexity and </w:t>
      </w:r>
      <w:r w:rsidR="00AF0D30">
        <w:t xml:space="preserve">UE </w:t>
      </w:r>
      <w:r>
        <w:t xml:space="preserve">power consumption.  </w:t>
      </w:r>
    </w:p>
    <w:p w14:paraId="3B8AC620" w14:textId="71328542" w:rsidR="00D858B6" w:rsidRDefault="00D858B6" w:rsidP="00303F00">
      <w:r>
        <w:t xml:space="preserve">For a spatially coarse CSI report, </w:t>
      </w:r>
      <w:r w:rsidR="003200B5">
        <w:t xml:space="preserve">it is more natural to use </w:t>
      </w:r>
      <w:r>
        <w:t xml:space="preserve">a CSI-RS with few ports, </w:t>
      </w:r>
      <w:r w:rsidR="003200B5">
        <w:t xml:space="preserve">having </w:t>
      </w:r>
      <w:r>
        <w:t>wider beam</w:t>
      </w:r>
      <w:r w:rsidR="003200B5">
        <w:t>s</w:t>
      </w:r>
      <w:r>
        <w:t xml:space="preserve"> per port instead of using the full [</w:t>
      </w:r>
      <w:r w:rsidR="003200B5">
        <w:t>8-</w:t>
      </w:r>
      <w:r>
        <w:t xml:space="preserve">32] port CSI-RS and </w:t>
      </w:r>
      <w:r w:rsidR="003200B5">
        <w:t xml:space="preserve">using </w:t>
      </w:r>
      <w:r>
        <w:t>codebook subsampling</w:t>
      </w:r>
      <w:r w:rsidR="003200B5">
        <w:t xml:space="preserve"> to reduce payload</w:t>
      </w:r>
      <w:r>
        <w:t xml:space="preserve">. </w:t>
      </w:r>
      <w:r w:rsidR="003200B5">
        <w:t>Using a few ports for the lightweight report, although the gNB supports many ports, transfers</w:t>
      </w:r>
      <w:r>
        <w:t xml:space="preserve"> the task of providing dimension reduction </w:t>
      </w:r>
      <w:r w:rsidR="003200B5">
        <w:t>to</w:t>
      </w:r>
      <w:r w:rsidR="00D744C3">
        <w:t xml:space="preserve"> the gNB implementation, </w:t>
      </w:r>
      <w:r w:rsidR="003200B5">
        <w:t>the</w:t>
      </w:r>
      <w:r>
        <w:t xml:space="preserve"> computational burden </w:t>
      </w:r>
      <w:r w:rsidR="003200B5">
        <w:t>on the</w:t>
      </w:r>
      <w:r>
        <w:t xml:space="preserve"> UE </w:t>
      </w:r>
      <w:r w:rsidR="003200B5">
        <w:t>is kept low</w:t>
      </w:r>
      <w:r w:rsidR="00D744C3">
        <w:t xml:space="preserve"> and the coverage can be improved for short PUCCH compared to loading it with maximum possible information</w:t>
      </w:r>
      <w:r>
        <w:t xml:space="preserve">. </w:t>
      </w:r>
    </w:p>
    <w:p w14:paraId="351DC37C" w14:textId="1489DDE4" w:rsidR="00D858B6" w:rsidRDefault="00D858B6" w:rsidP="00303F00">
      <w:r>
        <w:t xml:space="preserve">Moreover, since the report is coarse and the intention is not to provide CSI for accurate link adaptation (for which </w:t>
      </w:r>
      <w:r w:rsidR="003200B5">
        <w:t>ap</w:t>
      </w:r>
      <w:r>
        <w:t xml:space="preserve">eriodically triggered Type I and Type II can be used, on demand), there is no need for per subband CSI feedback. A wideband CSI report is sufficient </w:t>
      </w:r>
      <w:r w:rsidR="003200B5">
        <w:t>for</w:t>
      </w:r>
      <w:r>
        <w:t xml:space="preserve"> the lightweight CSI report</w:t>
      </w:r>
      <w:r w:rsidR="003200B5">
        <w:t xml:space="preserve"> on </w:t>
      </w:r>
      <w:r w:rsidR="00D744C3">
        <w:t xml:space="preserve">short </w:t>
      </w:r>
      <w:r w:rsidR="003200B5">
        <w:t>PUCCH</w:t>
      </w:r>
      <w:r>
        <w:t>.</w:t>
      </w:r>
    </w:p>
    <w:p w14:paraId="7A04B0A5" w14:textId="03FC4F59" w:rsidR="00A31BEF" w:rsidRDefault="00D858B6" w:rsidP="00303F00">
      <w:pPr>
        <w:pStyle w:val="Observation"/>
      </w:pPr>
      <w:bookmarkStart w:id="2" w:name="_Toc471374584"/>
      <w:r>
        <w:t xml:space="preserve">In LTE, the specification of CSI reporting over PUCCH lead to very complicated specification using 10+ different CSI report types to spread a CSI report across multiple </w:t>
      </w:r>
      <w:r>
        <w:lastRenderedPageBreak/>
        <w:t>subframes, leading to subframe dependencies, design of codebook subsampling and per subband CSI reporting</w:t>
      </w:r>
      <w:r w:rsidR="003200B5">
        <w:t>. The benefit o</w:t>
      </w:r>
      <w:r>
        <w:t xml:space="preserve">f this framework relative to a simple 2 port wideband CSI feedback is questionable and such </w:t>
      </w:r>
      <w:r w:rsidR="003200B5">
        <w:t xml:space="preserve">complex </w:t>
      </w:r>
      <w:r>
        <w:t>design should be avoided in NR</w:t>
      </w:r>
      <w:bookmarkEnd w:id="2"/>
      <w:r w:rsidR="00565ED1">
        <w:t xml:space="preserve">   </w:t>
      </w:r>
    </w:p>
    <w:p w14:paraId="4563A99F" w14:textId="0AF8F14C" w:rsidR="00A31BEF" w:rsidRDefault="00932673" w:rsidP="00303F00">
      <w:r>
        <w:t xml:space="preserve">Based on these observations, we make the following proposals for </w:t>
      </w:r>
      <w:r w:rsidR="003200B5">
        <w:t>a simple lightweight CSI report in NR</w:t>
      </w:r>
      <w:r>
        <w:t>:</w:t>
      </w:r>
    </w:p>
    <w:p w14:paraId="317F62D1" w14:textId="01B3DFEF" w:rsidR="002327A4" w:rsidRDefault="003200B5" w:rsidP="00303F00">
      <w:pPr>
        <w:pStyle w:val="Proposal"/>
      </w:pPr>
      <w:bookmarkStart w:id="3" w:name="_Toc471374436"/>
      <w:bookmarkStart w:id="4" w:name="_Toc471374585"/>
      <w:bookmarkStart w:id="5" w:name="_Toc477979285"/>
      <w:bookmarkStart w:id="6" w:name="_Toc477983295"/>
      <w:r>
        <w:t xml:space="preserve">A </w:t>
      </w:r>
      <w:r w:rsidR="0027264C">
        <w:t xml:space="preserve">short </w:t>
      </w:r>
      <w:r w:rsidR="00932673">
        <w:t xml:space="preserve">PUCCH </w:t>
      </w:r>
      <w:r w:rsidR="007C61BB">
        <w:t>C</w:t>
      </w:r>
      <w:r>
        <w:t>SI report</w:t>
      </w:r>
      <w:r w:rsidR="00932673">
        <w:t xml:space="preserve"> </w:t>
      </w:r>
      <w:r>
        <w:t xml:space="preserve">is contained </w:t>
      </w:r>
      <w:r w:rsidR="007C61BB">
        <w:t>within a single slot, i.e. splitting CSI con</w:t>
      </w:r>
      <w:r w:rsidR="00932673">
        <w:t xml:space="preserve">tent across multiple slots </w:t>
      </w:r>
      <w:r>
        <w:t xml:space="preserve">by introducing many different report types </w:t>
      </w:r>
      <w:r w:rsidR="00932673">
        <w:t>as was done in</w:t>
      </w:r>
      <w:r w:rsidR="007C61BB">
        <w:t xml:space="preserve"> LTE PUCCH</w:t>
      </w:r>
      <w:r>
        <w:t xml:space="preserve"> is avoided</w:t>
      </w:r>
      <w:bookmarkEnd w:id="3"/>
      <w:bookmarkEnd w:id="4"/>
      <w:bookmarkEnd w:id="5"/>
      <w:bookmarkEnd w:id="6"/>
    </w:p>
    <w:p w14:paraId="676FE73B" w14:textId="7E0A3203" w:rsidR="00932673" w:rsidRDefault="003200B5" w:rsidP="00303F00">
      <w:pPr>
        <w:pStyle w:val="Proposal"/>
      </w:pPr>
      <w:bookmarkStart w:id="7" w:name="_Toc471374437"/>
      <w:bookmarkStart w:id="8" w:name="_Toc471374586"/>
      <w:bookmarkStart w:id="9" w:name="_Toc477979286"/>
      <w:bookmarkStart w:id="10" w:name="_Toc477983296"/>
      <w:r>
        <w:t>The full and d</w:t>
      </w:r>
      <w:r w:rsidR="00932673">
        <w:t xml:space="preserve">etailed CSI reports of Type I and Type II for &gt;2 layers, large number of CSI-RS ports and for subband CSI are only mapped to </w:t>
      </w:r>
      <w:r w:rsidR="00D744C3">
        <w:t xml:space="preserve">UCI on </w:t>
      </w:r>
      <w:r w:rsidR="00932673">
        <w:t>PUSCH</w:t>
      </w:r>
      <w:r w:rsidR="0027264C">
        <w:t xml:space="preserve"> or potentially long PUCCH</w:t>
      </w:r>
      <w:r w:rsidR="00932673">
        <w:t xml:space="preserve">, not </w:t>
      </w:r>
      <w:r w:rsidR="0027264C">
        <w:t xml:space="preserve">short </w:t>
      </w:r>
      <w:r w:rsidR="00932673">
        <w:t xml:space="preserve">PUCCH as the latter is intended to provide a coarse </w:t>
      </w:r>
      <w:r>
        <w:t xml:space="preserve">CSI </w:t>
      </w:r>
      <w:r w:rsidR="00932673">
        <w:t>report only</w:t>
      </w:r>
      <w:bookmarkEnd w:id="7"/>
      <w:bookmarkEnd w:id="8"/>
      <w:bookmarkEnd w:id="9"/>
      <w:bookmarkEnd w:id="10"/>
    </w:p>
    <w:p w14:paraId="6C687D30" w14:textId="46D13E8E" w:rsidR="007C61BB" w:rsidRDefault="00932673" w:rsidP="00303F00">
      <w:pPr>
        <w:pStyle w:val="Proposal"/>
      </w:pPr>
      <w:bookmarkStart w:id="11" w:name="_Toc471374438"/>
      <w:bookmarkStart w:id="12" w:name="_Toc471374587"/>
      <w:bookmarkStart w:id="13" w:name="_Toc477979287"/>
      <w:bookmarkStart w:id="14" w:name="_Toc477983297"/>
      <w:r>
        <w:t>C</w:t>
      </w:r>
      <w:r w:rsidR="007C61BB">
        <w:t>odeb</w:t>
      </w:r>
      <w:r>
        <w:t xml:space="preserve">ook subsampling is not supported for </w:t>
      </w:r>
      <w:r w:rsidR="0027264C">
        <w:t xml:space="preserve">short </w:t>
      </w:r>
      <w:r>
        <w:t xml:space="preserve">PUCCH, i.e. only a few [2] CSI-RS ports is supported for </w:t>
      </w:r>
      <w:r w:rsidR="0027264C">
        <w:t xml:space="preserve">short </w:t>
      </w:r>
      <w:r>
        <w:t>PUCCH reporting.</w:t>
      </w:r>
      <w:bookmarkEnd w:id="11"/>
      <w:bookmarkEnd w:id="12"/>
      <w:bookmarkEnd w:id="13"/>
      <w:bookmarkEnd w:id="14"/>
    </w:p>
    <w:p w14:paraId="5145960E" w14:textId="35C6F781" w:rsidR="007C61BB" w:rsidRDefault="00932673" w:rsidP="00303F00">
      <w:pPr>
        <w:pStyle w:val="Proposal"/>
      </w:pPr>
      <w:bookmarkStart w:id="15" w:name="_Toc471374439"/>
      <w:bookmarkStart w:id="16" w:name="_Toc471374588"/>
      <w:bookmarkStart w:id="17" w:name="_Toc477979288"/>
      <w:bookmarkStart w:id="18" w:name="_Toc477983298"/>
      <w:r>
        <w:t>Support</w:t>
      </w:r>
      <w:r w:rsidR="007C61BB">
        <w:t xml:space="preserve"> a coarse </w:t>
      </w:r>
      <w:r>
        <w:t xml:space="preserve">and lightweight </w:t>
      </w:r>
      <w:r w:rsidR="007C61BB">
        <w:t xml:space="preserve">CSI report “Type 0”, which is wideband, </w:t>
      </w:r>
      <w:r>
        <w:t xml:space="preserve">use </w:t>
      </w:r>
      <w:r w:rsidR="007C61BB">
        <w:t xml:space="preserve">[2] CSI-RS ports, </w:t>
      </w:r>
      <w:r>
        <w:t xml:space="preserve">either TxD or small codebook, typically used for periodic CSI reporting using </w:t>
      </w:r>
      <w:r w:rsidR="0027264C">
        <w:t xml:space="preserve">short </w:t>
      </w:r>
      <w:r>
        <w:t>PUCCH.</w:t>
      </w:r>
      <w:bookmarkEnd w:id="15"/>
      <w:bookmarkEnd w:id="16"/>
      <w:bookmarkEnd w:id="17"/>
      <w:bookmarkEnd w:id="18"/>
      <w:r>
        <w:t xml:space="preserve"> </w:t>
      </w:r>
      <w:r w:rsidR="007C61BB">
        <w:t xml:space="preserve"> </w:t>
      </w:r>
    </w:p>
    <w:p w14:paraId="1E297923" w14:textId="31F49087" w:rsidR="000314F5" w:rsidRDefault="003200B5" w:rsidP="000314F5">
      <w:pPr>
        <w:spacing w:after="0"/>
      </w:pPr>
      <w:r>
        <w:t>Note that the “Type 0” report is already part of the current agreed CSI framework</w:t>
      </w:r>
      <w:r w:rsidR="00A75F3C">
        <w:t xml:space="preserve"> using Type I</w:t>
      </w:r>
      <w:r>
        <w:t xml:space="preserve">, so there is no additional need to agree on </w:t>
      </w:r>
      <w:r w:rsidR="00744559">
        <w:t xml:space="preserve">or introduce </w:t>
      </w:r>
      <w:r>
        <w:t xml:space="preserve">a Type 0, the point we want to make here is that RAN1 need not take the route of </w:t>
      </w:r>
      <w:r w:rsidR="00284763">
        <w:t>special design</w:t>
      </w:r>
      <w:r w:rsidR="00744559">
        <w:t xml:space="preserve"> discussing for</w:t>
      </w:r>
      <w:r w:rsidR="00284763">
        <w:t xml:space="preserve"> </w:t>
      </w:r>
      <w:r>
        <w:t xml:space="preserve">squeezing a full Type I/II report into the NR </w:t>
      </w:r>
      <w:r w:rsidR="0027264C">
        <w:t xml:space="preserve">short </w:t>
      </w:r>
      <w:r>
        <w:t xml:space="preserve">PUCCH payload (whatever that will be). </w:t>
      </w:r>
      <w:r w:rsidR="00744559">
        <w:t xml:space="preserve"> </w:t>
      </w:r>
      <w:r>
        <w:t xml:space="preserve">Instead, </w:t>
      </w:r>
      <w:r w:rsidR="00284763">
        <w:t>only those</w:t>
      </w:r>
      <w:r>
        <w:t xml:space="preserve"> </w:t>
      </w:r>
      <w:r w:rsidR="00744559">
        <w:t xml:space="preserve">Type I </w:t>
      </w:r>
      <w:r w:rsidR="00284763">
        <w:t>CSI measurement setting</w:t>
      </w:r>
      <w:r w:rsidR="00A75F3C">
        <w:t>s</w:t>
      </w:r>
      <w:r w:rsidR="00284763">
        <w:t xml:space="preserve"> for which the resulting payload allows a self-contained (single slot) report, can be used for the </w:t>
      </w:r>
      <w:r w:rsidR="0027264C">
        <w:t xml:space="preserve">short </w:t>
      </w:r>
      <w:r w:rsidR="00284763">
        <w:t xml:space="preserve">PUCCH </w:t>
      </w:r>
      <w:r w:rsidR="0027264C">
        <w:t xml:space="preserve">CSI </w:t>
      </w:r>
      <w:r w:rsidR="00284763">
        <w:t xml:space="preserve">reporting. </w:t>
      </w:r>
    </w:p>
    <w:p w14:paraId="593D8541" w14:textId="77777777" w:rsidR="00ED748E" w:rsidRPr="003A0E41" w:rsidRDefault="00ED748E" w:rsidP="003A0E41"/>
    <w:p w14:paraId="155CBB12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15062AA" w14:textId="5C720B51" w:rsidR="00E60892" w:rsidRPr="00303F00" w:rsidRDefault="00E5689D">
      <w:pPr>
        <w:pStyle w:val="TOC1"/>
        <w:rPr>
          <w:b w:val="0"/>
        </w:rPr>
      </w:pPr>
      <w:r w:rsidRPr="00303F00">
        <w:rPr>
          <w:b w:val="0"/>
        </w:rPr>
        <w:t xml:space="preserve">Based on the discussion </w:t>
      </w:r>
      <w:r w:rsidR="009C6832" w:rsidRPr="00303F00">
        <w:rPr>
          <w:b w:val="0"/>
        </w:rPr>
        <w:t>in this contri</w:t>
      </w:r>
      <w:r w:rsidR="003A0E41" w:rsidRPr="00303F00">
        <w:rPr>
          <w:b w:val="0"/>
        </w:rPr>
        <w:t>bution</w:t>
      </w:r>
      <w:r w:rsidR="008E065E" w:rsidRPr="00303F00">
        <w:rPr>
          <w:b w:val="0"/>
        </w:rPr>
        <w:t xml:space="preserve"> we propose the following</w:t>
      </w:r>
      <w:r w:rsidR="004033B5" w:rsidRPr="00303F00">
        <w:rPr>
          <w:b w:val="0"/>
        </w:rPr>
        <w:t xml:space="preserve"> </w:t>
      </w:r>
    </w:p>
    <w:p w14:paraId="2C550D46" w14:textId="77777777" w:rsidR="00D744C3" w:rsidRPr="00D744C3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D744C3">
        <w:t>Proposal 1</w:t>
      </w:r>
      <w:r w:rsidR="00D744C3" w:rsidRPr="00D744C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744C3">
        <w:t>A short PUCCH CSI report is contained within a single slot, i.e. splitting CSI content across multiple slots by introducing many different report types as was done in LTE PUCCH is avoided</w:t>
      </w:r>
    </w:p>
    <w:p w14:paraId="55EAF226" w14:textId="77777777" w:rsidR="00D744C3" w:rsidRPr="00D744C3" w:rsidRDefault="00D744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D744C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full and detailed CSI reports of Type I and Type II for &gt;2 layers, large number of CSI-RS ports and for subband CSI are only mapped to UCI on PUSCH or potentially long PUCCH, not short PUCCH as the latter is intended to provide a coarse CSI report only</w:t>
      </w:r>
    </w:p>
    <w:p w14:paraId="31586CBA" w14:textId="77777777" w:rsidR="00D744C3" w:rsidRPr="00D744C3" w:rsidRDefault="00D744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D744C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Codebook subsampling is not supported for short PUCCH, i.e. only a few [2] CSI-RS ports is supported for short PUCCH reporting.</w:t>
      </w:r>
    </w:p>
    <w:p w14:paraId="284FFC01" w14:textId="77777777" w:rsidR="00D744C3" w:rsidRPr="00D744C3" w:rsidRDefault="00D744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D744C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a coarse and lightweight CSI report “Type 0”, which is wideband, use [2] CSI-RS ports, either TxD or small codebook, typically used for periodic CSI reporting using short PUCCH.</w:t>
      </w:r>
    </w:p>
    <w:p w14:paraId="503834A9" w14:textId="510E4AB6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C8275CC" w14:textId="44171D0A" w:rsidR="003A7EF3" w:rsidRPr="00CE0424" w:rsidRDefault="003A7EF3" w:rsidP="00303F00">
      <w:pPr>
        <w:pStyle w:val="Reference"/>
        <w:numPr>
          <w:ilvl w:val="0"/>
          <w:numId w:val="0"/>
        </w:numPr>
        <w:ind w:left="567"/>
      </w:pPr>
      <w:bookmarkStart w:id="19" w:name="_In-sequence_SDU_delivery"/>
      <w:bookmarkEnd w:id="19"/>
    </w:p>
    <w:sectPr w:rsidR="003A7EF3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10A2D" w14:textId="77777777" w:rsidR="008F1941" w:rsidRDefault="008F1941">
      <w:r>
        <w:separator/>
      </w:r>
    </w:p>
  </w:endnote>
  <w:endnote w:type="continuationSeparator" w:id="0">
    <w:p w14:paraId="05C01E5F" w14:textId="77777777" w:rsidR="008F1941" w:rsidRDefault="008F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1967" w14:textId="4690B942" w:rsidR="00D858B6" w:rsidRDefault="00D858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556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556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B9E19" w14:textId="77777777" w:rsidR="008F1941" w:rsidRDefault="008F1941">
      <w:r>
        <w:separator/>
      </w:r>
    </w:p>
  </w:footnote>
  <w:footnote w:type="continuationSeparator" w:id="0">
    <w:p w14:paraId="0DF595A7" w14:textId="77777777" w:rsidR="008F1941" w:rsidRDefault="008F1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7D56" w14:textId="77777777" w:rsidR="00D858B6" w:rsidRDefault="00D858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06D0C"/>
    <w:multiLevelType w:val="hybridMultilevel"/>
    <w:tmpl w:val="5C3282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71F4E"/>
    <w:multiLevelType w:val="hybridMultilevel"/>
    <w:tmpl w:val="6E74DC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D7E55"/>
    <w:multiLevelType w:val="hybridMultilevel"/>
    <w:tmpl w:val="332C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915A06"/>
    <w:multiLevelType w:val="hybridMultilevel"/>
    <w:tmpl w:val="DBE8F5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16"/>
  </w:num>
  <w:num w:numId="16">
    <w:abstractNumId w:val="18"/>
  </w:num>
  <w:num w:numId="17">
    <w:abstractNumId w:val="17"/>
  </w:num>
  <w:num w:numId="18">
    <w:abstractNumId w:val="14"/>
  </w:num>
  <w:num w:numId="19">
    <w:abstractNumId w:val="19"/>
  </w:num>
  <w:num w:numId="2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5790"/>
    <w:rsid w:val="00006446"/>
    <w:rsid w:val="00006896"/>
    <w:rsid w:val="00007CDC"/>
    <w:rsid w:val="00011B28"/>
    <w:rsid w:val="0001266D"/>
    <w:rsid w:val="00015D15"/>
    <w:rsid w:val="0002390F"/>
    <w:rsid w:val="0002564D"/>
    <w:rsid w:val="00025ECA"/>
    <w:rsid w:val="00030B30"/>
    <w:rsid w:val="000314F5"/>
    <w:rsid w:val="000325B8"/>
    <w:rsid w:val="000348FC"/>
    <w:rsid w:val="00034C15"/>
    <w:rsid w:val="00036BA1"/>
    <w:rsid w:val="00042009"/>
    <w:rsid w:val="000422E2"/>
    <w:rsid w:val="00042F22"/>
    <w:rsid w:val="000444EF"/>
    <w:rsid w:val="00050ADE"/>
    <w:rsid w:val="00052A07"/>
    <w:rsid w:val="000534E3"/>
    <w:rsid w:val="0005606A"/>
    <w:rsid w:val="00057117"/>
    <w:rsid w:val="000601E2"/>
    <w:rsid w:val="000616E7"/>
    <w:rsid w:val="0006487E"/>
    <w:rsid w:val="00065E1A"/>
    <w:rsid w:val="00077E5F"/>
    <w:rsid w:val="0008036A"/>
    <w:rsid w:val="00080DD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6F0"/>
    <w:rsid w:val="000C7FEA"/>
    <w:rsid w:val="000D0D07"/>
    <w:rsid w:val="000D362C"/>
    <w:rsid w:val="000D4797"/>
    <w:rsid w:val="000D646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ABB"/>
    <w:rsid w:val="00116765"/>
    <w:rsid w:val="00120EE4"/>
    <w:rsid w:val="001219F5"/>
    <w:rsid w:val="00121A20"/>
    <w:rsid w:val="0012377F"/>
    <w:rsid w:val="00124314"/>
    <w:rsid w:val="00126B4A"/>
    <w:rsid w:val="00132B67"/>
    <w:rsid w:val="00132FD0"/>
    <w:rsid w:val="001344C0"/>
    <w:rsid w:val="001346FA"/>
    <w:rsid w:val="00135252"/>
    <w:rsid w:val="00137AB5"/>
    <w:rsid w:val="00137F0B"/>
    <w:rsid w:val="001516DD"/>
    <w:rsid w:val="00151E23"/>
    <w:rsid w:val="001526E0"/>
    <w:rsid w:val="0015373E"/>
    <w:rsid w:val="001551B5"/>
    <w:rsid w:val="00160BCE"/>
    <w:rsid w:val="00162BBA"/>
    <w:rsid w:val="001659C1"/>
    <w:rsid w:val="00173A8E"/>
    <w:rsid w:val="00174A3B"/>
    <w:rsid w:val="0018143F"/>
    <w:rsid w:val="00190AC1"/>
    <w:rsid w:val="0019341A"/>
    <w:rsid w:val="00194F67"/>
    <w:rsid w:val="00197DF9"/>
    <w:rsid w:val="001A1987"/>
    <w:rsid w:val="001A2564"/>
    <w:rsid w:val="001A6173"/>
    <w:rsid w:val="001A6CBA"/>
    <w:rsid w:val="001B0D97"/>
    <w:rsid w:val="001B5A5D"/>
    <w:rsid w:val="001B6F55"/>
    <w:rsid w:val="001C1CE5"/>
    <w:rsid w:val="001C3B96"/>
    <w:rsid w:val="001C3D2A"/>
    <w:rsid w:val="001D3EEB"/>
    <w:rsid w:val="001D51BA"/>
    <w:rsid w:val="001D6342"/>
    <w:rsid w:val="001D6D53"/>
    <w:rsid w:val="001E2560"/>
    <w:rsid w:val="001E5252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15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27A4"/>
    <w:rsid w:val="00235632"/>
    <w:rsid w:val="00235872"/>
    <w:rsid w:val="00241559"/>
    <w:rsid w:val="002435B3"/>
    <w:rsid w:val="002451ED"/>
    <w:rsid w:val="002457CA"/>
    <w:rsid w:val="002458EB"/>
    <w:rsid w:val="002500C8"/>
    <w:rsid w:val="002508AA"/>
    <w:rsid w:val="002515EA"/>
    <w:rsid w:val="00252C67"/>
    <w:rsid w:val="00255D92"/>
    <w:rsid w:val="00257543"/>
    <w:rsid w:val="00261169"/>
    <w:rsid w:val="002617E7"/>
    <w:rsid w:val="00264228"/>
    <w:rsid w:val="00264334"/>
    <w:rsid w:val="0026445A"/>
    <w:rsid w:val="0026473E"/>
    <w:rsid w:val="00266214"/>
    <w:rsid w:val="00267C83"/>
    <w:rsid w:val="0027144F"/>
    <w:rsid w:val="00271813"/>
    <w:rsid w:val="00271F3A"/>
    <w:rsid w:val="0027264C"/>
    <w:rsid w:val="00273278"/>
    <w:rsid w:val="002737F4"/>
    <w:rsid w:val="002746EA"/>
    <w:rsid w:val="002805F5"/>
    <w:rsid w:val="00280751"/>
    <w:rsid w:val="0028280A"/>
    <w:rsid w:val="00284763"/>
    <w:rsid w:val="00286ACD"/>
    <w:rsid w:val="00287838"/>
    <w:rsid w:val="002907B5"/>
    <w:rsid w:val="002929AC"/>
    <w:rsid w:val="00292A00"/>
    <w:rsid w:val="00292EB7"/>
    <w:rsid w:val="00296227"/>
    <w:rsid w:val="00296F44"/>
    <w:rsid w:val="0029777D"/>
    <w:rsid w:val="002A055E"/>
    <w:rsid w:val="002A1D4E"/>
    <w:rsid w:val="002A2869"/>
    <w:rsid w:val="002A3668"/>
    <w:rsid w:val="002A4511"/>
    <w:rsid w:val="002A53B6"/>
    <w:rsid w:val="002B24D6"/>
    <w:rsid w:val="002C124F"/>
    <w:rsid w:val="002C41E6"/>
    <w:rsid w:val="002C7127"/>
    <w:rsid w:val="002D071A"/>
    <w:rsid w:val="002D34B2"/>
    <w:rsid w:val="002D7637"/>
    <w:rsid w:val="002E0796"/>
    <w:rsid w:val="002E1430"/>
    <w:rsid w:val="002E17F2"/>
    <w:rsid w:val="002E7CAE"/>
    <w:rsid w:val="002F2771"/>
    <w:rsid w:val="002F37A9"/>
    <w:rsid w:val="002F6288"/>
    <w:rsid w:val="00301CE6"/>
    <w:rsid w:val="0030256B"/>
    <w:rsid w:val="00303F00"/>
    <w:rsid w:val="0030501F"/>
    <w:rsid w:val="00306180"/>
    <w:rsid w:val="00307BA1"/>
    <w:rsid w:val="00311702"/>
    <w:rsid w:val="00311E82"/>
    <w:rsid w:val="00313FD6"/>
    <w:rsid w:val="003143BD"/>
    <w:rsid w:val="003200B5"/>
    <w:rsid w:val="003203ED"/>
    <w:rsid w:val="00321A4E"/>
    <w:rsid w:val="00322C9F"/>
    <w:rsid w:val="00324D23"/>
    <w:rsid w:val="00327997"/>
    <w:rsid w:val="00331751"/>
    <w:rsid w:val="00331B7B"/>
    <w:rsid w:val="00334579"/>
    <w:rsid w:val="0033573B"/>
    <w:rsid w:val="00335858"/>
    <w:rsid w:val="00336BDA"/>
    <w:rsid w:val="00342BD7"/>
    <w:rsid w:val="00346DB5"/>
    <w:rsid w:val="003477B1"/>
    <w:rsid w:val="00357380"/>
    <w:rsid w:val="003602D9"/>
    <w:rsid w:val="003604CE"/>
    <w:rsid w:val="00363377"/>
    <w:rsid w:val="003706DD"/>
    <w:rsid w:val="00370E47"/>
    <w:rsid w:val="003722BD"/>
    <w:rsid w:val="003742AC"/>
    <w:rsid w:val="00374ADB"/>
    <w:rsid w:val="003766DA"/>
    <w:rsid w:val="00377CE1"/>
    <w:rsid w:val="00385BF0"/>
    <w:rsid w:val="00385F75"/>
    <w:rsid w:val="00386427"/>
    <w:rsid w:val="003869EE"/>
    <w:rsid w:val="003939FF"/>
    <w:rsid w:val="00395018"/>
    <w:rsid w:val="003A0E41"/>
    <w:rsid w:val="003A2223"/>
    <w:rsid w:val="003A2A0F"/>
    <w:rsid w:val="003A43E4"/>
    <w:rsid w:val="003A45A1"/>
    <w:rsid w:val="003A5B0A"/>
    <w:rsid w:val="003A5F9B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317"/>
    <w:rsid w:val="003F05C7"/>
    <w:rsid w:val="003F0FD9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5B1"/>
    <w:rsid w:val="0041263E"/>
    <w:rsid w:val="00413AAC"/>
    <w:rsid w:val="00413E92"/>
    <w:rsid w:val="00421105"/>
    <w:rsid w:val="00421690"/>
    <w:rsid w:val="00422018"/>
    <w:rsid w:val="004242F4"/>
    <w:rsid w:val="00427248"/>
    <w:rsid w:val="0043109A"/>
    <w:rsid w:val="00433F42"/>
    <w:rsid w:val="00437447"/>
    <w:rsid w:val="00441782"/>
    <w:rsid w:val="00441A92"/>
    <w:rsid w:val="00444E4C"/>
    <w:rsid w:val="00444F56"/>
    <w:rsid w:val="00446488"/>
    <w:rsid w:val="004517AA"/>
    <w:rsid w:val="004518E4"/>
    <w:rsid w:val="00452CAC"/>
    <w:rsid w:val="00454006"/>
    <w:rsid w:val="00457565"/>
    <w:rsid w:val="00457B71"/>
    <w:rsid w:val="004669E2"/>
    <w:rsid w:val="004672AA"/>
    <w:rsid w:val="00470C31"/>
    <w:rsid w:val="004734D0"/>
    <w:rsid w:val="00473513"/>
    <w:rsid w:val="0047556B"/>
    <w:rsid w:val="00476DFA"/>
    <w:rsid w:val="00477768"/>
    <w:rsid w:val="00480BB7"/>
    <w:rsid w:val="00492BC5"/>
    <w:rsid w:val="004964F1"/>
    <w:rsid w:val="004A16BC"/>
    <w:rsid w:val="004A2B94"/>
    <w:rsid w:val="004B7C0C"/>
    <w:rsid w:val="004C3898"/>
    <w:rsid w:val="004C529D"/>
    <w:rsid w:val="004C7B50"/>
    <w:rsid w:val="004D36B1"/>
    <w:rsid w:val="004D3863"/>
    <w:rsid w:val="004D7EBD"/>
    <w:rsid w:val="004E2680"/>
    <w:rsid w:val="004E28F9"/>
    <w:rsid w:val="004E462E"/>
    <w:rsid w:val="004E56DC"/>
    <w:rsid w:val="004E76F4"/>
    <w:rsid w:val="004F0B4E"/>
    <w:rsid w:val="004F0B6C"/>
    <w:rsid w:val="004F1747"/>
    <w:rsid w:val="004F2078"/>
    <w:rsid w:val="004F4DA3"/>
    <w:rsid w:val="00501096"/>
    <w:rsid w:val="00506557"/>
    <w:rsid w:val="0050677A"/>
    <w:rsid w:val="005108D8"/>
    <w:rsid w:val="005116F9"/>
    <w:rsid w:val="005153A7"/>
    <w:rsid w:val="005219CF"/>
    <w:rsid w:val="00525D26"/>
    <w:rsid w:val="005274D4"/>
    <w:rsid w:val="00534B59"/>
    <w:rsid w:val="00536759"/>
    <w:rsid w:val="00537C62"/>
    <w:rsid w:val="00543007"/>
    <w:rsid w:val="00546970"/>
    <w:rsid w:val="00554192"/>
    <w:rsid w:val="00554345"/>
    <w:rsid w:val="00554E19"/>
    <w:rsid w:val="0056121F"/>
    <w:rsid w:val="00565ED1"/>
    <w:rsid w:val="00572505"/>
    <w:rsid w:val="00575DA6"/>
    <w:rsid w:val="00582809"/>
    <w:rsid w:val="0058798C"/>
    <w:rsid w:val="005900FA"/>
    <w:rsid w:val="005935A4"/>
    <w:rsid w:val="005948C2"/>
    <w:rsid w:val="005952B6"/>
    <w:rsid w:val="00595DCA"/>
    <w:rsid w:val="00596976"/>
    <w:rsid w:val="00596A88"/>
    <w:rsid w:val="0059779B"/>
    <w:rsid w:val="005A209A"/>
    <w:rsid w:val="005A662D"/>
    <w:rsid w:val="005B35D7"/>
    <w:rsid w:val="005B392A"/>
    <w:rsid w:val="005B3AA3"/>
    <w:rsid w:val="005B6F83"/>
    <w:rsid w:val="005C1419"/>
    <w:rsid w:val="005C14B0"/>
    <w:rsid w:val="005C74FB"/>
    <w:rsid w:val="005D1602"/>
    <w:rsid w:val="005E385F"/>
    <w:rsid w:val="005E548E"/>
    <w:rsid w:val="005E5B81"/>
    <w:rsid w:val="005E7D7B"/>
    <w:rsid w:val="005F2CB1"/>
    <w:rsid w:val="005F3025"/>
    <w:rsid w:val="005F30F0"/>
    <w:rsid w:val="005F4AE7"/>
    <w:rsid w:val="005F618C"/>
    <w:rsid w:val="005F70BD"/>
    <w:rsid w:val="006022DA"/>
    <w:rsid w:val="0060283C"/>
    <w:rsid w:val="00604F14"/>
    <w:rsid w:val="00611B83"/>
    <w:rsid w:val="00613257"/>
    <w:rsid w:val="006133E1"/>
    <w:rsid w:val="00620A71"/>
    <w:rsid w:val="00620D80"/>
    <w:rsid w:val="006234A6"/>
    <w:rsid w:val="00630001"/>
    <w:rsid w:val="006311B3"/>
    <w:rsid w:val="0063284C"/>
    <w:rsid w:val="00635FB5"/>
    <w:rsid w:val="00636398"/>
    <w:rsid w:val="006368D3"/>
    <w:rsid w:val="006377EC"/>
    <w:rsid w:val="0064151F"/>
    <w:rsid w:val="00641521"/>
    <w:rsid w:val="00641533"/>
    <w:rsid w:val="0064208D"/>
    <w:rsid w:val="00643475"/>
    <w:rsid w:val="0064396A"/>
    <w:rsid w:val="00644132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F70"/>
    <w:rsid w:val="0067218F"/>
    <w:rsid w:val="006741F2"/>
    <w:rsid w:val="00674CC3"/>
    <w:rsid w:val="00675C72"/>
    <w:rsid w:val="00676E60"/>
    <w:rsid w:val="006771F9"/>
    <w:rsid w:val="006776D7"/>
    <w:rsid w:val="00681003"/>
    <w:rsid w:val="006817C9"/>
    <w:rsid w:val="00683BF0"/>
    <w:rsid w:val="00683ECE"/>
    <w:rsid w:val="006849A1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31D"/>
    <w:rsid w:val="006D6F08"/>
    <w:rsid w:val="006E062C"/>
    <w:rsid w:val="006E1514"/>
    <w:rsid w:val="006E28B7"/>
    <w:rsid w:val="006E3310"/>
    <w:rsid w:val="006E4E39"/>
    <w:rsid w:val="006E565E"/>
    <w:rsid w:val="006E673D"/>
    <w:rsid w:val="006E75C6"/>
    <w:rsid w:val="006E7D3B"/>
    <w:rsid w:val="006F015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95D"/>
    <w:rsid w:val="00712287"/>
    <w:rsid w:val="007122B7"/>
    <w:rsid w:val="00712772"/>
    <w:rsid w:val="007148D3"/>
    <w:rsid w:val="0071556A"/>
    <w:rsid w:val="00715B9A"/>
    <w:rsid w:val="00723908"/>
    <w:rsid w:val="00726EA6"/>
    <w:rsid w:val="00727208"/>
    <w:rsid w:val="00727680"/>
    <w:rsid w:val="007348B1"/>
    <w:rsid w:val="007362A6"/>
    <w:rsid w:val="00736D7D"/>
    <w:rsid w:val="00740E58"/>
    <w:rsid w:val="00744559"/>
    <w:rsid w:val="007445A0"/>
    <w:rsid w:val="0074524B"/>
    <w:rsid w:val="00747D8B"/>
    <w:rsid w:val="00751228"/>
    <w:rsid w:val="007515DF"/>
    <w:rsid w:val="007571E1"/>
    <w:rsid w:val="007604B2"/>
    <w:rsid w:val="00765281"/>
    <w:rsid w:val="007662EC"/>
    <w:rsid w:val="00766BAD"/>
    <w:rsid w:val="00766D69"/>
    <w:rsid w:val="00771388"/>
    <w:rsid w:val="007713CB"/>
    <w:rsid w:val="007755F2"/>
    <w:rsid w:val="00776971"/>
    <w:rsid w:val="00777609"/>
    <w:rsid w:val="00777D37"/>
    <w:rsid w:val="007806D1"/>
    <w:rsid w:val="0078177E"/>
    <w:rsid w:val="0078304C"/>
    <w:rsid w:val="00783673"/>
    <w:rsid w:val="00785490"/>
    <w:rsid w:val="00787109"/>
    <w:rsid w:val="00790B99"/>
    <w:rsid w:val="007925EA"/>
    <w:rsid w:val="00793CD8"/>
    <w:rsid w:val="00795C92"/>
    <w:rsid w:val="00795CC0"/>
    <w:rsid w:val="00796231"/>
    <w:rsid w:val="00797424"/>
    <w:rsid w:val="007A0253"/>
    <w:rsid w:val="007A1CB3"/>
    <w:rsid w:val="007A306F"/>
    <w:rsid w:val="007A438F"/>
    <w:rsid w:val="007A43A6"/>
    <w:rsid w:val="007A58A6"/>
    <w:rsid w:val="007B3D2D"/>
    <w:rsid w:val="007B50AE"/>
    <w:rsid w:val="007B51DF"/>
    <w:rsid w:val="007B7374"/>
    <w:rsid w:val="007C05DD"/>
    <w:rsid w:val="007C3D12"/>
    <w:rsid w:val="007C3D18"/>
    <w:rsid w:val="007C60BF"/>
    <w:rsid w:val="007C61BB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54C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A7D"/>
    <w:rsid w:val="008444E8"/>
    <w:rsid w:val="00844E80"/>
    <w:rsid w:val="00846FE7"/>
    <w:rsid w:val="008526BF"/>
    <w:rsid w:val="00854F22"/>
    <w:rsid w:val="00856911"/>
    <w:rsid w:val="008677FD"/>
    <w:rsid w:val="008706D4"/>
    <w:rsid w:val="00870F8A"/>
    <w:rsid w:val="008719A4"/>
    <w:rsid w:val="00871D23"/>
    <w:rsid w:val="00874312"/>
    <w:rsid w:val="0087437C"/>
    <w:rsid w:val="00874BBE"/>
    <w:rsid w:val="00875CD7"/>
    <w:rsid w:val="00876B4D"/>
    <w:rsid w:val="00877F18"/>
    <w:rsid w:val="008824C3"/>
    <w:rsid w:val="00884700"/>
    <w:rsid w:val="00894A88"/>
    <w:rsid w:val="00895386"/>
    <w:rsid w:val="00895591"/>
    <w:rsid w:val="0089781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2BB"/>
    <w:rsid w:val="008D34F1"/>
    <w:rsid w:val="008D39D8"/>
    <w:rsid w:val="008D6D1A"/>
    <w:rsid w:val="008E065E"/>
    <w:rsid w:val="008E0927"/>
    <w:rsid w:val="008E1909"/>
    <w:rsid w:val="008F1941"/>
    <w:rsid w:val="008F1EAB"/>
    <w:rsid w:val="008F33DC"/>
    <w:rsid w:val="008F477F"/>
    <w:rsid w:val="008F644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673"/>
    <w:rsid w:val="00933280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705C"/>
    <w:rsid w:val="00971F08"/>
    <w:rsid w:val="0097603D"/>
    <w:rsid w:val="00976949"/>
    <w:rsid w:val="00977324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22B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99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1BEF"/>
    <w:rsid w:val="00A3448A"/>
    <w:rsid w:val="00A36297"/>
    <w:rsid w:val="00A369F0"/>
    <w:rsid w:val="00A41E2B"/>
    <w:rsid w:val="00A444CE"/>
    <w:rsid w:val="00A45B74"/>
    <w:rsid w:val="00A52E1D"/>
    <w:rsid w:val="00A61499"/>
    <w:rsid w:val="00A62A77"/>
    <w:rsid w:val="00A63483"/>
    <w:rsid w:val="00A657D7"/>
    <w:rsid w:val="00A660AC"/>
    <w:rsid w:val="00A67796"/>
    <w:rsid w:val="00A67E6C"/>
    <w:rsid w:val="00A71B99"/>
    <w:rsid w:val="00A739D0"/>
    <w:rsid w:val="00A75F3C"/>
    <w:rsid w:val="00A761D4"/>
    <w:rsid w:val="00A77EC4"/>
    <w:rsid w:val="00A83173"/>
    <w:rsid w:val="00A85C6C"/>
    <w:rsid w:val="00A85EF6"/>
    <w:rsid w:val="00A92879"/>
    <w:rsid w:val="00A9442A"/>
    <w:rsid w:val="00AA016F"/>
    <w:rsid w:val="00AA1ACB"/>
    <w:rsid w:val="00AA1EC5"/>
    <w:rsid w:val="00AA1ED6"/>
    <w:rsid w:val="00AA51D6"/>
    <w:rsid w:val="00AA7FC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0D30"/>
    <w:rsid w:val="00AF1C5D"/>
    <w:rsid w:val="00AF1C5F"/>
    <w:rsid w:val="00AF42D7"/>
    <w:rsid w:val="00B006FE"/>
    <w:rsid w:val="00B007CB"/>
    <w:rsid w:val="00B02AA9"/>
    <w:rsid w:val="00B02FA3"/>
    <w:rsid w:val="00B03374"/>
    <w:rsid w:val="00B05084"/>
    <w:rsid w:val="00B157F9"/>
    <w:rsid w:val="00B1757A"/>
    <w:rsid w:val="00B20256"/>
    <w:rsid w:val="00B20D09"/>
    <w:rsid w:val="00B2763F"/>
    <w:rsid w:val="00B27AAC"/>
    <w:rsid w:val="00B30929"/>
    <w:rsid w:val="00B3340F"/>
    <w:rsid w:val="00B372AA"/>
    <w:rsid w:val="00B40445"/>
    <w:rsid w:val="00B41888"/>
    <w:rsid w:val="00B45A52"/>
    <w:rsid w:val="00B46175"/>
    <w:rsid w:val="00B56D02"/>
    <w:rsid w:val="00B664C7"/>
    <w:rsid w:val="00B739F6"/>
    <w:rsid w:val="00B7721B"/>
    <w:rsid w:val="00B81A6C"/>
    <w:rsid w:val="00B85DE5"/>
    <w:rsid w:val="00B874E8"/>
    <w:rsid w:val="00B90F73"/>
    <w:rsid w:val="00B93B59"/>
    <w:rsid w:val="00B9406A"/>
    <w:rsid w:val="00B94335"/>
    <w:rsid w:val="00BA2280"/>
    <w:rsid w:val="00BA2A08"/>
    <w:rsid w:val="00BA5289"/>
    <w:rsid w:val="00BA56D2"/>
    <w:rsid w:val="00BA76E0"/>
    <w:rsid w:val="00BB2A25"/>
    <w:rsid w:val="00BB51E9"/>
    <w:rsid w:val="00BC0FDC"/>
    <w:rsid w:val="00BC3053"/>
    <w:rsid w:val="00BC37CE"/>
    <w:rsid w:val="00BC4D2E"/>
    <w:rsid w:val="00BD48AC"/>
    <w:rsid w:val="00BD5F1A"/>
    <w:rsid w:val="00BD6BC0"/>
    <w:rsid w:val="00BD6F5A"/>
    <w:rsid w:val="00BE1234"/>
    <w:rsid w:val="00BE2FA6"/>
    <w:rsid w:val="00BE333F"/>
    <w:rsid w:val="00BE3E30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3B00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27E9D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884"/>
    <w:rsid w:val="00CB1F63"/>
    <w:rsid w:val="00CB4FEF"/>
    <w:rsid w:val="00CB7170"/>
    <w:rsid w:val="00CC03C4"/>
    <w:rsid w:val="00CC040E"/>
    <w:rsid w:val="00CC111F"/>
    <w:rsid w:val="00CC2011"/>
    <w:rsid w:val="00CC3EA0"/>
    <w:rsid w:val="00CC7B45"/>
    <w:rsid w:val="00CD1188"/>
    <w:rsid w:val="00CD2ED1"/>
    <w:rsid w:val="00CD316D"/>
    <w:rsid w:val="00CD337B"/>
    <w:rsid w:val="00CE0424"/>
    <w:rsid w:val="00CE4EFC"/>
    <w:rsid w:val="00CE7561"/>
    <w:rsid w:val="00CF1354"/>
    <w:rsid w:val="00CF3B1F"/>
    <w:rsid w:val="00CF3BF6"/>
    <w:rsid w:val="00CF625B"/>
    <w:rsid w:val="00CF687E"/>
    <w:rsid w:val="00D0188C"/>
    <w:rsid w:val="00D0349B"/>
    <w:rsid w:val="00D10249"/>
    <w:rsid w:val="00D115C3"/>
    <w:rsid w:val="00D11897"/>
    <w:rsid w:val="00D13135"/>
    <w:rsid w:val="00D13E4E"/>
    <w:rsid w:val="00D229C4"/>
    <w:rsid w:val="00D239A7"/>
    <w:rsid w:val="00D23F47"/>
    <w:rsid w:val="00D24548"/>
    <w:rsid w:val="00D266C3"/>
    <w:rsid w:val="00D3365C"/>
    <w:rsid w:val="00D34018"/>
    <w:rsid w:val="00D35859"/>
    <w:rsid w:val="00D36E71"/>
    <w:rsid w:val="00D37D87"/>
    <w:rsid w:val="00D40B33"/>
    <w:rsid w:val="00D4318F"/>
    <w:rsid w:val="00D438BF"/>
    <w:rsid w:val="00D440F8"/>
    <w:rsid w:val="00D44D0C"/>
    <w:rsid w:val="00D546FF"/>
    <w:rsid w:val="00D55AD5"/>
    <w:rsid w:val="00D576CA"/>
    <w:rsid w:val="00D61AF5"/>
    <w:rsid w:val="00D6356E"/>
    <w:rsid w:val="00D652B5"/>
    <w:rsid w:val="00D66155"/>
    <w:rsid w:val="00D708B0"/>
    <w:rsid w:val="00D72432"/>
    <w:rsid w:val="00D744C3"/>
    <w:rsid w:val="00D77B1D"/>
    <w:rsid w:val="00D8021F"/>
    <w:rsid w:val="00D80383"/>
    <w:rsid w:val="00D823C6"/>
    <w:rsid w:val="00D858B6"/>
    <w:rsid w:val="00D86CA3"/>
    <w:rsid w:val="00D871CE"/>
    <w:rsid w:val="00D9196D"/>
    <w:rsid w:val="00D92982"/>
    <w:rsid w:val="00DA305E"/>
    <w:rsid w:val="00DA5417"/>
    <w:rsid w:val="00DA56E8"/>
    <w:rsid w:val="00DB0A9F"/>
    <w:rsid w:val="00DB14B6"/>
    <w:rsid w:val="00DB377D"/>
    <w:rsid w:val="00DB7028"/>
    <w:rsid w:val="00DC2D36"/>
    <w:rsid w:val="00DC53EF"/>
    <w:rsid w:val="00DD66D8"/>
    <w:rsid w:val="00DE1CC7"/>
    <w:rsid w:val="00DE5608"/>
    <w:rsid w:val="00DE58D0"/>
    <w:rsid w:val="00DE654F"/>
    <w:rsid w:val="00DF0B6E"/>
    <w:rsid w:val="00DF15E0"/>
    <w:rsid w:val="00DF37A0"/>
    <w:rsid w:val="00E00D06"/>
    <w:rsid w:val="00E0108A"/>
    <w:rsid w:val="00E0386E"/>
    <w:rsid w:val="00E03BB4"/>
    <w:rsid w:val="00E106D8"/>
    <w:rsid w:val="00E110E7"/>
    <w:rsid w:val="00E11B20"/>
    <w:rsid w:val="00E138BB"/>
    <w:rsid w:val="00E173CD"/>
    <w:rsid w:val="00E17FA2"/>
    <w:rsid w:val="00E22330"/>
    <w:rsid w:val="00E30B5A"/>
    <w:rsid w:val="00E3123D"/>
    <w:rsid w:val="00E31461"/>
    <w:rsid w:val="00E31D43"/>
    <w:rsid w:val="00E32608"/>
    <w:rsid w:val="00E33421"/>
    <w:rsid w:val="00E34188"/>
    <w:rsid w:val="00E34293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7D0"/>
    <w:rsid w:val="00E60892"/>
    <w:rsid w:val="00E63838"/>
    <w:rsid w:val="00E64434"/>
    <w:rsid w:val="00E66FA5"/>
    <w:rsid w:val="00E67C51"/>
    <w:rsid w:val="00E72EFC"/>
    <w:rsid w:val="00E73D0F"/>
    <w:rsid w:val="00E758EC"/>
    <w:rsid w:val="00E8234C"/>
    <w:rsid w:val="00E83AA9"/>
    <w:rsid w:val="00E845B0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48E"/>
    <w:rsid w:val="00EE33D2"/>
    <w:rsid w:val="00EE59C8"/>
    <w:rsid w:val="00EE71FD"/>
    <w:rsid w:val="00EF18FE"/>
    <w:rsid w:val="00EF4146"/>
    <w:rsid w:val="00EF5787"/>
    <w:rsid w:val="00EF60D0"/>
    <w:rsid w:val="00EF721C"/>
    <w:rsid w:val="00F0528D"/>
    <w:rsid w:val="00F05971"/>
    <w:rsid w:val="00F06C67"/>
    <w:rsid w:val="00F06DFD"/>
    <w:rsid w:val="00F071D1"/>
    <w:rsid w:val="00F07533"/>
    <w:rsid w:val="00F10629"/>
    <w:rsid w:val="00F13E01"/>
    <w:rsid w:val="00F15FA5"/>
    <w:rsid w:val="00F209B7"/>
    <w:rsid w:val="00F2376F"/>
    <w:rsid w:val="00F243D8"/>
    <w:rsid w:val="00F30828"/>
    <w:rsid w:val="00F313D6"/>
    <w:rsid w:val="00F35FCB"/>
    <w:rsid w:val="00F40F0C"/>
    <w:rsid w:val="00F427D1"/>
    <w:rsid w:val="00F43EAB"/>
    <w:rsid w:val="00F45C1B"/>
    <w:rsid w:val="00F4766C"/>
    <w:rsid w:val="00F505C5"/>
    <w:rsid w:val="00F5060E"/>
    <w:rsid w:val="00F507D1"/>
    <w:rsid w:val="00F519CE"/>
    <w:rsid w:val="00F51ADA"/>
    <w:rsid w:val="00F525B6"/>
    <w:rsid w:val="00F607C5"/>
    <w:rsid w:val="00F60DEA"/>
    <w:rsid w:val="00F62CA7"/>
    <w:rsid w:val="00F6302A"/>
    <w:rsid w:val="00F64C2B"/>
    <w:rsid w:val="00F651BE"/>
    <w:rsid w:val="00F67F53"/>
    <w:rsid w:val="00F703BE"/>
    <w:rsid w:val="00F70D9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30F2"/>
    <w:rsid w:val="00FD47ED"/>
    <w:rsid w:val="00FD74DB"/>
    <w:rsid w:val="00FD7660"/>
    <w:rsid w:val="00FE0655"/>
    <w:rsid w:val="00FE2365"/>
    <w:rsid w:val="00FE36C4"/>
    <w:rsid w:val="00FE37D7"/>
    <w:rsid w:val="00FE4C7B"/>
    <w:rsid w:val="00FE7336"/>
    <w:rsid w:val="00FE787C"/>
    <w:rsid w:val="00FF1102"/>
    <w:rsid w:val="00FF45A5"/>
    <w:rsid w:val="00FF5C9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EBCAEB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125B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125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125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4125B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4125B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4125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125B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125B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125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125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125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125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4125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125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125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125B1"/>
    <w:pPr>
      <w:ind w:left="1418" w:hanging="1418"/>
    </w:pPr>
  </w:style>
  <w:style w:type="paragraph" w:styleId="TOC3">
    <w:name w:val="toc 3"/>
    <w:basedOn w:val="TOC2"/>
    <w:semiHidden/>
    <w:rsid w:val="004125B1"/>
    <w:pPr>
      <w:ind w:left="1134" w:hanging="1134"/>
    </w:pPr>
  </w:style>
  <w:style w:type="paragraph" w:styleId="TOC2">
    <w:name w:val="toc 2"/>
    <w:basedOn w:val="TOC1"/>
    <w:semiHidden/>
    <w:rsid w:val="004125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125B1"/>
    <w:pPr>
      <w:ind w:left="284"/>
    </w:pPr>
  </w:style>
  <w:style w:type="paragraph" w:styleId="Index1">
    <w:name w:val="index 1"/>
    <w:basedOn w:val="Normal"/>
    <w:semiHidden/>
    <w:rsid w:val="004125B1"/>
    <w:pPr>
      <w:keepLines/>
      <w:spacing w:after="0"/>
    </w:pPr>
  </w:style>
  <w:style w:type="paragraph" w:styleId="DocumentMap">
    <w:name w:val="Document Map"/>
    <w:basedOn w:val="Normal"/>
    <w:semiHidden/>
    <w:rsid w:val="004125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125B1"/>
    <w:pPr>
      <w:ind w:left="851"/>
    </w:pPr>
  </w:style>
  <w:style w:type="paragraph" w:styleId="ListNumber">
    <w:name w:val="List Number"/>
    <w:basedOn w:val="List"/>
    <w:rsid w:val="004125B1"/>
  </w:style>
  <w:style w:type="paragraph" w:styleId="List">
    <w:name w:val="List"/>
    <w:basedOn w:val="Normal"/>
    <w:rsid w:val="004125B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125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125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125B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4125B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4125B1"/>
    <w:pPr>
      <w:ind w:left="1418" w:hanging="1418"/>
    </w:pPr>
  </w:style>
  <w:style w:type="paragraph" w:styleId="TOC6">
    <w:name w:val="toc 6"/>
    <w:basedOn w:val="TOC5"/>
    <w:next w:val="Normal"/>
    <w:semiHidden/>
    <w:rsid w:val="004125B1"/>
    <w:pPr>
      <w:ind w:left="1985" w:hanging="1985"/>
    </w:pPr>
  </w:style>
  <w:style w:type="paragraph" w:styleId="TOC7">
    <w:name w:val="toc 7"/>
    <w:basedOn w:val="TOC6"/>
    <w:next w:val="Normal"/>
    <w:semiHidden/>
    <w:rsid w:val="004125B1"/>
    <w:pPr>
      <w:ind w:left="2268" w:hanging="2268"/>
    </w:pPr>
  </w:style>
  <w:style w:type="paragraph" w:styleId="ListBullet2">
    <w:name w:val="List Bullet 2"/>
    <w:basedOn w:val="ListBullet"/>
    <w:rsid w:val="004125B1"/>
    <w:pPr>
      <w:numPr>
        <w:numId w:val="6"/>
      </w:numPr>
    </w:pPr>
  </w:style>
  <w:style w:type="paragraph" w:styleId="ListBullet">
    <w:name w:val="List Bullet"/>
    <w:basedOn w:val="BodyText"/>
    <w:rsid w:val="004125B1"/>
    <w:pPr>
      <w:numPr>
        <w:numId w:val="5"/>
      </w:numPr>
    </w:pPr>
  </w:style>
  <w:style w:type="paragraph" w:styleId="ListBullet3">
    <w:name w:val="List Bullet 3"/>
    <w:basedOn w:val="ListBullet2"/>
    <w:rsid w:val="004125B1"/>
    <w:pPr>
      <w:numPr>
        <w:numId w:val="7"/>
      </w:numPr>
    </w:pPr>
  </w:style>
  <w:style w:type="paragraph" w:customStyle="1" w:styleId="EQ">
    <w:name w:val="EQ"/>
    <w:basedOn w:val="Normal"/>
    <w:next w:val="Normal"/>
    <w:rsid w:val="004125B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125B1"/>
    <w:pPr>
      <w:ind w:left="851"/>
    </w:pPr>
  </w:style>
  <w:style w:type="paragraph" w:styleId="List3">
    <w:name w:val="List 3"/>
    <w:basedOn w:val="List2"/>
    <w:rsid w:val="004125B1"/>
    <w:pPr>
      <w:ind w:left="1135"/>
    </w:pPr>
  </w:style>
  <w:style w:type="paragraph" w:styleId="List4">
    <w:name w:val="List 4"/>
    <w:basedOn w:val="List3"/>
    <w:rsid w:val="004125B1"/>
    <w:pPr>
      <w:ind w:left="1418"/>
    </w:pPr>
  </w:style>
  <w:style w:type="paragraph" w:styleId="List5">
    <w:name w:val="List 5"/>
    <w:basedOn w:val="List4"/>
    <w:rsid w:val="004125B1"/>
    <w:pPr>
      <w:ind w:left="1702"/>
    </w:pPr>
  </w:style>
  <w:style w:type="paragraph" w:customStyle="1" w:styleId="EditorsNote">
    <w:name w:val="Editor's Note"/>
    <w:basedOn w:val="Normal"/>
    <w:rsid w:val="004125B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125B1"/>
    <w:pPr>
      <w:numPr>
        <w:numId w:val="8"/>
      </w:numPr>
    </w:pPr>
  </w:style>
  <w:style w:type="paragraph" w:styleId="ListBullet5">
    <w:name w:val="List Bullet 5"/>
    <w:basedOn w:val="ListBullet4"/>
    <w:rsid w:val="004125B1"/>
    <w:pPr>
      <w:numPr>
        <w:numId w:val="4"/>
      </w:numPr>
    </w:pPr>
  </w:style>
  <w:style w:type="paragraph" w:styleId="Footer">
    <w:name w:val="footer"/>
    <w:basedOn w:val="Header"/>
    <w:semiHidden/>
    <w:rsid w:val="004125B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4125B1"/>
    <w:pPr>
      <w:numPr>
        <w:numId w:val="2"/>
      </w:numPr>
    </w:pPr>
  </w:style>
  <w:style w:type="paragraph" w:styleId="BalloonText">
    <w:name w:val="Balloon Text"/>
    <w:basedOn w:val="Normal"/>
    <w:semiHidden/>
    <w:rsid w:val="004125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125B1"/>
  </w:style>
  <w:style w:type="paragraph" w:styleId="BodyText">
    <w:name w:val="Body Text"/>
    <w:basedOn w:val="Normal"/>
    <w:link w:val="BodyTextChar"/>
    <w:qFormat/>
    <w:rsid w:val="004125B1"/>
  </w:style>
  <w:style w:type="character" w:styleId="Hyperlink">
    <w:name w:val="Hyperlink"/>
    <w:uiPriority w:val="99"/>
    <w:rsid w:val="004125B1"/>
    <w:rPr>
      <w:color w:val="0000FF"/>
      <w:u w:val="single"/>
      <w:lang w:val="en-GB"/>
    </w:rPr>
  </w:style>
  <w:style w:type="character" w:styleId="FollowedHyperlink">
    <w:name w:val="FollowedHyperlink"/>
    <w:semiHidden/>
    <w:rsid w:val="004125B1"/>
    <w:rPr>
      <w:color w:val="FF0000"/>
      <w:u w:val="single"/>
    </w:rPr>
  </w:style>
  <w:style w:type="character" w:styleId="CommentReference">
    <w:name w:val="annotation reference"/>
    <w:semiHidden/>
    <w:rsid w:val="00412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5B1"/>
  </w:style>
  <w:style w:type="paragraph" w:styleId="CommentSubject">
    <w:name w:val="annotation subject"/>
    <w:basedOn w:val="CommentText"/>
    <w:next w:val="CommentText"/>
    <w:semiHidden/>
    <w:rsid w:val="004125B1"/>
    <w:rPr>
      <w:b/>
      <w:bCs/>
    </w:rPr>
  </w:style>
  <w:style w:type="character" w:customStyle="1" w:styleId="Heading1Char">
    <w:name w:val="Heading 1 Char"/>
    <w:link w:val="Heading1"/>
    <w:rsid w:val="004125B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Char1"/>
    <w:rsid w:val="004125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125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125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125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125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125B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4125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125B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125B1"/>
    <w:pPr>
      <w:spacing w:after="0"/>
    </w:pPr>
  </w:style>
  <w:style w:type="paragraph" w:customStyle="1" w:styleId="TAL">
    <w:name w:val="TAL"/>
    <w:basedOn w:val="Normal"/>
    <w:rsid w:val="004125B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125B1"/>
    <w:pPr>
      <w:jc w:val="center"/>
    </w:pPr>
  </w:style>
  <w:style w:type="paragraph" w:customStyle="1" w:styleId="TAH">
    <w:name w:val="TAH"/>
    <w:basedOn w:val="TAC"/>
    <w:rsid w:val="004125B1"/>
    <w:rPr>
      <w:b/>
    </w:rPr>
  </w:style>
  <w:style w:type="paragraph" w:customStyle="1" w:styleId="TAN">
    <w:name w:val="TAN"/>
    <w:basedOn w:val="TAL"/>
    <w:rsid w:val="004125B1"/>
    <w:pPr>
      <w:ind w:left="851" w:hanging="851"/>
    </w:pPr>
  </w:style>
  <w:style w:type="paragraph" w:customStyle="1" w:styleId="TAR">
    <w:name w:val="TAR"/>
    <w:basedOn w:val="TAL"/>
    <w:rsid w:val="004125B1"/>
    <w:pPr>
      <w:jc w:val="right"/>
    </w:pPr>
  </w:style>
  <w:style w:type="paragraph" w:customStyle="1" w:styleId="TH">
    <w:name w:val="TH"/>
    <w:basedOn w:val="Normal"/>
    <w:rsid w:val="004125B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125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125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125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125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125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125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125B1"/>
  </w:style>
  <w:style w:type="paragraph" w:customStyle="1" w:styleId="ZH">
    <w:name w:val="ZH"/>
    <w:rsid w:val="004125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125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125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125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125B1"/>
    <w:pPr>
      <w:framePr w:wrap="notBeside" w:y="16161"/>
    </w:pPr>
  </w:style>
  <w:style w:type="paragraph" w:customStyle="1" w:styleId="FP">
    <w:name w:val="FP"/>
    <w:basedOn w:val="Normal"/>
    <w:rsid w:val="004125B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125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125B1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4125B1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676E6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EE33D2"/>
    <w:rPr>
      <w:rFonts w:ascii="Times New Roman" w:hAnsi="Times New Roman"/>
      <w:lang w:val="en-GB" w:eastAsia="zh-CN"/>
    </w:rPr>
  </w:style>
  <w:style w:type="character" w:customStyle="1" w:styleId="B1Char1">
    <w:name w:val="B1 Char1"/>
    <w:link w:val="B1"/>
    <w:rsid w:val="00A31BEF"/>
    <w:rPr>
      <w:rFonts w:ascii="Times New Roman" w:hAnsi="Times New Roman"/>
      <w:lang w:val="en-GB"/>
    </w:rPr>
  </w:style>
  <w:style w:type="paragraph" w:customStyle="1" w:styleId="textintend2">
    <w:name w:val="text intend 2"/>
    <w:basedOn w:val="Normal"/>
    <w:rsid w:val="00A31BEF"/>
    <w:pPr>
      <w:numPr>
        <w:numId w:val="19"/>
      </w:numPr>
    </w:pPr>
    <w:rPr>
      <w:rFonts w:eastAsia="MS Mincho"/>
      <w:sz w:val="24"/>
      <w:lang w:val="en-US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662EC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5NUHHDQN7SK2-1-116928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https://ericoll.internal.ericsson.com/sites/STAR/_layouts/DocIdRedir.aspx?ID=5NUHHDQN7SK2-1-116928</Url>
      <Description>5NUHHDQN7SK2-1-116928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E2E50-A5F9-4CCE-A02B-4DAC84DED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6710FA-B513-4908-B18B-D4C8CABD11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A817B-AC9E-4F14-B7C5-D978B8D721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8CFD82-1772-4F6C-8855-0159C0A480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8D2441-22A1-4FAE-982F-6F1AC081BACF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43112C2-EB34-4C30-A302-F9D12781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2</Pages>
  <Words>1081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3</cp:revision>
  <cp:lastPrinted>2008-01-31T16:09:00Z</cp:lastPrinted>
  <dcterms:created xsi:type="dcterms:W3CDTF">2017-05-05T07:26:00Z</dcterms:created>
  <dcterms:modified xsi:type="dcterms:W3CDTF">2017-05-05T07:26:00Z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2c39a35d-5044-448f-aefc-fc7150d7732c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