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5EA27468" w:rsidR="00116B51" w:rsidRPr="00DA12F7" w:rsidRDefault="00116B51" w:rsidP="00116B51">
      <w:pPr>
        <w:tabs>
          <w:tab w:val="right" w:pos="9630"/>
        </w:tabs>
        <w:spacing w:after="0"/>
      </w:pPr>
      <w:r w:rsidRPr="00DA12F7">
        <w:rPr>
          <w:rFonts w:ascii="Arial" w:hAnsi="Arial" w:cs="Arial"/>
          <w:b/>
          <w:sz w:val="24"/>
        </w:rPr>
        <w:t>3GPP TSG RAN WG1 #</w:t>
      </w:r>
      <w:r w:rsidR="00125DA7">
        <w:rPr>
          <w:rFonts w:ascii="Arial" w:hAnsi="Arial" w:cs="Arial"/>
          <w:b/>
          <w:sz w:val="24"/>
        </w:rPr>
        <w:t>89</w:t>
      </w:r>
      <w:r w:rsidRPr="00DA12F7">
        <w:rPr>
          <w:rFonts w:ascii="Arial" w:hAnsi="Arial" w:cs="Arial"/>
          <w:b/>
          <w:sz w:val="24"/>
        </w:rPr>
        <w:tab/>
      </w:r>
      <w:r w:rsidR="00125DA7">
        <w:rPr>
          <w:rFonts w:ascii="Arial" w:hAnsi="Arial" w:cs="Arial"/>
          <w:b/>
          <w:sz w:val="24"/>
        </w:rPr>
        <w:t>R1-170</w:t>
      </w:r>
      <w:r w:rsidR="00114D22">
        <w:rPr>
          <w:rFonts w:ascii="Arial" w:hAnsi="Arial" w:cs="Arial"/>
          <w:b/>
          <w:sz w:val="24"/>
        </w:rPr>
        <w:t>8624</w:t>
      </w:r>
    </w:p>
    <w:p w14:paraId="50FFBAF8" w14:textId="1EF7396F" w:rsidR="00116B51" w:rsidRPr="00DA12F7" w:rsidRDefault="00125DA7"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002A5A04">
        <w:rPr>
          <w:rFonts w:ascii="Arial" w:hAnsi="Arial" w:cs="Arial"/>
          <w:b/>
          <w:sz w:val="24"/>
          <w:szCs w:val="24"/>
          <w:vertAlign w:val="superscript"/>
        </w:rPr>
        <w:t>th</w:t>
      </w:r>
      <w:r w:rsidR="002C57BB">
        <w:rPr>
          <w:rFonts w:ascii="Arial" w:hAnsi="Arial" w:cs="Arial"/>
          <w:b/>
          <w:sz w:val="24"/>
          <w:szCs w:val="24"/>
        </w:rPr>
        <w:t xml:space="preserve"> – </w:t>
      </w:r>
      <w:r>
        <w:rPr>
          <w:rFonts w:ascii="Arial" w:hAnsi="Arial" w:cs="Arial"/>
          <w:b/>
          <w:sz w:val="24"/>
          <w:szCs w:val="24"/>
        </w:rPr>
        <w:t>19</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5BF4553F" w:rsidR="00116B51" w:rsidRPr="00DA12F7" w:rsidRDefault="00125DA7" w:rsidP="00116B51">
      <w:pPr>
        <w:rPr>
          <w:rFonts w:ascii="Arial" w:hAnsi="Arial" w:cs="Arial"/>
          <w:b/>
          <w:sz w:val="24"/>
          <w:szCs w:val="24"/>
        </w:rPr>
      </w:pPr>
      <w:r>
        <w:rPr>
          <w:rFonts w:ascii="Arial" w:hAnsi="Arial"/>
          <w:b/>
          <w:sz w:val="22"/>
          <w:szCs w:val="22"/>
          <w:lang w:val="en-AU"/>
        </w:rPr>
        <w:t>Hangzhou,</w:t>
      </w:r>
      <w:r w:rsidR="00116B51">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4B45FC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125DA7" w:rsidRPr="00125DA7">
        <w:rPr>
          <w:sz w:val="24"/>
        </w:rPr>
        <w:t>7.1.3.3</w:t>
      </w:r>
      <w:r w:rsidR="006F65DE">
        <w:rPr>
          <w:sz w:val="24"/>
        </w:rPr>
        <w:t>.</w:t>
      </w:r>
      <w:r w:rsidR="00114D22">
        <w:rPr>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577051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114D22">
        <w:rPr>
          <w:rFonts w:ascii="Arial" w:hAnsi="Arial"/>
          <w:sz w:val="24"/>
          <w:szCs w:val="24"/>
        </w:rPr>
        <w:t>Discussion on TB size determination</w:t>
      </w:r>
      <w:r w:rsidR="00125DA7">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19C62EB4" w:rsidR="00491EEE" w:rsidRDefault="00B71659" w:rsidP="00491EEE">
      <w:pPr>
        <w:pStyle w:val="Heading1"/>
      </w:pPr>
      <w:r>
        <w:t xml:space="preserve">1 </w:t>
      </w:r>
      <w:r w:rsidR="00B209B5" w:rsidRPr="00CC27F5">
        <w:t>Introduction</w:t>
      </w:r>
    </w:p>
    <w:p w14:paraId="420B9F92" w14:textId="31AC8962" w:rsidR="00114D22" w:rsidRPr="005A56E0" w:rsidRDefault="00114D22" w:rsidP="00C27AF8">
      <w:pPr>
        <w:jc w:val="both"/>
        <w:rPr>
          <w:rFonts w:eastAsia="Times New Roman"/>
          <w:sz w:val="24"/>
          <w:szCs w:val="24"/>
          <w:lang w:val="en-GB"/>
        </w:rPr>
      </w:pPr>
      <w:r w:rsidRPr="005A56E0">
        <w:rPr>
          <w:rFonts w:eastAsia="Times New Roman"/>
          <w:sz w:val="24"/>
          <w:szCs w:val="24"/>
          <w:lang w:val="en-GB"/>
        </w:rPr>
        <w:t>Transport block (TB) is the data</w:t>
      </w:r>
      <w:r w:rsidR="008212A6">
        <w:rPr>
          <w:rFonts w:eastAsia="Times New Roman"/>
          <w:sz w:val="24"/>
          <w:szCs w:val="24"/>
          <w:lang w:val="en-GB"/>
        </w:rPr>
        <w:t xml:space="preserve"> payload of the physical layer </w:t>
      </w:r>
      <w:r w:rsidRPr="005A56E0">
        <w:rPr>
          <w:rFonts w:eastAsia="Times New Roman"/>
          <w:sz w:val="24"/>
          <w:szCs w:val="24"/>
          <w:lang w:val="en-GB"/>
        </w:rPr>
        <w:t xml:space="preserve">for the shared channels such as PDSCH and PUSCH. In LTE, the size of </w:t>
      </w:r>
      <w:r w:rsidR="008212A6">
        <w:rPr>
          <w:rFonts w:eastAsia="Times New Roman"/>
          <w:sz w:val="24"/>
          <w:szCs w:val="24"/>
          <w:lang w:val="en-GB"/>
        </w:rPr>
        <w:t>the TB was chosen using a table-</w:t>
      </w:r>
      <w:r w:rsidRPr="005A56E0">
        <w:rPr>
          <w:rFonts w:eastAsia="Times New Roman"/>
          <w:sz w:val="24"/>
          <w:szCs w:val="24"/>
          <w:lang w:val="en-GB"/>
        </w:rPr>
        <w:t xml:space="preserve">look-up principle which was derived by making some assumptions on the available resources in each PRB and </w:t>
      </w:r>
      <w:r w:rsidR="00C27AF8" w:rsidRPr="005A56E0">
        <w:rPr>
          <w:rFonts w:eastAsia="Times New Roman"/>
          <w:sz w:val="24"/>
          <w:szCs w:val="24"/>
          <w:lang w:val="en-GB"/>
        </w:rPr>
        <w:t xml:space="preserve">scaling these depending on the chosen modulation and coding scheme. </w:t>
      </w:r>
    </w:p>
    <w:p w14:paraId="76EAFCCC" w14:textId="2FF113C0" w:rsidR="00C27AF8" w:rsidRPr="005A56E0" w:rsidRDefault="00C27AF8" w:rsidP="00C27AF8">
      <w:pPr>
        <w:jc w:val="both"/>
        <w:rPr>
          <w:rFonts w:eastAsia="Times New Roman"/>
          <w:sz w:val="24"/>
          <w:szCs w:val="24"/>
          <w:lang w:val="en-GB"/>
        </w:rPr>
      </w:pPr>
      <w:r w:rsidRPr="005A56E0">
        <w:rPr>
          <w:rFonts w:eastAsia="Times New Roman"/>
          <w:sz w:val="24"/>
          <w:szCs w:val="24"/>
          <w:lang w:val="en-GB"/>
        </w:rPr>
        <w:t xml:space="preserve">In NR such a procedure may need to be revisited for the reasons that we summarize in this contribution. </w:t>
      </w:r>
    </w:p>
    <w:p w14:paraId="488AD007" w14:textId="0DDACFBC" w:rsidR="00491EEE" w:rsidRDefault="002A0B89" w:rsidP="00F30894">
      <w:pPr>
        <w:pStyle w:val="Heading1"/>
        <w:jc w:val="both"/>
      </w:pPr>
      <w:r>
        <w:t xml:space="preserve">2 </w:t>
      </w:r>
      <w:r w:rsidR="004A7390">
        <w:t>Discussion</w:t>
      </w:r>
    </w:p>
    <w:p w14:paraId="49D6A325" w14:textId="46B904C8" w:rsidR="00C27AF8" w:rsidRPr="005A56E0" w:rsidRDefault="003E6581" w:rsidP="00C27AF8">
      <w:pPr>
        <w:jc w:val="both"/>
        <w:rPr>
          <w:rFonts w:eastAsia="Times New Roman"/>
          <w:sz w:val="24"/>
          <w:szCs w:val="24"/>
          <w:lang w:val="en-GB"/>
        </w:rPr>
      </w:pPr>
      <w:r>
        <w:rPr>
          <w:rFonts w:eastAsia="Times New Roman"/>
          <w:sz w:val="24"/>
          <w:szCs w:val="24"/>
          <w:lang w:val="en-GB"/>
        </w:rPr>
        <w:t>Using the</w:t>
      </w:r>
      <w:r w:rsidR="00C27AF8" w:rsidRPr="005A56E0">
        <w:rPr>
          <w:rFonts w:eastAsia="Times New Roman"/>
          <w:sz w:val="24"/>
          <w:szCs w:val="24"/>
          <w:lang w:val="en-GB"/>
        </w:rPr>
        <w:t xml:space="preserve"> </w:t>
      </w:r>
      <w:r>
        <w:rPr>
          <w:rFonts w:eastAsia="Times New Roman"/>
          <w:sz w:val="24"/>
          <w:szCs w:val="24"/>
          <w:lang w:val="en-GB"/>
        </w:rPr>
        <w:t>lookup table-based procedure</w:t>
      </w:r>
      <w:r w:rsidR="00C27AF8" w:rsidRPr="005A56E0">
        <w:rPr>
          <w:rFonts w:eastAsia="Times New Roman"/>
          <w:sz w:val="24"/>
          <w:szCs w:val="24"/>
          <w:lang w:val="en-GB"/>
        </w:rPr>
        <w:t xml:space="preserve"> for NR </w:t>
      </w:r>
      <w:r>
        <w:rPr>
          <w:rFonts w:eastAsia="Times New Roman"/>
          <w:sz w:val="24"/>
          <w:szCs w:val="24"/>
          <w:lang w:val="en-GB"/>
        </w:rPr>
        <w:t>to derive the TB size</w:t>
      </w:r>
      <w:r w:rsidR="00C27AF8" w:rsidRPr="005A56E0">
        <w:rPr>
          <w:rFonts w:eastAsia="Times New Roman"/>
          <w:sz w:val="24"/>
          <w:szCs w:val="24"/>
          <w:lang w:val="en-GB"/>
        </w:rPr>
        <w:t xml:space="preserve">, as it was done in LTE, would require to make some assumptions on the available resources for the data channels and </w:t>
      </w:r>
      <w:r>
        <w:rPr>
          <w:rFonts w:eastAsia="Times New Roman"/>
          <w:sz w:val="24"/>
          <w:szCs w:val="24"/>
          <w:lang w:val="en-GB"/>
        </w:rPr>
        <w:t>a typical</w:t>
      </w:r>
      <w:r w:rsidR="00C27AF8" w:rsidRPr="005A56E0">
        <w:rPr>
          <w:rFonts w:eastAsia="Times New Roman"/>
          <w:sz w:val="24"/>
          <w:szCs w:val="24"/>
          <w:lang w:val="en-GB"/>
        </w:rPr>
        <w:t xml:space="preserve"> number of control/RS symbols</w:t>
      </w:r>
      <w:r>
        <w:rPr>
          <w:rFonts w:eastAsia="Times New Roman"/>
          <w:sz w:val="24"/>
          <w:szCs w:val="24"/>
          <w:lang w:val="en-GB"/>
        </w:rPr>
        <w:t xml:space="preserve"> per PRB</w:t>
      </w:r>
      <w:r w:rsidR="00C27AF8" w:rsidRPr="005A56E0">
        <w:rPr>
          <w:rFonts w:eastAsia="Times New Roman"/>
          <w:sz w:val="24"/>
          <w:szCs w:val="24"/>
          <w:lang w:val="en-GB"/>
        </w:rPr>
        <w:t>. For example, in LTE it was assumed that 3 symbols were used for control, and a specific number of RS per PRB and a specific number</w:t>
      </w:r>
      <w:r w:rsidR="00C36766">
        <w:rPr>
          <w:rFonts w:eastAsia="Times New Roman"/>
          <w:sz w:val="24"/>
          <w:szCs w:val="24"/>
          <w:lang w:val="en-GB"/>
        </w:rPr>
        <w:t xml:space="preserve"> of available symbols per slot in order to de</w:t>
      </w:r>
      <w:r w:rsidR="00E37470">
        <w:rPr>
          <w:rFonts w:eastAsia="Times New Roman"/>
          <w:sz w:val="24"/>
          <w:szCs w:val="24"/>
          <w:lang w:val="en-GB"/>
        </w:rPr>
        <w:t>rive and specify a table in the</w:t>
      </w:r>
      <w:r w:rsidR="00C36766">
        <w:rPr>
          <w:rFonts w:eastAsia="Times New Roman"/>
          <w:sz w:val="24"/>
          <w:szCs w:val="24"/>
          <w:lang w:val="en-GB"/>
        </w:rPr>
        <w:t xml:space="preserve"> specification. </w:t>
      </w:r>
    </w:p>
    <w:p w14:paraId="37BE320C" w14:textId="7D648487" w:rsidR="00C27AF8" w:rsidRPr="005A56E0" w:rsidRDefault="00C27AF8" w:rsidP="00C27AF8">
      <w:pPr>
        <w:jc w:val="both"/>
        <w:rPr>
          <w:rFonts w:eastAsia="Times New Roman"/>
          <w:sz w:val="24"/>
          <w:szCs w:val="24"/>
          <w:lang w:val="en-GB"/>
        </w:rPr>
      </w:pPr>
      <w:r w:rsidRPr="005A56E0">
        <w:rPr>
          <w:rFonts w:eastAsia="Times New Roman"/>
          <w:sz w:val="24"/>
          <w:szCs w:val="24"/>
          <w:lang w:val="en-GB"/>
        </w:rPr>
        <w:t>However, NR is much more configurable than LTE, and there are many reasons for which making any assumptions on reference signal overhead could lead to TB sizes that are not matching well the available resources. To see this</w:t>
      </w:r>
      <w:r w:rsidR="00FC349A">
        <w:rPr>
          <w:rFonts w:eastAsia="Times New Roman"/>
          <w:sz w:val="24"/>
          <w:szCs w:val="24"/>
          <w:lang w:val="en-GB"/>
        </w:rPr>
        <w:t>,</w:t>
      </w:r>
      <w:r w:rsidRPr="005A56E0">
        <w:rPr>
          <w:rFonts w:eastAsia="Times New Roman"/>
          <w:sz w:val="24"/>
          <w:szCs w:val="24"/>
          <w:lang w:val="en-GB"/>
        </w:rPr>
        <w:t xml:space="preserve"> </w:t>
      </w:r>
      <w:r w:rsidR="00FC349A">
        <w:rPr>
          <w:rFonts w:eastAsia="Times New Roman"/>
          <w:sz w:val="24"/>
          <w:szCs w:val="24"/>
          <w:lang w:val="en-GB"/>
        </w:rPr>
        <w:t>note</w:t>
      </w:r>
      <w:r w:rsidRPr="005A56E0">
        <w:rPr>
          <w:rFonts w:eastAsia="Times New Roman"/>
          <w:sz w:val="24"/>
          <w:szCs w:val="24"/>
          <w:lang w:val="en-GB"/>
        </w:rPr>
        <w:t xml:space="preserve"> that:</w:t>
      </w:r>
    </w:p>
    <w:p w14:paraId="68FB8675" w14:textId="4E67C9CC" w:rsidR="00C27AF8" w:rsidRDefault="00C27AF8" w:rsidP="00C27AF8">
      <w:pPr>
        <w:pStyle w:val="ListParagraph"/>
        <w:numPr>
          <w:ilvl w:val="0"/>
          <w:numId w:val="49"/>
        </w:numPr>
        <w:jc w:val="both"/>
        <w:rPr>
          <w:lang w:val="en-GB"/>
        </w:rPr>
      </w:pPr>
      <w:r>
        <w:rPr>
          <w:lang w:val="en-GB"/>
        </w:rPr>
        <w:t>The number of available symbols per slot used for data</w:t>
      </w:r>
      <w:r w:rsidR="00C36766">
        <w:rPr>
          <w:lang w:val="en-GB"/>
        </w:rPr>
        <w:t xml:space="preserve"> scheduling in a slot</w:t>
      </w:r>
      <w:r>
        <w:rPr>
          <w:lang w:val="en-GB"/>
        </w:rPr>
        <w:t xml:space="preserve"> may change dynamically</w:t>
      </w:r>
      <w:r w:rsidR="00C650D9">
        <w:rPr>
          <w:lang w:val="en-GB"/>
        </w:rPr>
        <w:t>.</w:t>
      </w:r>
    </w:p>
    <w:p w14:paraId="507D80C6" w14:textId="0FCC5755" w:rsidR="00C27AF8" w:rsidRDefault="00C27AF8" w:rsidP="00C27AF8">
      <w:pPr>
        <w:pStyle w:val="ListParagraph"/>
        <w:numPr>
          <w:ilvl w:val="0"/>
          <w:numId w:val="49"/>
        </w:numPr>
        <w:jc w:val="both"/>
        <w:rPr>
          <w:lang w:val="en-GB"/>
        </w:rPr>
      </w:pPr>
      <w:r>
        <w:rPr>
          <w:lang w:val="en-GB"/>
        </w:rPr>
        <w:t>The scheduling could be based on 14-symbol</w:t>
      </w:r>
      <w:r w:rsidR="00C36766">
        <w:rPr>
          <w:lang w:val="en-GB"/>
        </w:rPr>
        <w:t>-slot or 7-symbol-slot</w:t>
      </w:r>
      <w:r w:rsidR="003E6581">
        <w:rPr>
          <w:lang w:val="en-GB"/>
        </w:rPr>
        <w:t xml:space="preserve"> or mini-slot, or </w:t>
      </w:r>
      <w:r>
        <w:rPr>
          <w:lang w:val="en-GB"/>
        </w:rPr>
        <w:t xml:space="preserve">aggregated slots where one TB spans across multiple slots. </w:t>
      </w:r>
    </w:p>
    <w:p w14:paraId="240520FF" w14:textId="776B1B14" w:rsidR="00C27AF8" w:rsidRDefault="00C36766" w:rsidP="00C27AF8">
      <w:pPr>
        <w:pStyle w:val="ListParagraph"/>
        <w:numPr>
          <w:ilvl w:val="0"/>
          <w:numId w:val="49"/>
        </w:numPr>
        <w:jc w:val="both"/>
        <w:rPr>
          <w:lang w:val="en-GB"/>
        </w:rPr>
      </w:pPr>
      <w:r>
        <w:rPr>
          <w:lang w:val="en-GB"/>
        </w:rPr>
        <w:t xml:space="preserve">NR </w:t>
      </w:r>
      <w:r w:rsidR="00C27AF8">
        <w:rPr>
          <w:lang w:val="en-GB"/>
        </w:rPr>
        <w:t>DMRS is highly configurable. The front-load</w:t>
      </w:r>
      <w:r w:rsidR="00246B33">
        <w:rPr>
          <w:lang w:val="en-GB"/>
        </w:rPr>
        <w:t xml:space="preserve"> DMRS</w:t>
      </w:r>
      <w:r w:rsidR="00C27AF8">
        <w:rPr>
          <w:lang w:val="en-GB"/>
        </w:rPr>
        <w:t xml:space="preserve"> pattern is 1 or 2 OFDM symbols, and there is always the option to </w:t>
      </w:r>
      <w:r w:rsidR="00246B33">
        <w:rPr>
          <w:lang w:val="en-GB"/>
        </w:rPr>
        <w:t>configure</w:t>
      </w:r>
      <w:r w:rsidR="00C27AF8">
        <w:rPr>
          <w:lang w:val="en-GB"/>
        </w:rPr>
        <w:t xml:space="preserve"> additional DMRS. Current discussion in the MIMO agenda item hint that potentially up to 4 OFDM symbols</w:t>
      </w:r>
      <w:r w:rsidR="00246B33">
        <w:rPr>
          <w:lang w:val="en-GB"/>
        </w:rPr>
        <w:t xml:space="preserve"> in one 14-symbol slot</w:t>
      </w:r>
      <w:r w:rsidR="00C27AF8">
        <w:rPr>
          <w:lang w:val="en-GB"/>
        </w:rPr>
        <w:t xml:space="preserve"> could contain DMRS to handle very high speed scenarios. </w:t>
      </w:r>
      <w:r w:rsidR="005A56E0">
        <w:rPr>
          <w:lang w:val="en-GB"/>
        </w:rPr>
        <w:t>The DMRS pattern w</w:t>
      </w:r>
      <w:r w:rsidR="00246B33">
        <w:rPr>
          <w:lang w:val="en-GB"/>
        </w:rPr>
        <w:t>ould need to support scenarios that contains RS for</w:t>
      </w:r>
      <w:r w:rsidR="005A56E0">
        <w:rPr>
          <w:lang w:val="en-GB"/>
        </w:rPr>
        <w:t xml:space="preserve"> as small as up to 2 ports (for HST scenarios) or up to 12 orthogonal ports</w:t>
      </w:r>
      <w:r w:rsidR="00246B33">
        <w:rPr>
          <w:lang w:val="en-GB"/>
        </w:rPr>
        <w:t xml:space="preserve"> (at least for DL MU-MIMO)</w:t>
      </w:r>
      <w:r w:rsidR="005A56E0">
        <w:rPr>
          <w:lang w:val="en-GB"/>
        </w:rPr>
        <w:t xml:space="preserve">; </w:t>
      </w:r>
      <w:r w:rsidR="00246B33">
        <w:rPr>
          <w:lang w:val="en-GB"/>
        </w:rPr>
        <w:t xml:space="preserve">Note that </w:t>
      </w:r>
      <w:r w:rsidR="005A56E0">
        <w:rPr>
          <w:lang w:val="en-GB"/>
        </w:rPr>
        <w:t xml:space="preserve">each configuration could potentially have a different total overhead. </w:t>
      </w:r>
    </w:p>
    <w:p w14:paraId="1DF5C217" w14:textId="32234F70" w:rsidR="00C27AF8" w:rsidRDefault="00C27AF8" w:rsidP="00C27AF8">
      <w:pPr>
        <w:pStyle w:val="ListParagraph"/>
        <w:numPr>
          <w:ilvl w:val="0"/>
          <w:numId w:val="49"/>
        </w:numPr>
        <w:jc w:val="both"/>
        <w:rPr>
          <w:lang w:val="en-GB"/>
        </w:rPr>
      </w:pPr>
      <w:r>
        <w:rPr>
          <w:lang w:val="en-GB"/>
        </w:rPr>
        <w:t xml:space="preserve">CSIRS overhead is highly configurable and may change dynamically. </w:t>
      </w:r>
      <w:r w:rsidR="00246B33">
        <w:rPr>
          <w:lang w:val="en-GB"/>
        </w:rPr>
        <w:t>Based on t</w:t>
      </w:r>
      <w:r>
        <w:rPr>
          <w:lang w:val="en-GB"/>
        </w:rPr>
        <w:t xml:space="preserve">he current agreements a CSIRS resource may have up to 32 ports, with a density of 1 or ½ (other densities are </w:t>
      </w:r>
      <w:r w:rsidR="00246B33">
        <w:rPr>
          <w:lang w:val="en-GB"/>
        </w:rPr>
        <w:t xml:space="preserve">still </w:t>
      </w:r>
      <w:r>
        <w:rPr>
          <w:lang w:val="en-GB"/>
        </w:rPr>
        <w:t>being discussed), it may span at least 1,</w:t>
      </w:r>
      <w:r w:rsidR="005A56E0">
        <w:rPr>
          <w:lang w:val="en-GB"/>
        </w:rPr>
        <w:t xml:space="preserve"> </w:t>
      </w:r>
      <w:r>
        <w:rPr>
          <w:lang w:val="en-GB"/>
        </w:rPr>
        <w:t xml:space="preserve">2, or 4 OFDM symbols, and multiple CSIRS resources may be configured to a UE. </w:t>
      </w:r>
    </w:p>
    <w:p w14:paraId="55A125A0" w14:textId="36C13E79" w:rsidR="00C27AF8" w:rsidRDefault="00246B33" w:rsidP="00C27AF8">
      <w:pPr>
        <w:pStyle w:val="ListParagraph"/>
        <w:numPr>
          <w:ilvl w:val="0"/>
          <w:numId w:val="49"/>
        </w:numPr>
        <w:jc w:val="both"/>
        <w:rPr>
          <w:lang w:val="en-GB"/>
        </w:rPr>
      </w:pPr>
      <w:r>
        <w:rPr>
          <w:lang w:val="en-GB"/>
        </w:rPr>
        <w:t>The length of control region</w:t>
      </w:r>
      <w:r w:rsidR="005A56E0">
        <w:rPr>
          <w:lang w:val="en-GB"/>
        </w:rPr>
        <w:t xml:space="preserve"> is also being discussed but it seems that it will be at least configurable to 1 or 2 symbols.</w:t>
      </w:r>
    </w:p>
    <w:p w14:paraId="0E092E56" w14:textId="138BFB4D" w:rsidR="005A56E0" w:rsidRDefault="00246B33" w:rsidP="00C27AF8">
      <w:pPr>
        <w:pStyle w:val="ListParagraph"/>
        <w:numPr>
          <w:ilvl w:val="0"/>
          <w:numId w:val="49"/>
        </w:numPr>
        <w:jc w:val="both"/>
        <w:rPr>
          <w:lang w:val="en-GB"/>
        </w:rPr>
      </w:pPr>
      <w:r>
        <w:rPr>
          <w:lang w:val="en-GB"/>
        </w:rPr>
        <w:lastRenderedPageBreak/>
        <w:t>On-demand t</w:t>
      </w:r>
      <w:r w:rsidR="005A56E0">
        <w:rPr>
          <w:lang w:val="en-GB"/>
        </w:rPr>
        <w:t xml:space="preserve">racking RS (TRS), or in general </w:t>
      </w:r>
      <w:r>
        <w:rPr>
          <w:lang w:val="en-GB"/>
        </w:rPr>
        <w:t>an RS</w:t>
      </w:r>
      <w:r w:rsidR="005A56E0">
        <w:rPr>
          <w:lang w:val="en-GB"/>
        </w:rPr>
        <w:t xml:space="preserve"> that would be used for fine time/frequency tracking</w:t>
      </w:r>
      <w:r>
        <w:rPr>
          <w:lang w:val="en-GB"/>
        </w:rPr>
        <w:t xml:space="preserve">, will also be removing resources that are available for NR. </w:t>
      </w:r>
    </w:p>
    <w:p w14:paraId="139F5902" w14:textId="77777777" w:rsidR="005A56E0" w:rsidRDefault="005A56E0" w:rsidP="005A56E0">
      <w:pPr>
        <w:jc w:val="both"/>
        <w:rPr>
          <w:lang w:val="en-GB"/>
        </w:rPr>
      </w:pPr>
    </w:p>
    <w:p w14:paraId="7CC4D3E2" w14:textId="11DC3BD7" w:rsidR="005A56E0" w:rsidRDefault="005A56E0" w:rsidP="005A56E0">
      <w:pPr>
        <w:jc w:val="both"/>
        <w:rPr>
          <w:sz w:val="24"/>
          <w:lang w:val="en-GB"/>
        </w:rPr>
      </w:pPr>
      <w:r>
        <w:rPr>
          <w:sz w:val="24"/>
          <w:lang w:val="en-GB"/>
        </w:rPr>
        <w:t>I</w:t>
      </w:r>
      <w:r w:rsidR="008F5D29">
        <w:rPr>
          <w:sz w:val="24"/>
          <w:lang w:val="en-GB"/>
        </w:rPr>
        <w:t>t is</w:t>
      </w:r>
      <w:r>
        <w:rPr>
          <w:sz w:val="24"/>
          <w:lang w:val="en-GB"/>
        </w:rPr>
        <w:t xml:space="preserve"> already clear from the above and the current agreements in the NR specification work that the available r</w:t>
      </w:r>
      <w:r w:rsidR="00246B33">
        <w:rPr>
          <w:sz w:val="24"/>
          <w:lang w:val="en-GB"/>
        </w:rPr>
        <w:t>esources for the data channel are</w:t>
      </w:r>
      <w:r>
        <w:rPr>
          <w:sz w:val="24"/>
          <w:lang w:val="en-GB"/>
        </w:rPr>
        <w:t xml:space="preserve"> highly configurable</w:t>
      </w:r>
      <w:r w:rsidR="00A04C15">
        <w:rPr>
          <w:sz w:val="24"/>
          <w:lang w:val="en-GB"/>
        </w:rPr>
        <w:t>,</w:t>
      </w:r>
      <w:r>
        <w:rPr>
          <w:sz w:val="24"/>
          <w:lang w:val="en-GB"/>
        </w:rPr>
        <w:t xml:space="preserve"> at least depending on t</w:t>
      </w:r>
      <w:r w:rsidR="00246B33">
        <w:rPr>
          <w:sz w:val="24"/>
          <w:lang w:val="en-GB"/>
        </w:rPr>
        <w:t>he channel conditions, services and</w:t>
      </w:r>
      <w:r>
        <w:rPr>
          <w:sz w:val="24"/>
          <w:lang w:val="en-GB"/>
        </w:rPr>
        <w:t xml:space="preserve"> use case</w:t>
      </w:r>
      <w:r w:rsidR="00246B33">
        <w:rPr>
          <w:sz w:val="24"/>
          <w:lang w:val="en-GB"/>
        </w:rPr>
        <w:t>s</w:t>
      </w:r>
      <w:r>
        <w:rPr>
          <w:sz w:val="24"/>
          <w:lang w:val="en-GB"/>
        </w:rPr>
        <w:t xml:space="preserve">. </w:t>
      </w:r>
      <w:r w:rsidR="00B92904">
        <w:rPr>
          <w:sz w:val="24"/>
          <w:lang w:val="en-GB"/>
        </w:rPr>
        <w:t>U</w:t>
      </w:r>
      <w:r>
        <w:rPr>
          <w:sz w:val="24"/>
          <w:lang w:val="en-GB"/>
        </w:rPr>
        <w:t xml:space="preserve">sing a table approach which makes some assumptions on how many resource elements are available per PRB is </w:t>
      </w:r>
      <w:r w:rsidR="009C073E">
        <w:rPr>
          <w:sz w:val="24"/>
          <w:lang w:val="en-GB"/>
        </w:rPr>
        <w:t>not a clean, forward compatible and optimized solution for NR.</w:t>
      </w:r>
    </w:p>
    <w:p w14:paraId="45815EE4" w14:textId="732C5297" w:rsidR="009C073E" w:rsidRPr="009C073E" w:rsidRDefault="009C073E" w:rsidP="005A56E0">
      <w:pPr>
        <w:jc w:val="both"/>
        <w:rPr>
          <w:i/>
          <w:sz w:val="24"/>
          <w:lang w:val="en-GB"/>
        </w:rPr>
      </w:pPr>
      <w:r w:rsidRPr="009C073E">
        <w:rPr>
          <w:b/>
          <w:i/>
          <w:sz w:val="24"/>
          <w:lang w:val="en-GB"/>
        </w:rPr>
        <w:t xml:space="preserve">Observation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A table-based look up approach for TB determination is not a forward compatible and e</w:t>
      </w:r>
      <w:r w:rsidR="002809C9">
        <w:rPr>
          <w:b/>
          <w:i/>
          <w:sz w:val="24"/>
          <w:lang w:val="en-GB"/>
        </w:rPr>
        <w:t>asily configurable way for NR</w:t>
      </w:r>
      <w:r w:rsidRPr="009C073E">
        <w:rPr>
          <w:b/>
          <w:i/>
          <w:sz w:val="24"/>
          <w:lang w:val="en-GB"/>
        </w:rPr>
        <w:t>.</w:t>
      </w:r>
    </w:p>
    <w:p w14:paraId="42AABA3A" w14:textId="75FABAD0" w:rsidR="00347508" w:rsidRDefault="009C073E" w:rsidP="005A56E0">
      <w:pPr>
        <w:jc w:val="both"/>
        <w:rPr>
          <w:sz w:val="24"/>
          <w:lang w:val="en-GB"/>
        </w:rPr>
      </w:pPr>
      <w:r>
        <w:rPr>
          <w:sz w:val="24"/>
          <w:lang w:val="en-GB"/>
        </w:rPr>
        <w:t xml:space="preserve">On the other hand, </w:t>
      </w:r>
      <w:r w:rsidR="00B92904">
        <w:rPr>
          <w:sz w:val="24"/>
          <w:lang w:val="en-GB"/>
        </w:rPr>
        <w:t>a UE-specifically configure</w:t>
      </w:r>
      <w:r>
        <w:rPr>
          <w:sz w:val="24"/>
          <w:lang w:val="en-GB"/>
        </w:rPr>
        <w:t>d</w:t>
      </w:r>
      <w:r w:rsidR="00B92904">
        <w:rPr>
          <w:sz w:val="24"/>
          <w:lang w:val="en-GB"/>
        </w:rPr>
        <w:t xml:space="preserve"> number that can be used by both the gNB and the UE to determine the TB size would be a highly flexible and simple approach to </w:t>
      </w:r>
      <w:r w:rsidR="00347508">
        <w:rPr>
          <w:sz w:val="24"/>
          <w:lang w:val="en-GB"/>
        </w:rPr>
        <w:t>solve this problem. For example,</w:t>
      </w:r>
      <w:r>
        <w:rPr>
          <w:sz w:val="24"/>
          <w:lang w:val="en-GB"/>
        </w:rPr>
        <w:t xml:space="preserve"> the gNB could be</w:t>
      </w:r>
      <w:r w:rsidR="00347508">
        <w:rPr>
          <w:sz w:val="24"/>
          <w:lang w:val="en-GB"/>
        </w:rPr>
        <w:t xml:space="preserve"> configure each UE with a nominal value of available resource elements per PRB and then both the UE and the gNB use this v</w:t>
      </w:r>
      <w:r>
        <w:rPr>
          <w:sz w:val="24"/>
          <w:lang w:val="en-GB"/>
        </w:rPr>
        <w:t>alue to determine the TB size for</w:t>
      </w:r>
      <w:r w:rsidR="00347508">
        <w:rPr>
          <w:sz w:val="24"/>
          <w:lang w:val="en-GB"/>
        </w:rPr>
        <w:t xml:space="preserve"> each </w:t>
      </w:r>
      <w:r>
        <w:rPr>
          <w:sz w:val="24"/>
          <w:lang w:val="en-GB"/>
        </w:rPr>
        <w:t>scheduling unit</w:t>
      </w:r>
      <w:r w:rsidR="00347508">
        <w:rPr>
          <w:sz w:val="24"/>
          <w:lang w:val="en-GB"/>
        </w:rPr>
        <w:t xml:space="preserve">. Then, depending on the service, use case and/or the channel conditions, </w:t>
      </w:r>
      <w:r>
        <w:rPr>
          <w:sz w:val="24"/>
          <w:lang w:val="en-GB"/>
        </w:rPr>
        <w:t xml:space="preserve">or any other factors, the gNB </w:t>
      </w:r>
      <w:r w:rsidR="00347508">
        <w:rPr>
          <w:sz w:val="24"/>
          <w:lang w:val="en-GB"/>
        </w:rPr>
        <w:t>will have the flexibility to configure a different nominal value of available resource elements to be u</w:t>
      </w:r>
      <w:r>
        <w:rPr>
          <w:sz w:val="24"/>
          <w:lang w:val="en-GB"/>
        </w:rPr>
        <w:t xml:space="preserve">sed for determining the TB size for a specific UE. </w:t>
      </w:r>
      <w:r w:rsidR="00347508">
        <w:rPr>
          <w:sz w:val="24"/>
          <w:lang w:val="en-GB"/>
        </w:rPr>
        <w:t xml:space="preserve"> </w:t>
      </w:r>
    </w:p>
    <w:p w14:paraId="0E972053" w14:textId="77777777" w:rsidR="007B7038" w:rsidRDefault="00F913D0" w:rsidP="007B7038">
      <w:pPr>
        <w:spacing w:after="0"/>
        <w:jc w:val="both"/>
        <w:rPr>
          <w:sz w:val="24"/>
          <w:lang w:val="en-GB"/>
        </w:rPr>
      </w:pPr>
      <w:r>
        <w:rPr>
          <w:sz w:val="24"/>
          <w:lang w:val="en-GB"/>
        </w:rPr>
        <w:t xml:space="preserve">Note that this value would only correspond to some typical slot configuration that is close to the number of available resources that are likely to eventually exist in the scheduling unit. </w:t>
      </w:r>
    </w:p>
    <w:p w14:paraId="5E8958CB" w14:textId="77777777" w:rsidR="007B7038" w:rsidRDefault="00347508" w:rsidP="007B7038">
      <w:pPr>
        <w:pStyle w:val="ListParagraph"/>
        <w:numPr>
          <w:ilvl w:val="0"/>
          <w:numId w:val="50"/>
        </w:numPr>
        <w:jc w:val="both"/>
        <w:rPr>
          <w:lang w:val="en-GB"/>
        </w:rPr>
      </w:pPr>
      <w:r w:rsidRPr="007B7038">
        <w:rPr>
          <w:lang w:val="en-GB"/>
        </w:rPr>
        <w:t>For example, in a</w:t>
      </w:r>
      <w:r w:rsidR="00EB14F4" w:rsidRPr="007B7038">
        <w:rPr>
          <w:lang w:val="en-GB"/>
        </w:rPr>
        <w:t xml:space="preserve"> small cell</w:t>
      </w:r>
      <w:r w:rsidRPr="007B7038">
        <w:rPr>
          <w:lang w:val="en-GB"/>
        </w:rPr>
        <w:t xml:space="preserve"> MU-MIMO scenario where </w:t>
      </w:r>
      <w:r w:rsidR="00EB14F4" w:rsidRPr="007B7038">
        <w:rPr>
          <w:lang w:val="en-GB"/>
        </w:rPr>
        <w:t>potentially more</w:t>
      </w:r>
      <w:r w:rsidRPr="007B7038">
        <w:rPr>
          <w:lang w:val="en-GB"/>
        </w:rPr>
        <w:t xml:space="preserve"> resources are used for DMRS, the gNB could configure the UEs with a smaller nominal value of resources per PRB</w:t>
      </w:r>
      <w:r w:rsidR="007B7038" w:rsidRPr="007B7038">
        <w:rPr>
          <w:lang w:val="en-GB"/>
        </w:rPr>
        <w:t xml:space="preserve"> assuming that always 2 full symbols will be used for DMRS</w:t>
      </w:r>
      <w:r w:rsidRPr="007B7038">
        <w:rPr>
          <w:lang w:val="en-GB"/>
        </w:rPr>
        <w:t xml:space="preserve">. </w:t>
      </w:r>
    </w:p>
    <w:p w14:paraId="7E8F4BF6" w14:textId="56203F4F" w:rsidR="00347508" w:rsidRDefault="00347508" w:rsidP="007B7038">
      <w:pPr>
        <w:pStyle w:val="ListParagraph"/>
        <w:numPr>
          <w:ilvl w:val="0"/>
          <w:numId w:val="50"/>
        </w:numPr>
        <w:jc w:val="both"/>
        <w:rPr>
          <w:lang w:val="en-GB"/>
        </w:rPr>
      </w:pPr>
      <w:r w:rsidRPr="007B7038">
        <w:rPr>
          <w:lang w:val="en-GB"/>
        </w:rPr>
        <w:t xml:space="preserve">In a scenario where a UE is receiving URLLC service, then </w:t>
      </w:r>
      <w:r w:rsidR="00EB14F4" w:rsidRPr="007B7038">
        <w:rPr>
          <w:lang w:val="en-GB"/>
        </w:rPr>
        <w:t>scheduling</w:t>
      </w:r>
      <w:r w:rsidRPr="007B7038">
        <w:rPr>
          <w:lang w:val="en-GB"/>
        </w:rPr>
        <w:t xml:space="preserve"> </w:t>
      </w:r>
      <w:r w:rsidR="00EB14F4" w:rsidRPr="007B7038">
        <w:rPr>
          <w:lang w:val="en-GB"/>
        </w:rPr>
        <w:t>will happen in</w:t>
      </w:r>
      <w:r w:rsidRPr="007B7038">
        <w:rPr>
          <w:lang w:val="en-GB"/>
        </w:rPr>
        <w:t xml:space="preserve"> </w:t>
      </w:r>
      <w:r w:rsidR="00EB14F4" w:rsidRPr="007B7038">
        <w:rPr>
          <w:lang w:val="en-GB"/>
        </w:rPr>
        <w:t>a mini-slot unit (e.g., of the order of 2 OFDM symbols), which means that only a fraction of resources are available for data compared to a t</w:t>
      </w:r>
      <w:r w:rsidR="009E2C80" w:rsidRPr="007B7038">
        <w:rPr>
          <w:lang w:val="en-GB"/>
        </w:rPr>
        <w:t xml:space="preserve">ypical 14-symbol slot scheduling interval. </w:t>
      </w:r>
    </w:p>
    <w:p w14:paraId="1B04AE3F" w14:textId="386B739E" w:rsidR="007B7038" w:rsidRPr="007B7038" w:rsidRDefault="007B7038" w:rsidP="007B7038">
      <w:pPr>
        <w:pStyle w:val="ListParagraph"/>
        <w:numPr>
          <w:ilvl w:val="0"/>
          <w:numId w:val="50"/>
        </w:numPr>
        <w:jc w:val="both"/>
        <w:rPr>
          <w:lang w:val="en-GB"/>
        </w:rPr>
      </w:pPr>
      <w:r>
        <w:rPr>
          <w:lang w:val="en-GB"/>
        </w:rPr>
        <w:t xml:space="preserve">In a scenario where the user </w:t>
      </w:r>
      <w:bookmarkStart w:id="2" w:name="_GoBack"/>
      <w:bookmarkEnd w:id="2"/>
      <w:r>
        <w:rPr>
          <w:lang w:val="en-GB"/>
        </w:rPr>
        <w:t xml:space="preserve">multiplexing is happening through TDMing, then the scheduler could configure the UE with a nominal number of resources that correspond to only X OFDM symbols of data. </w:t>
      </w:r>
    </w:p>
    <w:p w14:paraId="43A5F49A" w14:textId="77777777" w:rsidR="00CF3E27" w:rsidRDefault="009E2C80" w:rsidP="005A56E0">
      <w:pPr>
        <w:jc w:val="both"/>
        <w:rPr>
          <w:sz w:val="24"/>
          <w:lang w:val="en-GB"/>
        </w:rPr>
      </w:pPr>
      <w:r>
        <w:rPr>
          <w:sz w:val="24"/>
          <w:lang w:val="en-GB"/>
        </w:rPr>
        <w:t xml:space="preserve">Note that using this UE-specifically configured nominal value of available resources, both the transmitter and the receiver </w:t>
      </w:r>
      <w:r w:rsidR="005F7BCF">
        <w:rPr>
          <w:sz w:val="24"/>
          <w:lang w:val="en-GB"/>
        </w:rPr>
        <w:t>may</w:t>
      </w:r>
      <w:r>
        <w:rPr>
          <w:sz w:val="24"/>
          <w:lang w:val="en-GB"/>
        </w:rPr>
        <w:t xml:space="preserve"> compute the </w:t>
      </w:r>
      <w:r w:rsidR="005F7BCF">
        <w:rPr>
          <w:sz w:val="24"/>
          <w:lang w:val="en-GB"/>
        </w:rPr>
        <w:t xml:space="preserve">TB size using a simple formula: </w:t>
      </w:r>
      <w:r w:rsidR="00FC349A">
        <w:rPr>
          <w:sz w:val="24"/>
          <w:lang w:val="en-GB"/>
        </w:rPr>
        <w:t xml:space="preserve">by </w:t>
      </w:r>
      <w:r w:rsidR="005F7BCF">
        <w:rPr>
          <w:sz w:val="24"/>
          <w:lang w:val="en-GB"/>
        </w:rPr>
        <w:t>multiplying it</w:t>
      </w:r>
      <w:r>
        <w:rPr>
          <w:sz w:val="24"/>
          <w:lang w:val="en-GB"/>
        </w:rPr>
        <w:t xml:space="preserve"> by the number of </w:t>
      </w:r>
      <w:r w:rsidR="005F7BCF">
        <w:rPr>
          <w:sz w:val="24"/>
          <w:lang w:val="en-GB"/>
        </w:rPr>
        <w:t>layers</w:t>
      </w:r>
      <w:r>
        <w:rPr>
          <w:sz w:val="24"/>
          <w:lang w:val="en-GB"/>
        </w:rPr>
        <w:t xml:space="preserve">, </w:t>
      </w:r>
      <w:r w:rsidR="005F7BCF">
        <w:rPr>
          <w:sz w:val="24"/>
          <w:lang w:val="en-GB"/>
        </w:rPr>
        <w:t xml:space="preserve">the </w:t>
      </w:r>
      <w:r>
        <w:rPr>
          <w:sz w:val="24"/>
          <w:lang w:val="en-GB"/>
        </w:rPr>
        <w:t xml:space="preserve">number of bits per QAM symbol and </w:t>
      </w:r>
      <w:r w:rsidR="007B7038">
        <w:rPr>
          <w:sz w:val="24"/>
          <w:lang w:val="en-GB"/>
        </w:rPr>
        <w:t>the coding rate</w:t>
      </w:r>
      <w:r w:rsidR="005F7BCF">
        <w:rPr>
          <w:sz w:val="24"/>
          <w:lang w:val="en-GB"/>
        </w:rPr>
        <w:t xml:space="preserve">. </w:t>
      </w:r>
    </w:p>
    <w:p w14:paraId="37318DDB" w14:textId="68F9F1F8" w:rsidR="005F7BCF" w:rsidRDefault="00CF3E27" w:rsidP="005A56E0">
      <w:pPr>
        <w:jc w:val="both"/>
        <w:rPr>
          <w:sz w:val="24"/>
          <w:lang w:val="en-GB"/>
        </w:rPr>
      </w:pPr>
      <w:r>
        <w:rPr>
          <w:sz w:val="24"/>
          <w:lang w:val="en-GB"/>
        </w:rPr>
        <w:t xml:space="preserve">Such a solution </w:t>
      </w:r>
      <w:r w:rsidR="00C0102A">
        <w:rPr>
          <w:sz w:val="24"/>
          <w:lang w:val="en-GB"/>
        </w:rPr>
        <w:t>could</w:t>
      </w:r>
      <w:r>
        <w:rPr>
          <w:sz w:val="24"/>
          <w:lang w:val="en-GB"/>
        </w:rPr>
        <w:t xml:space="preserve"> remove the need of a table in the specification, by introducing some additional, most likely, semi-static and UE-specific signalling without any </w:t>
      </w:r>
      <w:r w:rsidR="002859F7">
        <w:rPr>
          <w:sz w:val="24"/>
          <w:lang w:val="en-GB"/>
        </w:rPr>
        <w:t>additional</w:t>
      </w:r>
      <w:r>
        <w:rPr>
          <w:sz w:val="24"/>
          <w:lang w:val="en-GB"/>
        </w:rPr>
        <w:t xml:space="preserve"> spec impact. </w:t>
      </w:r>
    </w:p>
    <w:p w14:paraId="61651C2B" w14:textId="30FCD263" w:rsidR="005F7BCF" w:rsidRPr="009C073E" w:rsidRDefault="005F7BCF" w:rsidP="005A56E0">
      <w:pPr>
        <w:jc w:val="both"/>
        <w:rPr>
          <w:i/>
          <w:sz w:val="24"/>
          <w:lang w:val="en-GB"/>
        </w:rPr>
      </w:pPr>
      <w:r w:rsidRPr="009C073E">
        <w:rPr>
          <w:b/>
          <w:i/>
          <w:sz w:val="24"/>
          <w:lang w:val="en-GB"/>
        </w:rPr>
        <w:t xml:space="preserve">Proposal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xml:space="preserve">: </w:t>
      </w:r>
      <w:r w:rsidR="00E725F9" w:rsidRPr="00E725F9">
        <w:rPr>
          <w:b/>
          <w:i/>
          <w:sz w:val="24"/>
          <w:lang w:val="en-GB"/>
        </w:rPr>
        <w:t>TB size determination in NR for both DL and UL data channel should consider using a configurable nominal number of available resource elements for data transmission, rather than using the “look up” table approach used for LTE.</w:t>
      </w:r>
    </w:p>
    <w:p w14:paraId="2F77E7C7" w14:textId="457AF7EF" w:rsidR="00491EEE" w:rsidRDefault="004A7390" w:rsidP="00B92904">
      <w:pPr>
        <w:pStyle w:val="Heading1"/>
        <w:ind w:left="0" w:firstLine="0"/>
        <w:jc w:val="both"/>
      </w:pPr>
      <w:r>
        <w:t>3</w:t>
      </w:r>
      <w:r w:rsidR="00641519">
        <w:t xml:space="preserve"> </w:t>
      </w:r>
      <w:r w:rsidR="00491EEE" w:rsidRPr="00E05A22">
        <w:t xml:space="preserve">Conclusions </w:t>
      </w:r>
    </w:p>
    <w:p w14:paraId="23BB32AD" w14:textId="77777777" w:rsidR="00615EE8" w:rsidRPr="009C073E" w:rsidRDefault="00615EE8" w:rsidP="00615EE8">
      <w:pPr>
        <w:jc w:val="both"/>
        <w:rPr>
          <w:i/>
          <w:sz w:val="24"/>
          <w:lang w:val="en-GB"/>
        </w:rPr>
      </w:pPr>
      <w:r w:rsidRPr="009C073E">
        <w:rPr>
          <w:b/>
          <w:i/>
          <w:sz w:val="24"/>
          <w:lang w:val="en-GB"/>
        </w:rPr>
        <w:t xml:space="preserve">Observation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A table-based look up approach for TB determination is not a forward compatible and e</w:t>
      </w:r>
      <w:r>
        <w:rPr>
          <w:b/>
          <w:i/>
          <w:sz w:val="24"/>
          <w:lang w:val="en-GB"/>
        </w:rPr>
        <w:t>asily configurable way for NR</w:t>
      </w:r>
      <w:r w:rsidRPr="009C073E">
        <w:rPr>
          <w:b/>
          <w:i/>
          <w:sz w:val="24"/>
          <w:lang w:val="en-GB"/>
        </w:rPr>
        <w:t>.</w:t>
      </w:r>
    </w:p>
    <w:p w14:paraId="731D85CD" w14:textId="794EA6E6" w:rsidR="00D74635" w:rsidRPr="005A56E0" w:rsidRDefault="009C073E" w:rsidP="005A56E0">
      <w:pPr>
        <w:jc w:val="both"/>
        <w:rPr>
          <w:rFonts w:eastAsia="Times New Roman"/>
          <w:sz w:val="24"/>
          <w:szCs w:val="24"/>
          <w:lang w:val="en-GB"/>
        </w:rPr>
      </w:pPr>
      <w:r>
        <w:rPr>
          <w:rFonts w:eastAsia="Times New Roman"/>
          <w:sz w:val="24"/>
          <w:szCs w:val="24"/>
          <w:lang w:val="en-GB"/>
        </w:rPr>
        <w:t>W</w:t>
      </w:r>
      <w:r w:rsidR="00474DBC" w:rsidRPr="005A56E0">
        <w:rPr>
          <w:rFonts w:eastAsia="Times New Roman"/>
          <w:sz w:val="24"/>
          <w:szCs w:val="24"/>
          <w:lang w:val="en-GB"/>
        </w:rPr>
        <w:t xml:space="preserve">e </w:t>
      </w:r>
      <w:r w:rsidR="00347508">
        <w:rPr>
          <w:rFonts w:eastAsia="Times New Roman"/>
          <w:sz w:val="24"/>
          <w:szCs w:val="24"/>
          <w:lang w:val="en-GB"/>
        </w:rPr>
        <w:t>make the following proposal regarding the TB size determination for NR:</w:t>
      </w:r>
    </w:p>
    <w:p w14:paraId="461DD909" w14:textId="0290B09E" w:rsidR="00CF3E27" w:rsidRPr="009C073E" w:rsidRDefault="00CF3E27" w:rsidP="00CF3E27">
      <w:pPr>
        <w:jc w:val="both"/>
        <w:rPr>
          <w:i/>
          <w:sz w:val="24"/>
          <w:lang w:val="en-GB"/>
        </w:rPr>
      </w:pPr>
      <w:r w:rsidRPr="009C073E">
        <w:rPr>
          <w:b/>
          <w:i/>
          <w:sz w:val="24"/>
          <w:lang w:val="en-GB"/>
        </w:rPr>
        <w:t xml:space="preserve">Proposal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xml:space="preserve">: </w:t>
      </w:r>
      <w:r w:rsidR="00E725F9" w:rsidRPr="00E725F9">
        <w:rPr>
          <w:b/>
          <w:i/>
          <w:sz w:val="24"/>
          <w:lang w:val="en-GB"/>
        </w:rPr>
        <w:t>TB size determination in NR for both DL and UL data channel should consider using a configurable nominal number of available resource elements for data transmission, rather than using the “look up” table approach used for LTE.</w:t>
      </w:r>
    </w:p>
    <w:p w14:paraId="05672CF7" w14:textId="1364E206" w:rsidR="00273D5D" w:rsidRPr="000A64D8" w:rsidRDefault="00641519" w:rsidP="00273D5D">
      <w:pPr>
        <w:pStyle w:val="Heading1"/>
        <w:ind w:left="432" w:hanging="432"/>
        <w:rPr>
          <w:lang w:val="en-US"/>
        </w:rPr>
      </w:pPr>
      <w:r>
        <w:rPr>
          <w:lang w:val="en-US"/>
        </w:rPr>
        <w:lastRenderedPageBreak/>
        <w:t xml:space="preserve">4 </w:t>
      </w:r>
      <w:r w:rsidR="00273D5D" w:rsidRPr="000A64D8">
        <w:rPr>
          <w:lang w:val="en-US"/>
        </w:rPr>
        <w:t>References</w:t>
      </w:r>
    </w:p>
    <w:p w14:paraId="0117461B" w14:textId="5E7BF656" w:rsidR="00C77113" w:rsidRPr="009C073E" w:rsidRDefault="00273D5D" w:rsidP="009C073E">
      <w:pPr>
        <w:numPr>
          <w:ilvl w:val="0"/>
          <w:numId w:val="48"/>
        </w:numPr>
        <w:spacing w:before="100" w:beforeAutospacing="1" w:after="100" w:afterAutospacing="1"/>
        <w:ind w:left="562" w:hanging="562"/>
        <w:rPr>
          <w:rFonts w:eastAsia="Times New Roman"/>
          <w:sz w:val="24"/>
          <w:szCs w:val="24"/>
          <w:lang w:val="en-GB"/>
        </w:rPr>
      </w:pPr>
      <w:bookmarkStart w:id="3" w:name="_Ref474112695"/>
      <w:r w:rsidRPr="002D0A0E">
        <w:rPr>
          <w:rFonts w:eastAsia="Times New Roman"/>
          <w:sz w:val="24"/>
          <w:szCs w:val="24"/>
          <w:lang w:val="en-GB"/>
        </w:rPr>
        <w:t>Chairman’s Notes, RAN1 #88bis, April 2017, Spokane, USA.</w:t>
      </w:r>
      <w:bookmarkEnd w:id="3"/>
    </w:p>
    <w:sectPr w:rsidR="00C77113" w:rsidRPr="009C073E"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EE1EF" w14:textId="77777777" w:rsidR="007232FB" w:rsidRDefault="007232FB">
      <w:r>
        <w:separator/>
      </w:r>
    </w:p>
  </w:endnote>
  <w:endnote w:type="continuationSeparator" w:id="0">
    <w:p w14:paraId="518CAF30" w14:textId="77777777" w:rsidR="007232FB" w:rsidRDefault="007232FB">
      <w:r>
        <w:continuationSeparator/>
      </w:r>
    </w:p>
  </w:endnote>
  <w:endnote w:type="continuationNotice" w:id="1">
    <w:p w14:paraId="60875D04" w14:textId="77777777" w:rsidR="007232FB" w:rsidRDefault="00723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E9CA0F1"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59F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59F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8E92A" w14:textId="77777777" w:rsidR="007232FB" w:rsidRDefault="007232FB">
      <w:r>
        <w:separator/>
      </w:r>
    </w:p>
  </w:footnote>
  <w:footnote w:type="continuationSeparator" w:id="0">
    <w:p w14:paraId="358A3A34" w14:textId="77777777" w:rsidR="007232FB" w:rsidRDefault="007232FB">
      <w:r>
        <w:continuationSeparator/>
      </w:r>
    </w:p>
  </w:footnote>
  <w:footnote w:type="continuationNotice" w:id="1">
    <w:p w14:paraId="5A9FA08A" w14:textId="77777777" w:rsidR="007232FB" w:rsidRDefault="007232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0103E"/>
    <w:multiLevelType w:val="hybridMultilevel"/>
    <w:tmpl w:val="8C36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C17E5"/>
    <w:multiLevelType w:val="hybridMultilevel"/>
    <w:tmpl w:val="D0D0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70C9F"/>
    <w:multiLevelType w:val="hybridMultilevel"/>
    <w:tmpl w:val="B652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2"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cs="Times New Roman" w:hint="default"/>
      </w:rPr>
    </w:lvl>
    <w:lvl w:ilvl="1" w:tplc="DCB6E3E2">
      <w:start w:val="1216"/>
      <w:numFmt w:val="bullet"/>
      <w:lvlText w:val="–"/>
      <w:lvlJc w:val="left"/>
      <w:pPr>
        <w:tabs>
          <w:tab w:val="num" w:pos="1440"/>
        </w:tabs>
        <w:ind w:left="1440" w:hanging="360"/>
      </w:pPr>
      <w:rPr>
        <w:rFonts w:ascii="Arial" w:hAnsi="Arial" w:cs="Times New Roman" w:hint="default"/>
      </w:rPr>
    </w:lvl>
    <w:lvl w:ilvl="2" w:tplc="F426100C">
      <w:start w:val="1216"/>
      <w:numFmt w:val="bullet"/>
      <w:lvlText w:val="•"/>
      <w:lvlJc w:val="left"/>
      <w:pPr>
        <w:tabs>
          <w:tab w:val="num" w:pos="2160"/>
        </w:tabs>
        <w:ind w:left="2160" w:hanging="360"/>
      </w:pPr>
      <w:rPr>
        <w:rFonts w:ascii="Arial" w:hAnsi="Arial" w:cs="Times New Roman" w:hint="default"/>
      </w:rPr>
    </w:lvl>
    <w:lvl w:ilvl="3" w:tplc="D9C860DC">
      <w:start w:val="1"/>
      <w:numFmt w:val="decimal"/>
      <w:lvlText w:val="%4."/>
      <w:lvlJc w:val="left"/>
      <w:pPr>
        <w:tabs>
          <w:tab w:val="num" w:pos="2880"/>
        </w:tabs>
        <w:ind w:left="2880" w:hanging="360"/>
      </w:pPr>
    </w:lvl>
    <w:lvl w:ilvl="4" w:tplc="5B9250E2">
      <w:start w:val="1"/>
      <w:numFmt w:val="decimal"/>
      <w:lvlText w:val="%5."/>
      <w:lvlJc w:val="left"/>
      <w:pPr>
        <w:tabs>
          <w:tab w:val="num" w:pos="3600"/>
        </w:tabs>
        <w:ind w:left="3600" w:hanging="360"/>
      </w:pPr>
    </w:lvl>
    <w:lvl w:ilvl="5" w:tplc="6AEA2738">
      <w:start w:val="1"/>
      <w:numFmt w:val="decimal"/>
      <w:lvlText w:val="%6."/>
      <w:lvlJc w:val="left"/>
      <w:pPr>
        <w:tabs>
          <w:tab w:val="num" w:pos="4320"/>
        </w:tabs>
        <w:ind w:left="4320" w:hanging="360"/>
      </w:pPr>
    </w:lvl>
    <w:lvl w:ilvl="6" w:tplc="FFE82A02">
      <w:start w:val="1"/>
      <w:numFmt w:val="decimal"/>
      <w:lvlText w:val="%7."/>
      <w:lvlJc w:val="left"/>
      <w:pPr>
        <w:tabs>
          <w:tab w:val="num" w:pos="5040"/>
        </w:tabs>
        <w:ind w:left="5040" w:hanging="360"/>
      </w:pPr>
    </w:lvl>
    <w:lvl w:ilvl="7" w:tplc="043A9FE6">
      <w:start w:val="1"/>
      <w:numFmt w:val="decimal"/>
      <w:lvlText w:val="%8."/>
      <w:lvlJc w:val="left"/>
      <w:pPr>
        <w:tabs>
          <w:tab w:val="num" w:pos="5760"/>
        </w:tabs>
        <w:ind w:left="5760" w:hanging="360"/>
      </w:pPr>
    </w:lvl>
    <w:lvl w:ilvl="8" w:tplc="D95AD87C">
      <w:start w:val="1"/>
      <w:numFmt w:val="decimal"/>
      <w:lvlText w:val="%9."/>
      <w:lvlJc w:val="left"/>
      <w:pPr>
        <w:tabs>
          <w:tab w:val="num" w:pos="6480"/>
        </w:tabs>
        <w:ind w:left="6480" w:hanging="360"/>
      </w:pPr>
    </w:lvl>
  </w:abstractNum>
  <w:abstractNum w:abstractNumId="1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D607E5"/>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4B5C1A"/>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62A31"/>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4BA05F7"/>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852CF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3"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C452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167D39"/>
    <w:multiLevelType w:val="hybridMultilevel"/>
    <w:tmpl w:val="090EB8D6"/>
    <w:lvl w:ilvl="0" w:tplc="5C9EB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20"/>
  </w:num>
  <w:num w:numId="2">
    <w:abstractNumId w:val="4"/>
  </w:num>
  <w:num w:numId="3">
    <w:abstractNumId w:val="29"/>
  </w:num>
  <w:num w:numId="4">
    <w:abstractNumId w:val="3"/>
  </w:num>
  <w:num w:numId="5">
    <w:abstractNumId w:val="16"/>
  </w:num>
  <w:num w:numId="6">
    <w:abstractNumId w:val="44"/>
  </w:num>
  <w:num w:numId="7">
    <w:abstractNumId w:val="22"/>
  </w:num>
  <w:num w:numId="8">
    <w:abstractNumId w:val="24"/>
  </w:num>
  <w:num w:numId="9">
    <w:abstractNumId w:val="21"/>
  </w:num>
  <w:num w:numId="10">
    <w:abstractNumId w:val="36"/>
  </w:num>
  <w:num w:numId="11">
    <w:abstractNumId w:val="6"/>
  </w:num>
  <w:num w:numId="12">
    <w:abstractNumId w:val="17"/>
  </w:num>
  <w:num w:numId="13">
    <w:abstractNumId w:val="10"/>
  </w:num>
  <w:num w:numId="14">
    <w:abstractNumId w:val="12"/>
  </w:num>
  <w:num w:numId="15">
    <w:abstractNumId w:val="31"/>
  </w:num>
  <w:num w:numId="16">
    <w:abstractNumId w:val="34"/>
  </w:num>
  <w:num w:numId="17">
    <w:abstractNumId w:val="14"/>
  </w:num>
  <w:num w:numId="18">
    <w:abstractNumId w:val="45"/>
  </w:num>
  <w:num w:numId="19">
    <w:abstractNumId w:val="32"/>
  </w:num>
  <w:num w:numId="20">
    <w:abstractNumId w:val="35"/>
  </w:num>
  <w:num w:numId="21">
    <w:abstractNumId w:val="13"/>
  </w:num>
  <w:num w:numId="22">
    <w:abstractNumId w:val="40"/>
  </w:num>
  <w:num w:numId="23">
    <w:abstractNumId w:val="39"/>
  </w:num>
  <w:num w:numId="24">
    <w:abstractNumId w:val="26"/>
  </w:num>
  <w:num w:numId="25">
    <w:abstractNumId w:val="1"/>
  </w:num>
  <w:num w:numId="26">
    <w:abstractNumId w:val="5"/>
  </w:num>
  <w:num w:numId="27">
    <w:abstractNumId w:val="38"/>
  </w:num>
  <w:num w:numId="28">
    <w:abstractNumId w:val="27"/>
  </w:num>
  <w:num w:numId="29">
    <w:abstractNumId w:val="23"/>
  </w:num>
  <w:num w:numId="30">
    <w:abstractNumId w:val="33"/>
  </w:num>
  <w:num w:numId="31">
    <w:abstractNumId w:val="48"/>
  </w:num>
  <w:num w:numId="32">
    <w:abstractNumId w:val="9"/>
  </w:num>
  <w:num w:numId="33">
    <w:abstractNumId w:val="47"/>
  </w:num>
  <w:num w:numId="34">
    <w:abstractNumId w:val="11"/>
  </w:num>
  <w:num w:numId="35">
    <w:abstractNumId w:val="11"/>
  </w:num>
  <w:num w:numId="36">
    <w:abstractNumId w:val="37"/>
  </w:num>
  <w:num w:numId="37">
    <w:abstractNumId w:val="30"/>
  </w:num>
  <w:num w:numId="38">
    <w:abstractNumId w:val="25"/>
  </w:num>
  <w:num w:numId="39">
    <w:abstractNumId w:val="46"/>
  </w:num>
  <w:num w:numId="40">
    <w:abstractNumId w:val="28"/>
  </w:num>
  <w:num w:numId="41">
    <w:abstractNumId w:val="19"/>
  </w:num>
  <w:num w:numId="42">
    <w:abstractNumId w:val="41"/>
  </w:num>
  <w:num w:numId="43">
    <w:abstractNumId w:val="18"/>
  </w:num>
  <w:num w:numId="44">
    <w:abstractNumId w:val="2"/>
  </w:num>
  <w:num w:numId="45">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8"/>
  </w:num>
  <w:num w:numId="5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D22"/>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B3E"/>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B33"/>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9C9"/>
    <w:rsid w:val="00280B1C"/>
    <w:rsid w:val="00282055"/>
    <w:rsid w:val="00283CB6"/>
    <w:rsid w:val="002841AB"/>
    <w:rsid w:val="00284796"/>
    <w:rsid w:val="00284B31"/>
    <w:rsid w:val="0028506E"/>
    <w:rsid w:val="00285894"/>
    <w:rsid w:val="002859F7"/>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0A0E"/>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7508"/>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81"/>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2A94"/>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6E0"/>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7BCF"/>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5EE8"/>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65E"/>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2FB"/>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038"/>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2A6"/>
    <w:rsid w:val="00821737"/>
    <w:rsid w:val="00821B0B"/>
    <w:rsid w:val="00821D34"/>
    <w:rsid w:val="00821D40"/>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491"/>
    <w:rsid w:val="00864A2A"/>
    <w:rsid w:val="00865DE1"/>
    <w:rsid w:val="0086711C"/>
    <w:rsid w:val="00870793"/>
    <w:rsid w:val="00871EED"/>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5D2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B7AD9"/>
    <w:rsid w:val="009C00EF"/>
    <w:rsid w:val="009C064F"/>
    <w:rsid w:val="009C073E"/>
    <w:rsid w:val="009C1566"/>
    <w:rsid w:val="009C245B"/>
    <w:rsid w:val="009C281C"/>
    <w:rsid w:val="009C3440"/>
    <w:rsid w:val="009C424B"/>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C8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4C15"/>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2904"/>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02A"/>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AF8"/>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766"/>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0D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E27"/>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82E"/>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489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70"/>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25F9"/>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4F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3D0"/>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49A"/>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34"/>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HR33RHYHUWRF-4-2680</_dlc_DocId>
    <_dlc_DocIdUrl xmlns="c06861ca-3f08-4d07-bff7-bb15bac121f4">
      <Url>https://projects.qualcomm.com/sites/pentari/_layouts/15/DocIdRedir.aspx?ID=HR33RHYHUWRF-4-2680</Url>
      <Description>HR33RHYHUWRF-4-2680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B643C82B-971F-474C-98E8-2464FB34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Manolakos, Alexandros</cp:lastModifiedBy>
  <cp:revision>21</cp:revision>
  <cp:lastPrinted>2010-10-04T23:31:00Z</cp:lastPrinted>
  <dcterms:created xsi:type="dcterms:W3CDTF">2017-05-05T22:48:00Z</dcterms:created>
  <dcterms:modified xsi:type="dcterms:W3CDTF">2017-05-06T15:58:00Z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7f15a464-da71-413b-95f5-f2b8db1eeb5e</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