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F26D1" w14:textId="4BCBF612" w:rsidR="00883150" w:rsidRPr="00F017E6" w:rsidRDefault="00883150" w:rsidP="00883150">
      <w:pPr>
        <w:pStyle w:val="Header"/>
        <w:rPr>
          <w:rFonts w:eastAsia="Times New Roman"/>
          <w:szCs w:val="20"/>
          <w:lang w:val="en-GB" w:eastAsia="zh-CN"/>
        </w:rPr>
      </w:pPr>
      <w:bookmarkStart w:id="0" w:name="_GoBack"/>
      <w:bookmarkEnd w:id="0"/>
      <w:r w:rsidRPr="00F017E6">
        <w:rPr>
          <w:rFonts w:eastAsia="Times New Roman"/>
          <w:szCs w:val="20"/>
          <w:lang w:val="en-GB" w:eastAsia="zh-CN"/>
        </w:rPr>
        <w:t>3GPP TSG RAN WG1 Meeting #88</w:t>
      </w:r>
      <w:r w:rsidRPr="00F017E6">
        <w:rPr>
          <w:rFonts w:eastAsia="Times New Roman"/>
          <w:szCs w:val="20"/>
          <w:lang w:val="en-GB" w:eastAsia="zh-CN"/>
        </w:rPr>
        <w:tab/>
      </w:r>
      <w:r w:rsidRPr="00F017E6">
        <w:rPr>
          <w:rFonts w:eastAsia="Times New Roman"/>
          <w:szCs w:val="20"/>
          <w:lang w:val="en-GB" w:eastAsia="zh-CN"/>
        </w:rPr>
        <w:tab/>
      </w:r>
      <w:r w:rsidRPr="00DE24A5">
        <w:rPr>
          <w:rFonts w:eastAsia="Times New Roman"/>
          <w:szCs w:val="20"/>
          <w:lang w:val="en-GB" w:eastAsia="zh-CN"/>
        </w:rPr>
        <w:t>R1-</w:t>
      </w:r>
      <w:r w:rsidR="00DE24A5" w:rsidRPr="00DE24A5">
        <w:rPr>
          <w:rFonts w:eastAsia="Times New Roman"/>
          <w:szCs w:val="20"/>
          <w:lang w:val="en-GB" w:eastAsia="zh-CN"/>
        </w:rPr>
        <w:t>1702672</w:t>
      </w:r>
    </w:p>
    <w:p w14:paraId="07E0F7F8" w14:textId="77777777" w:rsidR="00883150" w:rsidRPr="009F0124" w:rsidRDefault="00883150" w:rsidP="00883150">
      <w:pPr>
        <w:pStyle w:val="Header"/>
      </w:pPr>
      <w:r w:rsidRPr="00F017E6">
        <w:rPr>
          <w:rFonts w:eastAsia="Times New Roman"/>
          <w:szCs w:val="20"/>
          <w:lang w:val="en-GB" w:eastAsia="zh-CN"/>
        </w:rPr>
        <w:t>Athens, Greece, 13th - 17th February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3240B2E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883150" w:rsidRPr="00883150">
        <w:t>Robust Transmission Scheme for PUSCH</w:t>
      </w:r>
    </w:p>
    <w:p w14:paraId="22D262FB" w14:textId="48009942"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EF4002" w:rsidRPr="00EF4002">
        <w:t>8.1.2.1.5</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77777777" w:rsidR="004E3F86" w:rsidRDefault="00AF1102" w:rsidP="00A60380">
      <w:pPr>
        <w:pStyle w:val="Heading1"/>
      </w:pPr>
      <w:r w:rsidRPr="003178F4">
        <w:t>Introduction</w:t>
      </w:r>
    </w:p>
    <w:p w14:paraId="57B77CCC" w14:textId="7F5DE8E9" w:rsidR="00350F2C" w:rsidRDefault="00E017DE" w:rsidP="002574AF">
      <w:pPr>
        <w:pStyle w:val="BodyText"/>
      </w:pPr>
      <w:r>
        <w:t xml:space="preserve">In the January NR RAN1 adhoc, it was agreed that diversity-based transmission schemes will be supported in NR, although it is for further study </w:t>
      </w:r>
      <w:r w:rsidR="00CD0698">
        <w:t xml:space="preserve">if these need to be specified.  It </w:t>
      </w:r>
      <w:r>
        <w:t xml:space="preserve">was </w:t>
      </w:r>
      <w:r w:rsidR="00CD0698">
        <w:t xml:space="preserve">also </w:t>
      </w:r>
      <w:r>
        <w:t xml:space="preserve">left for further study if single port transmission is supported for UEs capable of two antenna transmission:  </w:t>
      </w:r>
    </w:p>
    <w:p w14:paraId="36923879" w14:textId="77777777" w:rsidR="00E65AE8" w:rsidRPr="009E6A37" w:rsidRDefault="00E65AE8" w:rsidP="00E65AE8">
      <w:pPr>
        <w:rPr>
          <w:rFonts w:eastAsia="MS Mincho"/>
          <w:lang w:eastAsia="ja-JP"/>
        </w:rPr>
      </w:pPr>
      <w:r w:rsidRPr="009115D2">
        <w:rPr>
          <w:rFonts w:eastAsia="MS Mincho" w:hint="eastAsia"/>
          <w:b/>
          <w:highlight w:val="green"/>
          <w:u w:val="single"/>
          <w:lang w:eastAsia="ja-JP"/>
        </w:rPr>
        <w:t>Agreements:</w:t>
      </w:r>
    </w:p>
    <w:p w14:paraId="228D5825" w14:textId="77777777" w:rsidR="00E65AE8" w:rsidRPr="00E017DE" w:rsidRDefault="00E65AE8" w:rsidP="00E65AE8">
      <w:pPr>
        <w:numPr>
          <w:ilvl w:val="0"/>
          <w:numId w:val="39"/>
        </w:numPr>
        <w:rPr>
          <w:rFonts w:eastAsia="MS Mincho"/>
          <w:highlight w:val="cyan"/>
        </w:rPr>
      </w:pPr>
      <w:r w:rsidRPr="00E017DE">
        <w:rPr>
          <w:rFonts w:eastAsia="MS Mincho"/>
          <w:highlight w:val="cyan"/>
        </w:rPr>
        <w:t>Support at least the following UL transmission schemes for data in NR</w:t>
      </w:r>
    </w:p>
    <w:p w14:paraId="237B4348" w14:textId="77777777" w:rsidR="00E65AE8" w:rsidRPr="009E6A37" w:rsidRDefault="00E65AE8" w:rsidP="00E65AE8">
      <w:pPr>
        <w:numPr>
          <w:ilvl w:val="1"/>
          <w:numId w:val="39"/>
        </w:numPr>
        <w:rPr>
          <w:rFonts w:eastAsia="MS Mincho"/>
        </w:rPr>
      </w:pPr>
      <w:r w:rsidRPr="009E6A37">
        <w:rPr>
          <w:rFonts w:eastAsia="MS Mincho"/>
        </w:rPr>
        <w:t>Scheme A: Codebook based UL transmission</w:t>
      </w:r>
    </w:p>
    <w:p w14:paraId="4AD0F1B4" w14:textId="77777777" w:rsidR="00E65AE8" w:rsidRPr="009E6A37" w:rsidRDefault="00E65AE8" w:rsidP="00E65AE8">
      <w:pPr>
        <w:numPr>
          <w:ilvl w:val="2"/>
          <w:numId w:val="39"/>
        </w:numPr>
        <w:rPr>
          <w:rFonts w:eastAsia="MS Mincho"/>
        </w:rPr>
      </w:pPr>
      <w:r w:rsidRPr="009E6A37">
        <w:rPr>
          <w:rFonts w:eastAsia="MS Mincho"/>
        </w:rPr>
        <w:t>Support frequency selective precoding for CP-OFDM when the number of transmission port is greater than X (FFS: Value of X).</w:t>
      </w:r>
    </w:p>
    <w:p w14:paraId="4CD56A58" w14:textId="77777777" w:rsidR="00E65AE8" w:rsidRPr="009E6A37" w:rsidRDefault="00E65AE8" w:rsidP="00E65AE8">
      <w:pPr>
        <w:numPr>
          <w:ilvl w:val="2"/>
          <w:numId w:val="39"/>
        </w:numPr>
        <w:rPr>
          <w:rFonts w:eastAsia="MS Mincho"/>
        </w:rPr>
      </w:pPr>
      <w:r w:rsidRPr="009E6A37">
        <w:rPr>
          <w:rFonts w:eastAsia="MS Mincho"/>
        </w:rPr>
        <w:t xml:space="preserve">Study codebook design including single-stage and multi-stage, e.g., W1W2 structure, codebook </w:t>
      </w:r>
    </w:p>
    <w:p w14:paraId="325D97A6" w14:textId="77777777" w:rsidR="00E65AE8" w:rsidRPr="009E6A37" w:rsidRDefault="00E65AE8" w:rsidP="00E65AE8">
      <w:pPr>
        <w:numPr>
          <w:ilvl w:val="2"/>
          <w:numId w:val="39"/>
        </w:numPr>
        <w:rPr>
          <w:rFonts w:eastAsia="MS Mincho"/>
        </w:rPr>
      </w:pPr>
      <w:r w:rsidRPr="009E6A37">
        <w:rPr>
          <w:rFonts w:eastAsia="MS Mincho"/>
        </w:rPr>
        <w:t>Study the following DL signaling, e.g.,</w:t>
      </w:r>
    </w:p>
    <w:p w14:paraId="4B8F8170" w14:textId="77777777" w:rsidR="00E65AE8" w:rsidRPr="009E6A37" w:rsidRDefault="00E65AE8" w:rsidP="00E65AE8">
      <w:pPr>
        <w:numPr>
          <w:ilvl w:val="3"/>
          <w:numId w:val="39"/>
        </w:numPr>
        <w:rPr>
          <w:rFonts w:eastAsia="MS Mincho"/>
        </w:rPr>
      </w:pPr>
      <w:r w:rsidRPr="009E6A37">
        <w:rPr>
          <w:rFonts w:eastAsia="MS Mincho"/>
        </w:rPr>
        <w:t>One level DCI</w:t>
      </w:r>
    </w:p>
    <w:p w14:paraId="5B658020" w14:textId="77777777" w:rsidR="00E65AE8" w:rsidRPr="009E6A37" w:rsidRDefault="00E65AE8" w:rsidP="00E65AE8">
      <w:pPr>
        <w:numPr>
          <w:ilvl w:val="3"/>
          <w:numId w:val="39"/>
        </w:numPr>
        <w:rPr>
          <w:rFonts w:eastAsia="MS Mincho"/>
        </w:rPr>
      </w:pPr>
      <w:r w:rsidRPr="009E6A37">
        <w:rPr>
          <w:rFonts w:eastAsia="MS Mincho"/>
        </w:rPr>
        <w:t>Two level DCI</w:t>
      </w:r>
    </w:p>
    <w:p w14:paraId="5FF12EAE" w14:textId="77777777" w:rsidR="00E65AE8" w:rsidRPr="009E6A37" w:rsidRDefault="00E65AE8" w:rsidP="00E65AE8">
      <w:pPr>
        <w:numPr>
          <w:ilvl w:val="3"/>
          <w:numId w:val="39"/>
        </w:numPr>
        <w:rPr>
          <w:rFonts w:eastAsia="MS Mincho"/>
        </w:rPr>
      </w:pPr>
      <w:r w:rsidRPr="009E6A37">
        <w:rPr>
          <w:rFonts w:eastAsia="MS Mincho"/>
        </w:rPr>
        <w:t>MAC CE</w:t>
      </w:r>
    </w:p>
    <w:p w14:paraId="4298A7FF" w14:textId="77777777" w:rsidR="00E65AE8" w:rsidRPr="009E6A37" w:rsidRDefault="00E65AE8" w:rsidP="00E65AE8">
      <w:pPr>
        <w:numPr>
          <w:ilvl w:val="3"/>
          <w:numId w:val="39"/>
        </w:numPr>
        <w:rPr>
          <w:rFonts w:eastAsia="MS Mincho"/>
        </w:rPr>
      </w:pPr>
      <w:r w:rsidRPr="009E6A37">
        <w:rPr>
          <w:rFonts w:eastAsia="MS Mincho"/>
        </w:rPr>
        <w:t>DCI associated with PDSCH (like UCI associated with PUSCH in LTE)</w:t>
      </w:r>
    </w:p>
    <w:p w14:paraId="7571B2DB" w14:textId="77777777" w:rsidR="00E65AE8" w:rsidRPr="009E6A37" w:rsidRDefault="00E65AE8" w:rsidP="00E65AE8">
      <w:pPr>
        <w:numPr>
          <w:ilvl w:val="1"/>
          <w:numId w:val="39"/>
        </w:numPr>
        <w:rPr>
          <w:rFonts w:eastAsia="MS Mincho"/>
        </w:rPr>
      </w:pPr>
      <w:r w:rsidRPr="009E6A37">
        <w:rPr>
          <w:rFonts w:eastAsia="MS Mincho"/>
        </w:rPr>
        <w:t>Scheme B: Non-codebook based UL transmission</w:t>
      </w:r>
    </w:p>
    <w:p w14:paraId="25E777DE" w14:textId="77777777" w:rsidR="00E65AE8" w:rsidRPr="009E6A37" w:rsidRDefault="00E65AE8" w:rsidP="00E65AE8">
      <w:pPr>
        <w:numPr>
          <w:ilvl w:val="2"/>
          <w:numId w:val="39"/>
        </w:numPr>
        <w:rPr>
          <w:rFonts w:eastAsia="MS Mincho"/>
        </w:rPr>
      </w:pPr>
      <w:r w:rsidRPr="009E6A37">
        <w:rPr>
          <w:rFonts w:eastAsia="MS Mincho"/>
        </w:rPr>
        <w:t>Support frequency selective precoding for CP-OFDM when the number of transmission port is greater than Y (FFS: Value of Y).</w:t>
      </w:r>
    </w:p>
    <w:p w14:paraId="3BEE4050" w14:textId="77777777" w:rsidR="00E65AE8" w:rsidRPr="009E6A37" w:rsidRDefault="00E65AE8" w:rsidP="00E65AE8">
      <w:pPr>
        <w:numPr>
          <w:ilvl w:val="2"/>
          <w:numId w:val="39"/>
        </w:numPr>
        <w:rPr>
          <w:rFonts w:eastAsia="MS Mincho"/>
        </w:rPr>
      </w:pPr>
      <w:r w:rsidRPr="009E6A37">
        <w:rPr>
          <w:rFonts w:eastAsia="MS Mincho"/>
        </w:rPr>
        <w:t>Support the indication of DL measurement RS for UE to calculate candidate precoder</w:t>
      </w:r>
    </w:p>
    <w:p w14:paraId="3E260D89" w14:textId="77777777" w:rsidR="00E65AE8" w:rsidRPr="009E6A37" w:rsidRDefault="00E65AE8" w:rsidP="00E65AE8">
      <w:pPr>
        <w:numPr>
          <w:ilvl w:val="2"/>
          <w:numId w:val="39"/>
        </w:numPr>
        <w:rPr>
          <w:rFonts w:eastAsia="MS Mincho"/>
        </w:rPr>
      </w:pPr>
      <w:r w:rsidRPr="009E6A37">
        <w:rPr>
          <w:rFonts w:eastAsia="MS Mincho"/>
        </w:rPr>
        <w:t>Study the mechanisms for UL precoder determination, e.g. precoded SRS based, non-precoded SRS based, hybrid precoded and non-precoded SRS based</w:t>
      </w:r>
    </w:p>
    <w:p w14:paraId="54E21DC1" w14:textId="77777777" w:rsidR="00E65AE8" w:rsidRPr="00E017DE" w:rsidRDefault="00E65AE8" w:rsidP="00E65AE8">
      <w:pPr>
        <w:numPr>
          <w:ilvl w:val="1"/>
          <w:numId w:val="39"/>
        </w:numPr>
        <w:rPr>
          <w:rFonts w:eastAsia="MS Mincho"/>
          <w:highlight w:val="cyan"/>
        </w:rPr>
      </w:pPr>
      <w:r w:rsidRPr="00E017DE">
        <w:rPr>
          <w:rFonts w:eastAsia="MS Mincho"/>
          <w:highlight w:val="cyan"/>
        </w:rPr>
        <w:t>Diversity-based transmission schemes</w:t>
      </w:r>
    </w:p>
    <w:p w14:paraId="019C5EEB" w14:textId="77777777" w:rsidR="00E65AE8" w:rsidRPr="00E017DE" w:rsidRDefault="00E65AE8" w:rsidP="00E65AE8">
      <w:pPr>
        <w:numPr>
          <w:ilvl w:val="2"/>
          <w:numId w:val="39"/>
        </w:numPr>
        <w:rPr>
          <w:rFonts w:eastAsia="MS Mincho"/>
          <w:highlight w:val="cyan"/>
        </w:rPr>
      </w:pPr>
      <w:r w:rsidRPr="00E017DE">
        <w:rPr>
          <w:rFonts w:eastAsia="MS Mincho"/>
          <w:highlight w:val="cyan"/>
        </w:rPr>
        <w:t>FFS: Whether the scheme has specification impact or not</w:t>
      </w:r>
    </w:p>
    <w:p w14:paraId="66F1FCC4" w14:textId="77777777" w:rsidR="00E65AE8" w:rsidRPr="009E6A37" w:rsidRDefault="00E65AE8" w:rsidP="00E65AE8">
      <w:pPr>
        <w:numPr>
          <w:ilvl w:val="1"/>
          <w:numId w:val="39"/>
        </w:numPr>
        <w:rPr>
          <w:rFonts w:eastAsia="MS Mincho"/>
        </w:rPr>
      </w:pPr>
      <w:r w:rsidRPr="009E6A37">
        <w:rPr>
          <w:rFonts w:eastAsia="MS Mincho"/>
        </w:rPr>
        <w:t>FFS: Merging of the schemes</w:t>
      </w:r>
    </w:p>
    <w:p w14:paraId="6C7AC929" w14:textId="77777777" w:rsidR="00E65AE8" w:rsidRPr="009E6A37" w:rsidRDefault="00E65AE8" w:rsidP="00E65AE8">
      <w:pPr>
        <w:numPr>
          <w:ilvl w:val="0"/>
          <w:numId w:val="39"/>
        </w:numPr>
        <w:rPr>
          <w:rFonts w:eastAsia="MS Mincho"/>
        </w:rPr>
      </w:pPr>
      <w:r w:rsidRPr="009E6A37">
        <w:rPr>
          <w:rFonts w:eastAsia="MS Mincho"/>
        </w:rPr>
        <w:t>Support rank determination by gNB</w:t>
      </w:r>
    </w:p>
    <w:p w14:paraId="3D842D05" w14:textId="77777777" w:rsidR="00E65AE8" w:rsidRPr="009E6A37" w:rsidRDefault="00E65AE8" w:rsidP="00E65AE8">
      <w:pPr>
        <w:numPr>
          <w:ilvl w:val="0"/>
          <w:numId w:val="39"/>
        </w:numPr>
        <w:rPr>
          <w:rFonts w:eastAsia="MS Mincho"/>
        </w:rPr>
      </w:pPr>
      <w:r w:rsidRPr="009E6A37">
        <w:rPr>
          <w:rFonts w:eastAsia="MS Mincho"/>
        </w:rPr>
        <w:t>Support PRB bundling for CP-OFDM</w:t>
      </w:r>
    </w:p>
    <w:p w14:paraId="12BFEDDD" w14:textId="77777777" w:rsidR="00E65AE8" w:rsidRPr="009E6A37" w:rsidRDefault="00E65AE8" w:rsidP="00E65AE8">
      <w:pPr>
        <w:numPr>
          <w:ilvl w:val="1"/>
          <w:numId w:val="39"/>
        </w:numPr>
        <w:rPr>
          <w:rFonts w:eastAsia="MS Mincho"/>
        </w:rPr>
      </w:pPr>
      <w:r w:rsidRPr="009E6A37">
        <w:rPr>
          <w:rFonts w:eastAsia="MS Mincho"/>
        </w:rPr>
        <w:t>Study configurability of PRG size for CP-OFDM</w:t>
      </w:r>
    </w:p>
    <w:p w14:paraId="6814F0FA" w14:textId="77777777" w:rsidR="00E65AE8" w:rsidRPr="009E6A37" w:rsidRDefault="00E65AE8" w:rsidP="00E65AE8">
      <w:pPr>
        <w:numPr>
          <w:ilvl w:val="1"/>
          <w:numId w:val="39"/>
        </w:numPr>
        <w:rPr>
          <w:rFonts w:eastAsia="MS Mincho"/>
        </w:rPr>
      </w:pPr>
      <w:r w:rsidRPr="009E6A37">
        <w:rPr>
          <w:rFonts w:eastAsia="MS Mincho"/>
        </w:rPr>
        <w:t>Study the PRG size</w:t>
      </w:r>
    </w:p>
    <w:p w14:paraId="066DA1C8" w14:textId="6F0F4D68" w:rsidR="00E65AE8" w:rsidRDefault="00E65AE8" w:rsidP="00E65AE8">
      <w:pPr>
        <w:numPr>
          <w:ilvl w:val="0"/>
          <w:numId w:val="39"/>
        </w:numPr>
        <w:rPr>
          <w:rFonts w:eastAsia="MS Mincho"/>
        </w:rPr>
      </w:pPr>
      <w:r w:rsidRPr="00E017DE">
        <w:rPr>
          <w:rFonts w:eastAsia="MS Mincho"/>
          <w:highlight w:val="cyan"/>
        </w:rPr>
        <w:t>FFS: Single port transmission is supported for the UE capable for multiple antenna port transmission.</w:t>
      </w:r>
    </w:p>
    <w:p w14:paraId="39197848" w14:textId="77777777" w:rsidR="00E65AE8" w:rsidRPr="009E6A37" w:rsidRDefault="00E65AE8" w:rsidP="00E65AE8">
      <w:pPr>
        <w:ind w:left="360"/>
        <w:rPr>
          <w:rFonts w:eastAsia="MS Mincho"/>
        </w:rPr>
      </w:pPr>
    </w:p>
    <w:p w14:paraId="7E5BB7B1" w14:textId="0D867B1E" w:rsidR="002574AF" w:rsidRPr="002574AF" w:rsidRDefault="00D3473C" w:rsidP="002574AF">
      <w:pPr>
        <w:pStyle w:val="BodyText"/>
      </w:pPr>
      <w:r>
        <w:t xml:space="preserve">This contribution addresses the need for non-transparent TxD schemes, and the use of single antenna port transmission in multi-Tx UEs.  The discussion takes into account the vastly different </w:t>
      </w:r>
      <w:r w:rsidR="00F70E36">
        <w:t>characteristics of multi-antenna operation in t</w:t>
      </w:r>
      <w:r>
        <w:t>he UE from the gNB,</w:t>
      </w:r>
      <w:r w:rsidR="00F70E36">
        <w:t xml:space="preserve"> </w:t>
      </w:r>
      <w:r>
        <w:t xml:space="preserve">including </w:t>
      </w:r>
      <w:r w:rsidR="00D51F51">
        <w:t xml:space="preserve">factors affecting open loop performance, </w:t>
      </w:r>
      <w:r>
        <w:t xml:space="preserve">and </w:t>
      </w:r>
      <w:r w:rsidR="00D51F51">
        <w:t xml:space="preserve">the </w:t>
      </w:r>
      <w:r w:rsidR="00F70E36">
        <w:t xml:space="preserve">benefits of open loop operation schemes </w:t>
      </w:r>
      <w:r>
        <w:t xml:space="preserve">to </w:t>
      </w:r>
      <w:r w:rsidR="00F70E36">
        <w:t>the UE.</w:t>
      </w:r>
      <w:r>
        <w:t xml:space="preserve">  </w:t>
      </w:r>
    </w:p>
    <w:p w14:paraId="1FA30DCB" w14:textId="77777777" w:rsidR="00F70E36" w:rsidRDefault="003D2177" w:rsidP="00A5248E">
      <w:pPr>
        <w:pStyle w:val="Heading1"/>
      </w:pPr>
      <w:r>
        <w:t>Perfo</w:t>
      </w:r>
      <w:r w:rsidR="00EE3F59">
        <w:t>r</w:t>
      </w:r>
      <w:r>
        <w:t>mance and b</w:t>
      </w:r>
      <w:r w:rsidR="00893656">
        <w:t xml:space="preserve">enefits of </w:t>
      </w:r>
      <w:r>
        <w:t xml:space="preserve">open loop </w:t>
      </w:r>
      <w:r w:rsidR="00893656">
        <w:t>transmission in UEs</w:t>
      </w:r>
    </w:p>
    <w:p w14:paraId="4D54EE66" w14:textId="0C69DBD4"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Angle spread around UEs is much larger than at gNBs, leading to different behavior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6DED775" w:rsidR="002574AF" w:rsidRDefault="0022023C" w:rsidP="002574AF">
      <w:pPr>
        <w:pStyle w:val="Heading2"/>
      </w:pPr>
      <w:r>
        <w:lastRenderedPageBreak/>
        <w:t xml:space="preserve">Use cases </w:t>
      </w:r>
      <w:r w:rsidR="002574AF">
        <w:t>for open loop transmission in UEs</w:t>
      </w:r>
    </w:p>
    <w:p w14:paraId="2205D644" w14:textId="77777777"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as the target BLER increases, and so </w:t>
      </w:r>
      <w:r w:rsidR="00B475C2">
        <w:t>open loop diversity is more naturally suited to physical channels requiring high reliability.</w:t>
      </w:r>
    </w:p>
    <w:p w14:paraId="3D6F464D" w14:textId="62C0A220" w:rsidR="009B5429" w:rsidRDefault="009B5429" w:rsidP="009B5429">
      <w:pPr>
        <w:pStyle w:val="BodyText"/>
      </w:pPr>
      <w:r>
        <w:t>Open loop transmission always performs worse than coherent (“closed loop”) transmission for a given set of antenna ports when good CSI feedback is available.  This is due to array gain from coherent transmission, as well as the ability of an IRC receiver to better suppress the rank 1 interference produced by coherent transmission as opposed to the rank 2 interference produced by most non-transparent open loop schemes.  Consequently, open loop transmission has performance benefits only in certain scenarios where CSI is stale or not available at all, and where IRC losses are sufficiently small.</w:t>
      </w:r>
    </w:p>
    <w:p w14:paraId="1318A2FC" w14:textId="6C7483AE" w:rsidR="00A051E9" w:rsidRDefault="00A051E9" w:rsidP="009B5429">
      <w:pPr>
        <w:pStyle w:val="BodyText"/>
      </w:pPr>
      <w:r>
        <w:t xml:space="preserve">Open loop can be considered for both DFT-S-OFDM and for CP OFDM.  The use case for DFT-S-OFDM is more clear, since its design targets power efficient and rank 1 transmission, where diversity is most needed.  CP OFDM will likely be used in better channel conditions, where higher rank or MU-MIMO transmission </w:t>
      </w:r>
      <w:r w:rsidR="00A8631F">
        <w:t>is beneficial, and TxD is not likely to be used.</w:t>
      </w:r>
    </w:p>
    <w:p w14:paraId="3E6EE04D" w14:textId="77777777" w:rsidR="0022023C" w:rsidRDefault="0022023C" w:rsidP="0022023C">
      <w:pPr>
        <w:pStyle w:val="BodyText"/>
        <w:spacing w:after="0"/>
      </w:pPr>
      <w:r w:rsidRPr="001847A1">
        <w:rPr>
          <w:b/>
        </w:rPr>
        <w:t>Observations</w:t>
      </w:r>
      <w:r>
        <w:t>:</w:t>
      </w:r>
    </w:p>
    <w:p w14:paraId="3E9FC3F6" w14:textId="77777777" w:rsidR="0022023C" w:rsidRDefault="0022023C" w:rsidP="0022023C">
      <w:pPr>
        <w:pStyle w:val="BodyText"/>
        <w:numPr>
          <w:ilvl w:val="0"/>
          <w:numId w:val="34"/>
        </w:numPr>
        <w:spacing w:after="0"/>
      </w:pPr>
      <w:r>
        <w:t>Uplink open loop diversity schemes target relatively narrow use cases where</w:t>
      </w:r>
    </w:p>
    <w:p w14:paraId="122D93FB" w14:textId="77777777" w:rsidR="0022023C" w:rsidRDefault="0022023C" w:rsidP="0022023C">
      <w:pPr>
        <w:pStyle w:val="BodyText"/>
        <w:numPr>
          <w:ilvl w:val="1"/>
          <w:numId w:val="34"/>
        </w:numPr>
        <w:spacing w:after="0"/>
      </w:pPr>
      <w:r>
        <w:t>Accurate CSI is not available</w:t>
      </w:r>
    </w:p>
    <w:p w14:paraId="7992AEF7" w14:textId="77777777" w:rsidR="0022023C" w:rsidRDefault="0022023C" w:rsidP="0022023C">
      <w:pPr>
        <w:pStyle w:val="BodyText"/>
        <w:numPr>
          <w:ilvl w:val="1"/>
          <w:numId w:val="34"/>
        </w:numPr>
        <w:spacing w:after="0"/>
      </w:pPr>
      <w:r>
        <w:t>There are a relative small number of gNB Rx antennas</w:t>
      </w:r>
    </w:p>
    <w:p w14:paraId="0B4F2F12" w14:textId="52ED3383" w:rsidR="0022023C" w:rsidRDefault="0022023C" w:rsidP="0022023C">
      <w:pPr>
        <w:pStyle w:val="BodyText"/>
        <w:numPr>
          <w:ilvl w:val="1"/>
          <w:numId w:val="34"/>
        </w:numPr>
        <w:spacing w:after="0"/>
      </w:pPr>
      <w:r>
        <w:t>Tx diversity gains outweigh gNB IRC losses</w:t>
      </w:r>
    </w:p>
    <w:p w14:paraId="70DE1BC1" w14:textId="66CFB6CD" w:rsidR="00A051E9" w:rsidRDefault="00A051E9" w:rsidP="00A051E9">
      <w:pPr>
        <w:pStyle w:val="BodyText"/>
        <w:numPr>
          <w:ilvl w:val="0"/>
          <w:numId w:val="34"/>
        </w:numPr>
        <w:spacing w:after="0"/>
      </w:pPr>
      <w:r>
        <w:t>CP OFDM does not seem a good use case for TxD</w:t>
      </w:r>
    </w:p>
    <w:p w14:paraId="49A4B39C" w14:textId="22E04F4B" w:rsidR="00A051E9" w:rsidRDefault="00A051E9" w:rsidP="00A051E9">
      <w:pPr>
        <w:pStyle w:val="BodyText"/>
        <w:numPr>
          <w:ilvl w:val="1"/>
          <w:numId w:val="34"/>
        </w:numPr>
        <w:spacing w:after="0"/>
      </w:pPr>
      <w:r>
        <w:t>CP OFDM will likely be used in channel conditions where TxD is not essential</w:t>
      </w:r>
    </w:p>
    <w:p w14:paraId="744829A4" w14:textId="588DCD4A" w:rsidR="0022023C" w:rsidRDefault="0022023C" w:rsidP="0022023C">
      <w:pPr>
        <w:pStyle w:val="Heading2"/>
      </w:pPr>
      <w:r>
        <w:t>Non-transparent vs. transparent TxD and single antenna transmission</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EDDBFBE" w14:textId="2475CEEC" w:rsidR="00820800" w:rsidRDefault="00820800" w:rsidP="002574AF">
      <w:pPr>
        <w:pStyle w:val="BodyText"/>
      </w:pPr>
      <w:r>
        <w:t>Transparent approaches to TxD are possible in LTE</w:t>
      </w:r>
      <w:r w:rsidR="001B4A73">
        <w:t>, and compatible with other sources of diversity</w:t>
      </w:r>
      <w:r>
        <w:t>.  One simple scheme exploits PUSCH per-slot frequency hopping, transmitting using a different precoder or antenna as the UE hops frequency over each slot.  The change of precoding is tr</w:t>
      </w:r>
      <w:r w:rsidR="00A06156">
        <w:t>ansparent to the e</w:t>
      </w:r>
      <w:r w:rsidR="001B4A73">
        <w:t xml:space="preserve">NB, since it is indistinguishable from changes in the channel due to frequency selective fading.  </w:t>
      </w:r>
    </w:p>
    <w:p w14:paraId="2EED7434" w14:textId="27E55982" w:rsidR="001B4A73" w:rsidRDefault="001B4A73" w:rsidP="002574AF">
      <w:pPr>
        <w:pStyle w:val="BodyText"/>
      </w:pPr>
      <w:r>
        <w:t xml:space="preserve">Non-transparent approaches (including fast precoder cycling) require multiple DMRS ports, and so are not as compatible with frequency hopping.  All DMRS ports must be transmitted for each hop, and so the DMRS overhead is higher than transparent TxD.  This overhead is particularly high when DMRS occupy entire OFDM symbols, such as in </w:t>
      </w:r>
      <w:r w:rsidR="00FE02AB">
        <w:t>LTE</w:t>
      </w:r>
      <w:r>
        <w:t>.</w:t>
      </w:r>
    </w:p>
    <w:p w14:paraId="69AD5A14" w14:textId="25502665" w:rsidR="005901BE" w:rsidRDefault="00407409" w:rsidP="002574AF">
      <w:pPr>
        <w:pStyle w:val="BodyText"/>
      </w:pPr>
      <w:r>
        <w:t xml:space="preserve">Some of the best performing </w:t>
      </w:r>
      <w:r w:rsidR="00941DC4">
        <w:t xml:space="preserve">space time coding </w:t>
      </w:r>
      <w:r>
        <w:t>schemes</w:t>
      </w:r>
      <w:r w:rsidR="00941DC4">
        <w:t xml:space="preserve"> tend to be more difficult to use in UEs than gNBs. </w:t>
      </w:r>
      <w:r>
        <w:t>Schemes such as SFBC</w:t>
      </w:r>
      <w:r w:rsidR="005901BE">
        <w:t xml:space="preserve"> </w:t>
      </w:r>
      <w:r>
        <w:t xml:space="preserve">can increase the cubic metric of a transmitted signal, tending to make </w:t>
      </w:r>
      <w:r w:rsidR="00D02D8A">
        <w:t>them</w:t>
      </w:r>
      <w:r>
        <w:t xml:space="preserve"> unsuitable for UEs using DFT-S-OFDM transmission.  STBC </w:t>
      </w:r>
      <w:r w:rsidR="00941DC4">
        <w:t>can avoid CM increase, but requires even numbers of time domain symbols, which can be difficult to guarantee with a limited number of symbols as can be found in DFT-S-OFDM.</w:t>
      </w:r>
    </w:p>
    <w:p w14:paraId="3A65A388" w14:textId="77777777" w:rsidR="00A77453" w:rsidRDefault="00A77453" w:rsidP="009F0124">
      <w:pPr>
        <w:jc w:val="both"/>
      </w:pPr>
      <w:r>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an SU-MIMO codeword is transmitted on only one layer, additional mechanisms may be needed to ‘mix’ the MIMO layers that the codeword is transmitted on in order to make the transmission more robust, e.g. when there is insufficient CSI for good link adaptation.   This ‘layer mixing’ can essentially average the SINR of the two layers, making </w:t>
      </w:r>
      <w:r w:rsidR="00186440">
        <w:t xml:space="preserve">multi-layer SU-MIMO more robust.  However, assuming the eNB determines CQI from SRS measurements as in LTE, the CSI overhead </w:t>
      </w:r>
      <w:r w:rsidR="003E4B06">
        <w:t xml:space="preserve">reduction </w:t>
      </w:r>
      <w:r w:rsidR="00186440">
        <w:t xml:space="preserve">benefits </w:t>
      </w:r>
      <w:r w:rsidR="003E4B06">
        <w:t xml:space="preserve">from </w:t>
      </w:r>
      <w:r w:rsidR="00866B62">
        <w:t xml:space="preserve">‘layer mixing’ </w:t>
      </w:r>
      <w:r w:rsidR="003E4B06">
        <w:t xml:space="preserve">such as single </w:t>
      </w:r>
      <w:r>
        <w:t>CQ</w:t>
      </w:r>
      <w:r w:rsidR="003E4B06">
        <w:t>I feedback for both codewords are not applicable to UL MIMO.</w:t>
      </w:r>
    </w:p>
    <w:p w14:paraId="683F7251" w14:textId="77777777" w:rsidR="00A77453" w:rsidRDefault="00A77453" w:rsidP="009F0124">
      <w:pPr>
        <w:jc w:val="both"/>
      </w:pPr>
    </w:p>
    <w:p w14:paraId="65118C6D" w14:textId="2CAD94E0" w:rsidR="00E93F33" w:rsidRDefault="00A77453" w:rsidP="009F0124">
      <w:pPr>
        <w:jc w:val="both"/>
      </w:pPr>
      <w:r>
        <w:lastRenderedPageBreak/>
        <w:t xml:space="preserve">There are two well known ways for robust </w:t>
      </w:r>
      <w:r w:rsidR="003C2DEF">
        <w:t xml:space="preserve">multi-codeword </w:t>
      </w:r>
      <w:r>
        <w:t xml:space="preserve">spatial SU-MIMO transmission: large delay CDD, and layer permutation (also known as layer shifting).  As described in more detail in </w:t>
      </w:r>
      <w:r>
        <w:fldChar w:fldCharType="begin"/>
      </w:r>
      <w:r>
        <w:instrText xml:space="preserve"> REF _Ref471135543 \r \h </w:instrText>
      </w:r>
      <w:r w:rsidR="00EE3F59">
        <w:instrText xml:space="preserve"> \* MERGEFORMAT </w:instrText>
      </w:r>
      <w:r>
        <w:fldChar w:fldCharType="separate"/>
      </w:r>
      <w:r w:rsidR="003C46AB">
        <w:t>[1]</w:t>
      </w:r>
      <w:r>
        <w:fldChar w:fldCharType="end"/>
      </w:r>
      <w:r>
        <w:t xml:space="preserve">, large delay CDD and layer shifting have the same performance but different implementation impacts.  Because large delay forms a sum and difference of layers, this increases the cubic metric, which is undesirable in UEs.  </w:t>
      </w:r>
    </w:p>
    <w:p w14:paraId="23434220" w14:textId="77777777" w:rsidR="0022023C" w:rsidRDefault="0022023C" w:rsidP="0022023C">
      <w:pPr>
        <w:pStyle w:val="BodyText"/>
        <w:spacing w:after="0"/>
      </w:pPr>
    </w:p>
    <w:p w14:paraId="11E4FF09" w14:textId="77CD8A65" w:rsidR="00F978DC" w:rsidRDefault="00F978DC">
      <w:pPr>
        <w:pStyle w:val="BodyText"/>
      </w:pPr>
      <w:r>
        <w:t xml:space="preserve">UEs can have large amounts of antenna gain imbalance, e.g. when the user covers an antenna.  This substantially </w:t>
      </w:r>
      <w:r w:rsidR="001858A1">
        <w:t xml:space="preserve">reduces </w:t>
      </w:r>
      <w:r>
        <w:t xml:space="preserve">open loop </w:t>
      </w:r>
      <w:r w:rsidR="001858A1">
        <w:t>diversity gain</w:t>
      </w:r>
      <w:r>
        <w:t xml:space="preserve">.  </w:t>
      </w:r>
      <w:r w:rsidR="000575A2">
        <w:t xml:space="preserve">However, long term antenna selection is possible where the UE turns off a Tx chain when it is heavily shadowed.  This form of antenna selection can save quite a bit of power, and is possible in UE implementation, </w:t>
      </w:r>
      <w:r w:rsidR="000575A2" w:rsidRPr="000575A2">
        <w:t>e.g. based on DL measurements or internal measurements of Tx path efficiency (e.g. VSWR).</w:t>
      </w:r>
    </w:p>
    <w:p w14:paraId="1918C494" w14:textId="77777777" w:rsidR="00F978DC" w:rsidRDefault="005901BE" w:rsidP="001847A1">
      <w:pPr>
        <w:pStyle w:val="BodyText"/>
        <w:spacing w:after="0"/>
      </w:pPr>
      <w:r w:rsidRPr="001847A1">
        <w:rPr>
          <w:b/>
        </w:rPr>
        <w:t>Observations</w:t>
      </w:r>
      <w:r>
        <w:t>:</w:t>
      </w:r>
    </w:p>
    <w:p w14:paraId="129D48C0" w14:textId="42F59E74" w:rsidR="00FE02AB" w:rsidRDefault="00FE02AB" w:rsidP="001847A1">
      <w:pPr>
        <w:pStyle w:val="BodyText"/>
        <w:numPr>
          <w:ilvl w:val="0"/>
          <w:numId w:val="34"/>
        </w:numPr>
        <w:spacing w:after="0"/>
      </w:pPr>
      <w:r>
        <w:t xml:space="preserve">Transparent TxD is </w:t>
      </w:r>
      <w:r w:rsidR="00166EF0">
        <w:t xml:space="preserve">more </w:t>
      </w:r>
      <w:r>
        <w:t>compatible with other diversity sources, such as frequency hopping</w:t>
      </w:r>
    </w:p>
    <w:p w14:paraId="1A1961B3" w14:textId="63CCADAB" w:rsidR="00FE02AB" w:rsidRDefault="00FE02AB" w:rsidP="00FE02AB">
      <w:pPr>
        <w:pStyle w:val="BodyText"/>
        <w:numPr>
          <w:ilvl w:val="1"/>
          <w:numId w:val="34"/>
        </w:numPr>
        <w:spacing w:after="0"/>
      </w:pPr>
      <w:r>
        <w:t xml:space="preserve">One DMRS can be used for both frequency hopping and </w:t>
      </w:r>
      <w:r w:rsidR="00166EF0">
        <w:t>for precoder / antenna cycling</w:t>
      </w:r>
    </w:p>
    <w:p w14:paraId="3E2F57AE" w14:textId="1ACFC282" w:rsidR="00166EF0" w:rsidRDefault="00166EF0" w:rsidP="00FE02AB">
      <w:pPr>
        <w:pStyle w:val="BodyText"/>
        <w:numPr>
          <w:ilvl w:val="1"/>
          <w:numId w:val="34"/>
        </w:numPr>
        <w:spacing w:after="0"/>
      </w:pPr>
      <w:r>
        <w:t>Non-transparent diversity requires multiple DMRS per hop</w:t>
      </w:r>
    </w:p>
    <w:p w14:paraId="4C2594D2" w14:textId="21DC11A2" w:rsidR="00E77E20" w:rsidRDefault="00E77E20" w:rsidP="001847A1">
      <w:pPr>
        <w:pStyle w:val="BodyText"/>
        <w:numPr>
          <w:ilvl w:val="0"/>
          <w:numId w:val="34"/>
        </w:numPr>
        <w:spacing w:after="0"/>
      </w:pPr>
      <w:r>
        <w:t>Space-time/frequency coding schemes can increase cubic metric, limiting their applicability in UEs.</w:t>
      </w:r>
    </w:p>
    <w:p w14:paraId="58CB1B39" w14:textId="77777777" w:rsidR="00E77E20" w:rsidRDefault="00E77E20" w:rsidP="001847A1">
      <w:pPr>
        <w:pStyle w:val="BodyText"/>
        <w:numPr>
          <w:ilvl w:val="0"/>
          <w:numId w:val="34"/>
        </w:numPr>
        <w:spacing w:after="0"/>
      </w:pPr>
      <w:r>
        <w:t xml:space="preserve">The gains of open loop diversity in UEs can be difficult to </w:t>
      </w:r>
      <w:r w:rsidR="00D51F51">
        <w:t xml:space="preserve">reliably </w:t>
      </w:r>
      <w:r>
        <w:t>achieve due to antenna gain imbalances.</w:t>
      </w:r>
    </w:p>
    <w:p w14:paraId="02E038DF" w14:textId="77777777" w:rsidR="00E77E20" w:rsidRDefault="00E77E20" w:rsidP="00556C15">
      <w:pPr>
        <w:pStyle w:val="BodyText"/>
        <w:numPr>
          <w:ilvl w:val="0"/>
          <w:numId w:val="34"/>
        </w:numPr>
        <w:spacing w:after="0"/>
      </w:pPr>
      <w:r>
        <w:t xml:space="preserve">Implementation based </w:t>
      </w:r>
      <w:r w:rsidR="005C5EE2">
        <w:t xml:space="preserve">long term </w:t>
      </w:r>
      <w:r>
        <w:t>antenna selection can improve both link performance and UE battery life.</w:t>
      </w:r>
    </w:p>
    <w:p w14:paraId="6EF26A59" w14:textId="77777777" w:rsidR="00556C15" w:rsidRDefault="00556C15" w:rsidP="005C544E">
      <w:pPr>
        <w:pStyle w:val="BodyText"/>
        <w:numPr>
          <w:ilvl w:val="0"/>
          <w:numId w:val="34"/>
        </w:numPr>
        <w:spacing w:after="0"/>
      </w:pPr>
      <w:r>
        <w:t>Single antenna operation is compatible with both long term UE antenna selection and transparent open loop diversity</w:t>
      </w:r>
    </w:p>
    <w:p w14:paraId="64E6C009" w14:textId="77777777" w:rsidR="00D815F9" w:rsidRDefault="00D815F9" w:rsidP="00AA0727">
      <w:pPr>
        <w:pStyle w:val="BodyText"/>
        <w:numPr>
          <w:ilvl w:val="0"/>
          <w:numId w:val="34"/>
        </w:numPr>
      </w:pPr>
      <w:r>
        <w:t>Single codeword operation provides diversity</w:t>
      </w:r>
      <w:r w:rsidR="00BE47E2">
        <w:t xml:space="preserve"> for UL SU-MIMO</w:t>
      </w:r>
      <w:r>
        <w:t>, and so additional diversity techniques are not needed in this case.</w:t>
      </w:r>
    </w:p>
    <w:p w14:paraId="0361F2D0" w14:textId="26FD8015" w:rsidR="00AA0727" w:rsidRDefault="005C544E" w:rsidP="00AA0727">
      <w:pPr>
        <w:pStyle w:val="BodyText"/>
        <w:spacing w:after="0"/>
      </w:pPr>
      <w:r>
        <w:rPr>
          <w:b/>
        </w:rPr>
        <w:t>Proposal</w:t>
      </w:r>
      <w:r w:rsidR="001B5F10">
        <w:rPr>
          <w:b/>
        </w:rPr>
        <w:t>s</w:t>
      </w:r>
      <w:r w:rsidR="00AA0727">
        <w:t>:</w:t>
      </w:r>
    </w:p>
    <w:p w14:paraId="6DA3696B" w14:textId="3FE81AB4" w:rsidR="00166EF0" w:rsidRDefault="00166EF0" w:rsidP="00AA0727">
      <w:pPr>
        <w:pStyle w:val="BodyText"/>
        <w:numPr>
          <w:ilvl w:val="0"/>
          <w:numId w:val="24"/>
        </w:numPr>
        <w:spacing w:after="0"/>
        <w:rPr>
          <w:szCs w:val="20"/>
        </w:rPr>
      </w:pPr>
      <w:r>
        <w:rPr>
          <w:szCs w:val="20"/>
        </w:rPr>
        <w:t>Transparent and non-transparent UL TxD designs take into account other diversity sources such as frequency hopping</w:t>
      </w:r>
    </w:p>
    <w:p w14:paraId="5FACCB5C" w14:textId="2F65C0D5" w:rsidR="00AA0727" w:rsidRDefault="00AA0727" w:rsidP="00AA0727">
      <w:pPr>
        <w:pStyle w:val="BodyText"/>
        <w:numPr>
          <w:ilvl w:val="0"/>
          <w:numId w:val="24"/>
        </w:numPr>
        <w:spacing w:after="0"/>
        <w:rPr>
          <w:szCs w:val="20"/>
        </w:rPr>
      </w:pPr>
      <w:r>
        <w:rPr>
          <w:szCs w:val="20"/>
        </w:rPr>
        <w:t>Provide robust rank 2 spatially multiplexed PUSCH using single codeword transmission</w:t>
      </w:r>
    </w:p>
    <w:p w14:paraId="0302724D" w14:textId="04CCAA9D" w:rsidR="00190E5F" w:rsidRDefault="00190E5F" w:rsidP="00036163">
      <w:pPr>
        <w:pStyle w:val="BodyText"/>
        <w:numPr>
          <w:ilvl w:val="0"/>
          <w:numId w:val="24"/>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3ABA03DB" w14:textId="68F49EEF" w:rsidR="00E87E33" w:rsidRPr="00E87E33" w:rsidRDefault="00E87E33" w:rsidP="00366C2F">
      <w:pPr>
        <w:pStyle w:val="BodyText"/>
        <w:numPr>
          <w:ilvl w:val="0"/>
          <w:numId w:val="24"/>
        </w:numPr>
        <w:spacing w:after="0"/>
        <w:rPr>
          <w:szCs w:val="20"/>
        </w:rPr>
      </w:pPr>
      <w:r w:rsidRPr="00E87E33">
        <w:rPr>
          <w:szCs w:val="20"/>
        </w:rPr>
        <w:t xml:space="preserve">UEs with Multi-Tx antenna capability can be configured for single antenna port transmission </w:t>
      </w:r>
    </w:p>
    <w:p w14:paraId="0FE79A57" w14:textId="77777777" w:rsidR="00D815F9" w:rsidRPr="002574AF" w:rsidRDefault="00D815F9" w:rsidP="00AA0727">
      <w:pPr>
        <w:pStyle w:val="BodyText"/>
      </w:pPr>
    </w:p>
    <w:p w14:paraId="4318AF15" w14:textId="3B1A6988" w:rsidR="002574AF" w:rsidRDefault="009B5429" w:rsidP="002574AF">
      <w:pPr>
        <w:pStyle w:val="Heading2"/>
      </w:pPr>
      <w:r>
        <w:t>Potential b</w:t>
      </w:r>
      <w:r w:rsidR="002574AF">
        <w:t>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4425B5">
      <w:pPr>
        <w:pStyle w:val="BodyText"/>
        <w:numPr>
          <w:ilvl w:val="0"/>
          <w:numId w:val="36"/>
        </w:numPr>
        <w:rPr>
          <w:b/>
        </w:rPr>
      </w:pPr>
      <w:r w:rsidRPr="004425B5">
        <w:rPr>
          <w:b/>
        </w:rPr>
        <w:t>Increased uplink range</w:t>
      </w:r>
      <w:r w:rsidR="00643DEE" w:rsidRPr="004425B5">
        <w:rPr>
          <w:b/>
        </w:rPr>
        <w:t xml:space="preserve"> and capacity</w:t>
      </w:r>
    </w:p>
    <w:p w14:paraId="77310B71" w14:textId="77777777" w:rsidR="00D61BF9" w:rsidRDefault="00D61BF9" w:rsidP="00D61BF9">
      <w:pPr>
        <w:pStyle w:val="BodyText"/>
      </w:pPr>
      <w:r>
        <w:t>Given the often strict form factor and battery life limitations of a UE as contrasted with those of a gNB, it is much easier to add complexity at gNB to provide uplink capacity.  Therefore, there is a strong disincentive to mandate multiple Tx antennas in UEs.  Since all UEs must support open loop operation for there to be a range benefit, uplink diversity can’t improve range.</w:t>
      </w:r>
    </w:p>
    <w:p w14:paraId="2F90E018" w14:textId="77777777" w:rsidR="00D61BF9" w:rsidRDefault="00D61BF9" w:rsidP="00893656">
      <w:pPr>
        <w:pStyle w:val="BodyText"/>
      </w:pPr>
      <w:r>
        <w:t xml:space="preserve">Reduced transmit power requirements can </w:t>
      </w:r>
      <w:r w:rsidR="002574AF">
        <w:t>decrease</w:t>
      </w:r>
      <w:r>
        <w:t xml:space="preserve"> interference to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4425B5">
      <w:pPr>
        <w:pStyle w:val="BodyText"/>
        <w:numPr>
          <w:ilvl w:val="0"/>
          <w:numId w:val="36"/>
        </w:numPr>
        <w:rPr>
          <w:b/>
        </w:rPr>
      </w:pPr>
      <w:r w:rsidRPr="00741EB8">
        <w:rPr>
          <w:b/>
        </w:rPr>
        <w:t>Reduced UE battery consumption</w:t>
      </w:r>
    </w:p>
    <w:p w14:paraId="4C0E2D51" w14:textId="77777777"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Tx paths.  </w:t>
      </w:r>
      <w:r w:rsidR="00A36263">
        <w:t>The UE battery savings for 2 Tx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5C544E">
        <w:t>[2]</w:t>
      </w:r>
      <w:r w:rsidR="005C544E">
        <w:fldChar w:fldCharType="end"/>
      </w:r>
      <w:r w:rsidR="005C544E">
        <w:fldChar w:fldCharType="begin"/>
      </w:r>
      <w:r w:rsidR="005C544E">
        <w:instrText xml:space="preserve"> REF _Ref471577914 \r \h </w:instrText>
      </w:r>
      <w:r w:rsidR="005C544E">
        <w:fldChar w:fldCharType="separate"/>
      </w:r>
      <w:r w:rsidR="005C544E">
        <w:t>[3]</w:t>
      </w:r>
      <w:r w:rsidR="005C544E">
        <w:fldChar w:fldCharType="end"/>
      </w:r>
      <w:r w:rsidR="00A36263">
        <w:t xml:space="preserve">.  These studies showed that 2 Tx transmission tends to have battery savings only </w:t>
      </w:r>
      <w:r w:rsidR="00287451">
        <w:t xml:space="preserve">in specific, </w:t>
      </w:r>
      <w:r w:rsidR="00A36263">
        <w:t>relative</w:t>
      </w:r>
      <w:r w:rsidR="00287451">
        <w:t>ly</w:t>
      </w:r>
      <w:r w:rsidR="00A36263">
        <w:t xml:space="preserve"> high </w:t>
      </w:r>
      <w:r w:rsidR="00287451">
        <w:t xml:space="preserve">power ranges, that these gains vary widely according to PA implementation, and that the 2 Tx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4425B5">
      <w:pPr>
        <w:pStyle w:val="BodyText"/>
        <w:numPr>
          <w:ilvl w:val="0"/>
          <w:numId w:val="36"/>
        </w:numPr>
        <w:rPr>
          <w:b/>
        </w:rPr>
      </w:pPr>
      <w:r w:rsidRPr="00741EB8">
        <w:rPr>
          <w:b/>
        </w:rPr>
        <w:t>Better use of PA power when the UE has multiple PAs</w:t>
      </w:r>
    </w:p>
    <w:p w14:paraId="4F53BE6D" w14:textId="25182F8D" w:rsidR="00FE02AB" w:rsidRDefault="00082B85" w:rsidP="00893656">
      <w:pPr>
        <w:pStyle w:val="BodyText"/>
      </w:pPr>
      <w:r w:rsidRPr="00082B85">
        <w:lastRenderedPageBreak/>
        <w:t xml:space="preserve">Power from </w:t>
      </w:r>
      <w:r w:rsidR="00BE47E2">
        <w:t xml:space="preserve">multiple Tx </w:t>
      </w:r>
      <w:r w:rsidRPr="00082B85">
        <w:t xml:space="preserve">paths </w:t>
      </w:r>
      <w:r w:rsidR="00BE47E2">
        <w:t xml:space="preserve">in open loop transmission </w:t>
      </w:r>
      <w:r w:rsidRPr="00082B85">
        <w:t xml:space="preserve">combines, which can allow the power amplifiers on the paths to have a lower maximum </w:t>
      </w:r>
      <w:r w:rsidR="00A06156">
        <w:t>transmit power.  Therefore, it c</w:t>
      </w:r>
      <w:r w:rsidRPr="00082B85">
        <w:t xml:space="preserve">ould appear that </w:t>
      </w:r>
      <w:r w:rsidR="00E93F33">
        <w:t>open loop</w:t>
      </w:r>
      <w:r w:rsidRPr="00082B85">
        <w:t xml:space="preserve"> may be helpful as a standardized 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w:t>
      </w:r>
    </w:p>
    <w:p w14:paraId="67FC986D" w14:textId="24A7AAE4" w:rsidR="00D61BF9" w:rsidRDefault="00082B85" w:rsidP="00893656">
      <w:pPr>
        <w:pStyle w:val="BodyText"/>
      </w:pPr>
      <w:r w:rsidRPr="00082B85">
        <w:t xml:space="preserve">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556C15">
      <w:pPr>
        <w:pStyle w:val="BodyText"/>
        <w:numPr>
          <w:ilvl w:val="0"/>
          <w:numId w:val="35"/>
        </w:numPr>
        <w:spacing w:after="0"/>
      </w:pPr>
      <w:r>
        <w:t xml:space="preserve">UL open loop  </w:t>
      </w:r>
    </w:p>
    <w:p w14:paraId="0F709D95" w14:textId="77777777" w:rsidR="0078120B" w:rsidRDefault="0078120B" w:rsidP="00556C15">
      <w:pPr>
        <w:pStyle w:val="BodyText"/>
        <w:numPr>
          <w:ilvl w:val="1"/>
          <w:numId w:val="35"/>
        </w:numPr>
        <w:spacing w:after="0"/>
      </w:pPr>
      <w:r>
        <w:t>Can’t improve range, since not all UEs will support it.</w:t>
      </w:r>
    </w:p>
    <w:p w14:paraId="6E5A255B" w14:textId="77777777" w:rsidR="003531CC" w:rsidRDefault="0078120B" w:rsidP="00556C15">
      <w:pPr>
        <w:pStyle w:val="BodyText"/>
        <w:numPr>
          <w:ilvl w:val="1"/>
          <w:numId w:val="35"/>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556C15">
      <w:pPr>
        <w:pStyle w:val="BodyText"/>
        <w:numPr>
          <w:ilvl w:val="1"/>
          <w:numId w:val="35"/>
        </w:numPr>
        <w:spacing w:after="0"/>
      </w:pPr>
      <w:r>
        <w:t>Requires further study on UE power saving, due to losses in efficiency with &gt;1 Tx chains and UE PA architecture dependencies.</w:t>
      </w:r>
    </w:p>
    <w:p w14:paraId="32A4AA21" w14:textId="77777777" w:rsidR="00FE02AB" w:rsidRDefault="003531CC" w:rsidP="00FE02AB">
      <w:pPr>
        <w:pStyle w:val="BodyText"/>
        <w:numPr>
          <w:ilvl w:val="0"/>
          <w:numId w:val="35"/>
        </w:numPr>
        <w:spacing w:after="0"/>
      </w:pPr>
      <w:r>
        <w:t>Single antenna operation</w:t>
      </w:r>
      <w:r w:rsidR="00556C15">
        <w:t xml:space="preserve"> </w:t>
      </w:r>
    </w:p>
    <w:p w14:paraId="35A3995D" w14:textId="59BFB34B" w:rsidR="003531CC" w:rsidRDefault="00FE02AB" w:rsidP="00FE02AB">
      <w:pPr>
        <w:pStyle w:val="BodyText"/>
        <w:numPr>
          <w:ilvl w:val="1"/>
          <w:numId w:val="35"/>
        </w:numPr>
      </w:pPr>
      <w:r>
        <w:t>C</w:t>
      </w:r>
      <w:r w:rsidR="003531CC">
        <w:t>an be used to combine Tx paths’ power in a standards transparent way, e.g. with precoder cycling or delay diversity</w:t>
      </w:r>
    </w:p>
    <w:p w14:paraId="293BDDCA" w14:textId="77777777" w:rsidR="002606FD" w:rsidRDefault="002606FD" w:rsidP="002606FD">
      <w:pPr>
        <w:pStyle w:val="Heading1"/>
        <w:spacing w:before="480"/>
        <w:rPr>
          <w:lang w:eastAsia="ja-JP"/>
        </w:rPr>
      </w:pPr>
      <w:r w:rsidRPr="009D2B97">
        <w:rPr>
          <w:lang w:eastAsia="ja-JP"/>
        </w:rPr>
        <w:t>Conclusion</w:t>
      </w:r>
      <w:r>
        <w:rPr>
          <w:lang w:eastAsia="ja-JP"/>
        </w:rPr>
        <w:t>s</w:t>
      </w:r>
    </w:p>
    <w:p w14:paraId="78B85988" w14:textId="77777777" w:rsidR="002606FD" w:rsidRDefault="002606FD" w:rsidP="002606FD">
      <w:pPr>
        <w:pStyle w:val="BodyText"/>
      </w:pPr>
      <w:r>
        <w:rPr>
          <w:lang w:eastAsia="ja-JP"/>
        </w:rPr>
        <w:t xml:space="preserve">This contribution has considered </w:t>
      </w:r>
      <w:r>
        <w:t>potential designs of open loop transmission schemes, leading to the following observations and proposals: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62682B7C" w14:textId="7AB866DB" w:rsidR="002C0F54" w:rsidRDefault="002C0F54" w:rsidP="00FF6291">
      <w:pPr>
        <w:pStyle w:val="BodyText"/>
        <w:numPr>
          <w:ilvl w:val="0"/>
          <w:numId w:val="24"/>
        </w:numPr>
        <w:spacing w:after="0"/>
      </w:pPr>
      <w:r>
        <w:t>The use case for diversity is strongest for DFT-S-OFDM</w:t>
      </w:r>
      <w:r w:rsidR="009D3CAA">
        <w:t xml:space="preserve"> (rather than CP OFDM)</w:t>
      </w:r>
    </w:p>
    <w:p w14:paraId="4FC724B6" w14:textId="3ED0916F" w:rsidR="00FF6291" w:rsidRDefault="00FF6291" w:rsidP="00FF6291">
      <w:pPr>
        <w:pStyle w:val="BodyText"/>
        <w:numPr>
          <w:ilvl w:val="0"/>
          <w:numId w:val="24"/>
        </w:numPr>
        <w:spacing w:after="0"/>
      </w:pPr>
      <w:r>
        <w:t xml:space="preserve">The </w:t>
      </w:r>
      <w:r w:rsidR="001142FC">
        <w:t xml:space="preserve">performance </w:t>
      </w:r>
      <w:r>
        <w:t xml:space="preserve">benefit of </w:t>
      </w:r>
      <w:r w:rsidR="003273A2">
        <w:t xml:space="preserve">non-transparent </w:t>
      </w:r>
      <w:r>
        <w:t>open loop operation for multi-Tx UEs is not clear</w:t>
      </w:r>
    </w:p>
    <w:p w14:paraId="25D843B1" w14:textId="77777777" w:rsidR="00186440" w:rsidRDefault="005B206E" w:rsidP="00186440">
      <w:pPr>
        <w:pStyle w:val="BodyText"/>
        <w:numPr>
          <w:ilvl w:val="1"/>
          <w:numId w:val="24"/>
        </w:numPr>
        <w:spacing w:after="0"/>
      </w:pPr>
      <w:r>
        <w:t xml:space="preserve">Use cases are limited to relatively small # </w:t>
      </w:r>
      <w:r w:rsidR="00B34D5D">
        <w:t xml:space="preserve">of </w:t>
      </w:r>
      <w:r>
        <w:t xml:space="preserve">gNB antennas, </w:t>
      </w:r>
      <w:r w:rsidR="001142FC">
        <w:t>poor CSI, and where UL IRC losses from TxD are small.</w:t>
      </w:r>
    </w:p>
    <w:p w14:paraId="74A9B484" w14:textId="77777777" w:rsidR="001142FC" w:rsidRDefault="001142FC" w:rsidP="00186440">
      <w:pPr>
        <w:pStyle w:val="BodyText"/>
        <w:numPr>
          <w:ilvl w:val="1"/>
          <w:numId w:val="24"/>
        </w:numPr>
        <w:spacing w:after="0"/>
      </w:pPr>
      <w:r>
        <w:t>Schemes are restricted by UE implementation issues such as cubic metric and antenna gain imbalance.</w:t>
      </w:r>
    </w:p>
    <w:p w14:paraId="2D7F1647" w14:textId="77777777" w:rsidR="001709E9" w:rsidRDefault="001709E9" w:rsidP="00186440">
      <w:pPr>
        <w:pStyle w:val="BodyText"/>
        <w:numPr>
          <w:ilvl w:val="1"/>
          <w:numId w:val="24"/>
        </w:numPr>
        <w:spacing w:after="0"/>
      </w:pPr>
      <w:r>
        <w:t>Transparent diversity techniques such as precoder cycling or delay diversity can be used</w:t>
      </w:r>
    </w:p>
    <w:p w14:paraId="7F86720A" w14:textId="77777777" w:rsidR="003273A2" w:rsidRDefault="003273A2" w:rsidP="003273A2">
      <w:pPr>
        <w:pStyle w:val="BodyText"/>
        <w:numPr>
          <w:ilvl w:val="0"/>
          <w:numId w:val="24"/>
        </w:numPr>
        <w:spacing w:after="0"/>
      </w:pPr>
      <w:r>
        <w:t xml:space="preserve">UE and network benefits of </w:t>
      </w:r>
      <w:r w:rsidR="001709E9">
        <w:t xml:space="preserve">non-transparent </w:t>
      </w:r>
      <w:r>
        <w:t>open loop are also not clear</w:t>
      </w:r>
    </w:p>
    <w:p w14:paraId="63D1D813" w14:textId="77777777" w:rsidR="003273A2" w:rsidRDefault="003273A2" w:rsidP="003273A2">
      <w:pPr>
        <w:pStyle w:val="BodyText"/>
        <w:numPr>
          <w:ilvl w:val="1"/>
          <w:numId w:val="24"/>
        </w:numPr>
        <w:spacing w:after="0"/>
      </w:pPr>
      <w:r>
        <w:t>Can’t improve range, since not all UEs will support it.</w:t>
      </w:r>
    </w:p>
    <w:p w14:paraId="045B4738" w14:textId="77777777" w:rsidR="003273A2" w:rsidRDefault="003273A2" w:rsidP="003273A2">
      <w:pPr>
        <w:pStyle w:val="BodyText"/>
        <w:numPr>
          <w:ilvl w:val="1"/>
          <w:numId w:val="24"/>
        </w:numPr>
        <w:spacing w:after="0"/>
      </w:pPr>
      <w:r>
        <w:t xml:space="preserve">Has potential capacity benefit </w:t>
      </w:r>
      <w:r w:rsidR="001709E9">
        <w:t xml:space="preserve">only </w:t>
      </w:r>
      <w:r>
        <w:t>in a limited set of scenarios where it performs better than open loop, including open loop’s impact on IRC receivers</w:t>
      </w:r>
    </w:p>
    <w:p w14:paraId="3CC7DB8D" w14:textId="77777777" w:rsidR="003273A2" w:rsidRDefault="003273A2" w:rsidP="003273A2">
      <w:pPr>
        <w:pStyle w:val="BodyText"/>
        <w:numPr>
          <w:ilvl w:val="1"/>
          <w:numId w:val="24"/>
        </w:numPr>
        <w:spacing w:after="0"/>
      </w:pPr>
      <w:r>
        <w:t>Requires further study on UE power saving, due to losses in efficiency with &gt;1 Tx chains and UE PA architecture dependencies.</w:t>
      </w:r>
    </w:p>
    <w:p w14:paraId="5A3E9081" w14:textId="77777777" w:rsidR="001142FC" w:rsidRDefault="001142FC" w:rsidP="001142FC">
      <w:pPr>
        <w:pStyle w:val="BodyText"/>
        <w:numPr>
          <w:ilvl w:val="0"/>
          <w:numId w:val="24"/>
        </w:numPr>
        <w:spacing w:after="0"/>
      </w:pPr>
      <w:r>
        <w:t>Implementation based long term antenna selection can improve both link performance and UE battery life.</w:t>
      </w:r>
    </w:p>
    <w:p w14:paraId="2D3A8E5D" w14:textId="2E407FDD" w:rsidR="003273A2" w:rsidRDefault="001142FC" w:rsidP="00FF6291">
      <w:pPr>
        <w:pStyle w:val="BodyText"/>
        <w:numPr>
          <w:ilvl w:val="0"/>
          <w:numId w:val="24"/>
        </w:numPr>
        <w:spacing w:after="0"/>
      </w:pPr>
      <w:r>
        <w:t>Single antenna operation</w:t>
      </w:r>
      <w:r w:rsidR="00752136">
        <w:t xml:space="preserve"> with transparent TxD</w:t>
      </w:r>
    </w:p>
    <w:p w14:paraId="3A745609" w14:textId="77777777" w:rsidR="001142FC" w:rsidRDefault="003273A2" w:rsidP="003273A2">
      <w:pPr>
        <w:pStyle w:val="BodyText"/>
        <w:numPr>
          <w:ilvl w:val="1"/>
          <w:numId w:val="24"/>
        </w:numPr>
        <w:spacing w:after="0"/>
      </w:pPr>
      <w:r>
        <w:t xml:space="preserve">Can </w:t>
      </w:r>
      <w:r w:rsidR="001142FC">
        <w:t>be used to combine Tx paths’ power in a standards transparent way, e.g. with precoder cycling or delay diversity.</w:t>
      </w:r>
    </w:p>
    <w:p w14:paraId="1C155F5A" w14:textId="426826BA" w:rsidR="001142FC" w:rsidRDefault="003273A2" w:rsidP="003273A2">
      <w:pPr>
        <w:pStyle w:val="BodyText"/>
        <w:numPr>
          <w:ilvl w:val="1"/>
          <w:numId w:val="24"/>
        </w:numPr>
        <w:spacing w:after="0"/>
      </w:pPr>
      <w:r>
        <w:t xml:space="preserve">Is </w:t>
      </w:r>
      <w:r w:rsidR="001142FC">
        <w:t xml:space="preserve">compatible with both long term UE antenna selection and transparent open loop diversity </w:t>
      </w:r>
    </w:p>
    <w:p w14:paraId="30A28098" w14:textId="6F90E939" w:rsidR="00752136" w:rsidRDefault="00752136" w:rsidP="003273A2">
      <w:pPr>
        <w:pStyle w:val="BodyText"/>
        <w:numPr>
          <w:ilvl w:val="1"/>
          <w:numId w:val="24"/>
        </w:numPr>
        <w:spacing w:after="0"/>
      </w:pPr>
      <w:r>
        <w:t xml:space="preserve">Can save power in the UE by allowing the UE to turn off </w:t>
      </w:r>
      <w:r w:rsidR="00820800">
        <w:t>transmit antennas when unneeded</w:t>
      </w:r>
    </w:p>
    <w:p w14:paraId="7AF7CF7E" w14:textId="77777777" w:rsidR="001142FC" w:rsidRDefault="001142FC" w:rsidP="001142FC">
      <w:pPr>
        <w:pStyle w:val="BodyText"/>
        <w:numPr>
          <w:ilvl w:val="0"/>
          <w:numId w:val="24"/>
        </w:numPr>
        <w:spacing w:after="0"/>
      </w:pPr>
      <w:r>
        <w:t>Single codeword operation provides diversity</w:t>
      </w:r>
      <w:r w:rsidR="00BE47E2">
        <w:t xml:space="preserve"> for UL SU-MIMO</w:t>
      </w:r>
      <w:r>
        <w:t>, and so additional diversity techniques are not needed in this case.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3481219A" w14:textId="5FB1ECF6" w:rsidR="00E87E33" w:rsidRDefault="00E87E33" w:rsidP="00190E5F">
      <w:pPr>
        <w:pStyle w:val="BodyText"/>
        <w:numPr>
          <w:ilvl w:val="0"/>
          <w:numId w:val="24"/>
        </w:numPr>
        <w:spacing w:after="0"/>
        <w:rPr>
          <w:szCs w:val="20"/>
        </w:rPr>
      </w:pPr>
      <w:r>
        <w:rPr>
          <w:szCs w:val="20"/>
        </w:rPr>
        <w:t>At least transparent TxD supported in NR</w:t>
      </w:r>
    </w:p>
    <w:p w14:paraId="680FEFC8" w14:textId="3239FD01" w:rsidR="0020268B" w:rsidRDefault="0020268B" w:rsidP="00E87E33">
      <w:pPr>
        <w:pStyle w:val="BodyText"/>
        <w:numPr>
          <w:ilvl w:val="1"/>
          <w:numId w:val="24"/>
        </w:numPr>
        <w:spacing w:after="0"/>
        <w:rPr>
          <w:szCs w:val="20"/>
        </w:rPr>
      </w:pPr>
      <w:r>
        <w:rPr>
          <w:szCs w:val="20"/>
        </w:rPr>
        <w:t xml:space="preserve">TxD designs </w:t>
      </w:r>
      <w:r w:rsidR="00E87E33">
        <w:rPr>
          <w:szCs w:val="20"/>
        </w:rPr>
        <w:t xml:space="preserve">should </w:t>
      </w:r>
      <w:r>
        <w:rPr>
          <w:szCs w:val="20"/>
        </w:rPr>
        <w:t xml:space="preserve">take into account other diversity sources such as frequency hopping </w:t>
      </w:r>
    </w:p>
    <w:p w14:paraId="12A24B1A" w14:textId="1621A9CC" w:rsidR="002606FD" w:rsidRDefault="0020268B" w:rsidP="0020268B">
      <w:pPr>
        <w:pStyle w:val="BodyText"/>
        <w:numPr>
          <w:ilvl w:val="0"/>
          <w:numId w:val="24"/>
        </w:numPr>
        <w:spacing w:after="0"/>
        <w:rPr>
          <w:szCs w:val="20"/>
        </w:rPr>
      </w:pPr>
      <w:r w:rsidRPr="0020268B">
        <w:rPr>
          <w:szCs w:val="20"/>
        </w:rPr>
        <w:t>UEs with Multi-Tx antenna capability can be configured for single antenna port transmission</w:t>
      </w:r>
    </w:p>
    <w:p w14:paraId="18F9AD98" w14:textId="77777777" w:rsidR="00E87E33" w:rsidRPr="002606FD" w:rsidRDefault="00E87E33" w:rsidP="00E87E33">
      <w:pPr>
        <w:pStyle w:val="BodyText"/>
        <w:numPr>
          <w:ilvl w:val="0"/>
          <w:numId w:val="24"/>
        </w:numPr>
        <w:spacing w:after="0"/>
        <w:rPr>
          <w:szCs w:val="20"/>
        </w:rPr>
      </w:pPr>
      <w:r>
        <w:rPr>
          <w:szCs w:val="20"/>
        </w:rPr>
        <w:t>Single antenna transmission is a fall back mode for UL SU-MIMO</w:t>
      </w:r>
    </w:p>
    <w:p w14:paraId="7727EF5F" w14:textId="77777777" w:rsidR="002606FD" w:rsidRDefault="002606FD" w:rsidP="002606FD">
      <w:pPr>
        <w:pStyle w:val="BodyText"/>
        <w:numPr>
          <w:ilvl w:val="0"/>
          <w:numId w:val="24"/>
        </w:numPr>
        <w:spacing w:after="0"/>
        <w:rPr>
          <w:szCs w:val="20"/>
        </w:rPr>
      </w:pPr>
      <w:r>
        <w:rPr>
          <w:szCs w:val="20"/>
        </w:rPr>
        <w:t>Provide robust rank 2 spatially multiplexed PUSCH using single codeword transmission</w:t>
      </w:r>
    </w:p>
    <w:p w14:paraId="521701ED" w14:textId="77777777" w:rsidR="003A5B3F" w:rsidRPr="00CE0424" w:rsidRDefault="003A5B3F" w:rsidP="003A5B3F">
      <w:pPr>
        <w:pStyle w:val="Heading1"/>
        <w:spacing w:before="480"/>
      </w:pPr>
      <w:r w:rsidRPr="00CE0424">
        <w:lastRenderedPageBreak/>
        <w:t>References</w:t>
      </w:r>
    </w:p>
    <w:p w14:paraId="57B1C906" w14:textId="77777777" w:rsidR="00340CDF" w:rsidRPr="00340CDF" w:rsidRDefault="00340CDF" w:rsidP="00340CDF">
      <w:pPr>
        <w:pStyle w:val="references"/>
        <w:rPr>
          <w:sz w:val="20"/>
          <w:szCs w:val="20"/>
        </w:rPr>
      </w:pPr>
      <w:bookmarkStart w:id="4" w:name="_Ref471135543"/>
      <w:r w:rsidRPr="00340CDF">
        <w:rPr>
          <w:sz w:val="20"/>
          <w:szCs w:val="20"/>
        </w:rPr>
        <w:t>R1-1612321, “Robust Transmission Schemes for PDSCH”, Ericsson, 3GPP TSG RAN WG1 Meeting #87, Reno, Nevada, November 14-18, 2016</w:t>
      </w:r>
      <w:bookmarkEnd w:id="4"/>
    </w:p>
    <w:p w14:paraId="5A79C28B" w14:textId="77777777" w:rsidR="003A5B3F" w:rsidRPr="00343642" w:rsidRDefault="00343642" w:rsidP="00343642">
      <w:pPr>
        <w:pStyle w:val="references"/>
        <w:rPr>
          <w:sz w:val="20"/>
          <w:szCs w:val="20"/>
        </w:rPr>
      </w:pPr>
      <w:bookmarkStart w:id="5"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5"/>
    </w:p>
    <w:p w14:paraId="0C2946C2" w14:textId="77777777" w:rsidR="003C46AB" w:rsidRPr="003E4287" w:rsidRDefault="00B57A3A" w:rsidP="00B57A3A">
      <w:pPr>
        <w:pStyle w:val="references"/>
        <w:rPr>
          <w:sz w:val="20"/>
          <w:szCs w:val="20"/>
        </w:rPr>
      </w:pPr>
      <w:bookmarkStart w:id="6" w:name="_Ref471577914"/>
      <w:r w:rsidRPr="00B57A3A">
        <w:rPr>
          <w:sz w:val="20"/>
          <w:szCs w:val="20"/>
        </w:rPr>
        <w:t>3GPP TR 25.863, “Uplink transmit diversity for High Speed Packet Access (HSPA)”, version 11.0.0, December, 2012.</w:t>
      </w:r>
      <w:bookmarkEnd w:id="6"/>
    </w:p>
    <w:sectPr w:rsidR="003C46AB" w:rsidRPr="003E428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79802" w14:textId="77777777" w:rsidR="00FF516D" w:rsidRDefault="00FF516D">
      <w:r>
        <w:separator/>
      </w:r>
    </w:p>
  </w:endnote>
  <w:endnote w:type="continuationSeparator" w:id="0">
    <w:p w14:paraId="6C6287B3" w14:textId="77777777" w:rsidR="00FF516D" w:rsidRDefault="00FF516D">
      <w:r>
        <w:continuationSeparator/>
      </w:r>
    </w:p>
  </w:endnote>
  <w:endnote w:type="continuationNotice" w:id="1">
    <w:p w14:paraId="713F96AE" w14:textId="77777777" w:rsidR="00FF516D" w:rsidRDefault="00FF5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91A72" w14:textId="77777777" w:rsidR="00FF516D" w:rsidRDefault="00FF516D">
      <w:r>
        <w:separator/>
      </w:r>
    </w:p>
  </w:footnote>
  <w:footnote w:type="continuationSeparator" w:id="0">
    <w:p w14:paraId="158E6FFB" w14:textId="77777777" w:rsidR="00FF516D" w:rsidRDefault="00FF516D">
      <w:r>
        <w:continuationSeparator/>
      </w:r>
    </w:p>
  </w:footnote>
  <w:footnote w:type="continuationNotice" w:id="1">
    <w:p w14:paraId="5DBE71E8" w14:textId="77777777" w:rsidR="00FF516D" w:rsidRDefault="00FF51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94"/>
    <w:multiLevelType w:val="hybridMultilevel"/>
    <w:tmpl w:val="F84C0B24"/>
    <w:lvl w:ilvl="0" w:tplc="2E1C4E02">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hint="default"/>
      </w:rPr>
    </w:lvl>
    <w:lvl w:ilvl="4" w:tplc="2376EAC0" w:tentative="1">
      <w:start w:val="1"/>
      <w:numFmt w:val="bullet"/>
      <w:lvlText w:val="›"/>
      <w:lvlJc w:val="left"/>
      <w:pPr>
        <w:tabs>
          <w:tab w:val="num" w:pos="3240"/>
        </w:tabs>
        <w:ind w:left="3240" w:hanging="360"/>
      </w:pPr>
      <w:rPr>
        <w:rFonts w:ascii="Arial" w:hAnsi="Arial" w:hint="default"/>
      </w:rPr>
    </w:lvl>
    <w:lvl w:ilvl="5" w:tplc="64B638B8" w:tentative="1">
      <w:start w:val="1"/>
      <w:numFmt w:val="bullet"/>
      <w:lvlText w:val="›"/>
      <w:lvlJc w:val="left"/>
      <w:pPr>
        <w:tabs>
          <w:tab w:val="num" w:pos="3960"/>
        </w:tabs>
        <w:ind w:left="3960" w:hanging="360"/>
      </w:pPr>
      <w:rPr>
        <w:rFonts w:ascii="Arial" w:hAnsi="Arial" w:hint="default"/>
      </w:rPr>
    </w:lvl>
    <w:lvl w:ilvl="6" w:tplc="42308430" w:tentative="1">
      <w:start w:val="1"/>
      <w:numFmt w:val="bullet"/>
      <w:lvlText w:val="›"/>
      <w:lvlJc w:val="left"/>
      <w:pPr>
        <w:tabs>
          <w:tab w:val="num" w:pos="4680"/>
        </w:tabs>
        <w:ind w:left="4680" w:hanging="360"/>
      </w:pPr>
      <w:rPr>
        <w:rFonts w:ascii="Arial" w:hAnsi="Arial" w:hint="default"/>
      </w:rPr>
    </w:lvl>
    <w:lvl w:ilvl="7" w:tplc="9C9CBE44" w:tentative="1">
      <w:start w:val="1"/>
      <w:numFmt w:val="bullet"/>
      <w:lvlText w:val="›"/>
      <w:lvlJc w:val="left"/>
      <w:pPr>
        <w:tabs>
          <w:tab w:val="num" w:pos="5400"/>
        </w:tabs>
        <w:ind w:left="5400" w:hanging="360"/>
      </w:pPr>
      <w:rPr>
        <w:rFonts w:ascii="Arial" w:hAnsi="Arial" w:hint="default"/>
      </w:rPr>
    </w:lvl>
    <w:lvl w:ilvl="8" w:tplc="B172F9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0120C"/>
    <w:multiLevelType w:val="hybridMultilevel"/>
    <w:tmpl w:val="3DCE5256"/>
    <w:lvl w:ilvl="0" w:tplc="D6A40F9A">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tentative="1">
      <w:start w:val="1"/>
      <w:numFmt w:val="bullet"/>
      <w:lvlText w:val="›"/>
      <w:lvlJc w:val="left"/>
      <w:pPr>
        <w:tabs>
          <w:tab w:val="num" w:pos="3240"/>
        </w:tabs>
        <w:ind w:left="3240" w:hanging="360"/>
      </w:pPr>
      <w:rPr>
        <w:rFonts w:ascii="Arial" w:hAnsi="Arial" w:hint="default"/>
      </w:rPr>
    </w:lvl>
    <w:lvl w:ilvl="5" w:tplc="ADC61D9C" w:tentative="1">
      <w:start w:val="1"/>
      <w:numFmt w:val="bullet"/>
      <w:lvlText w:val="›"/>
      <w:lvlJc w:val="left"/>
      <w:pPr>
        <w:tabs>
          <w:tab w:val="num" w:pos="3960"/>
        </w:tabs>
        <w:ind w:left="3960" w:hanging="360"/>
      </w:pPr>
      <w:rPr>
        <w:rFonts w:ascii="Arial" w:hAnsi="Arial" w:hint="default"/>
      </w:rPr>
    </w:lvl>
    <w:lvl w:ilvl="6" w:tplc="5F4ECF10" w:tentative="1">
      <w:start w:val="1"/>
      <w:numFmt w:val="bullet"/>
      <w:lvlText w:val="›"/>
      <w:lvlJc w:val="left"/>
      <w:pPr>
        <w:tabs>
          <w:tab w:val="num" w:pos="4680"/>
        </w:tabs>
        <w:ind w:left="4680" w:hanging="360"/>
      </w:pPr>
      <w:rPr>
        <w:rFonts w:ascii="Arial" w:hAnsi="Arial" w:hint="default"/>
      </w:rPr>
    </w:lvl>
    <w:lvl w:ilvl="7" w:tplc="148EFEFC" w:tentative="1">
      <w:start w:val="1"/>
      <w:numFmt w:val="bullet"/>
      <w:lvlText w:val="›"/>
      <w:lvlJc w:val="left"/>
      <w:pPr>
        <w:tabs>
          <w:tab w:val="num" w:pos="5400"/>
        </w:tabs>
        <w:ind w:left="5400" w:hanging="360"/>
      </w:pPr>
      <w:rPr>
        <w:rFonts w:ascii="Arial" w:hAnsi="Arial" w:hint="default"/>
      </w:rPr>
    </w:lvl>
    <w:lvl w:ilvl="8" w:tplc="CC8A75E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4"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2"/>
  </w:num>
  <w:num w:numId="3">
    <w:abstractNumId w:val="14"/>
  </w:num>
  <w:num w:numId="4">
    <w:abstractNumId w:val="6"/>
  </w:num>
  <w:num w:numId="5">
    <w:abstractNumId w:val="33"/>
  </w:num>
  <w:num w:numId="6">
    <w:abstractNumId w:val="30"/>
  </w:num>
  <w:num w:numId="7">
    <w:abstractNumId w:val="24"/>
  </w:num>
  <w:num w:numId="8">
    <w:abstractNumId w:val="31"/>
  </w:num>
  <w:num w:numId="9">
    <w:abstractNumId w:val="8"/>
  </w:num>
  <w:num w:numId="10">
    <w:abstractNumId w:val="7"/>
  </w:num>
  <w:num w:numId="11">
    <w:abstractNumId w:val="13"/>
  </w:num>
  <w:num w:numId="12">
    <w:abstractNumId w:val="18"/>
  </w:num>
  <w:num w:numId="13">
    <w:abstractNumId w:val="20"/>
  </w:num>
  <w:num w:numId="14">
    <w:abstractNumId w:val="21"/>
  </w:num>
  <w:num w:numId="15">
    <w:abstractNumId w:val="29"/>
  </w:num>
  <w:num w:numId="16">
    <w:abstractNumId w:val="4"/>
  </w:num>
  <w:num w:numId="17">
    <w:abstractNumId w:val="17"/>
  </w:num>
  <w:num w:numId="18">
    <w:abstractNumId w:val="27"/>
  </w:num>
  <w:num w:numId="19">
    <w:abstractNumId w:val="28"/>
  </w:num>
  <w:num w:numId="20">
    <w:abstractNumId w:val="12"/>
  </w:num>
  <w:num w:numId="21">
    <w:abstractNumId w:val="34"/>
  </w:num>
  <w:num w:numId="22">
    <w:abstractNumId w:val="15"/>
  </w:num>
  <w:num w:numId="23">
    <w:abstractNumId w:val="1"/>
  </w:num>
  <w:num w:numId="24">
    <w:abstractNumId w:val="2"/>
  </w:num>
  <w:num w:numId="25">
    <w:abstractNumId w:val="11"/>
  </w:num>
  <w:num w:numId="26">
    <w:abstractNumId w:val="25"/>
  </w:num>
  <w:num w:numId="27">
    <w:abstractNumId w:val="26"/>
  </w:num>
  <w:num w:numId="28">
    <w:abstractNumId w:val="5"/>
  </w:num>
  <w:num w:numId="29">
    <w:abstractNumId w:val="16"/>
  </w:num>
  <w:num w:numId="30">
    <w:abstractNumId w:val="22"/>
  </w:num>
  <w:num w:numId="31">
    <w:abstractNumId w:val="24"/>
  </w:num>
  <w:num w:numId="32">
    <w:abstractNumId w:val="19"/>
  </w:num>
  <w:num w:numId="33">
    <w:abstractNumId w:val="19"/>
  </w:num>
  <w:num w:numId="34">
    <w:abstractNumId w:val="9"/>
  </w:num>
  <w:num w:numId="35">
    <w:abstractNumId w:val="35"/>
  </w:num>
  <w:num w:numId="36">
    <w:abstractNumId w:val="10"/>
  </w:num>
  <w:num w:numId="37">
    <w:abstractNumId w:val="19"/>
  </w:num>
  <w:num w:numId="38">
    <w:abstractNumId w:val="0"/>
  </w:num>
  <w:num w:numId="39">
    <w:abstractNumId w:val="23"/>
  </w:num>
  <w:num w:numId="40">
    <w:abstractNumId w:val="3"/>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3FEF"/>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698"/>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94B"/>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2A53"/>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16D"/>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758435CF-2194-4CDE-B77A-C3DF030B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D7EB-1FFB-40FF-A344-B187F770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Shiwei</dc:creator>
  <cp:keywords/>
  <cp:lastModifiedBy>Shiwei</cp:lastModifiedBy>
  <cp:revision>2</cp:revision>
  <dcterms:created xsi:type="dcterms:W3CDTF">2017-02-07T02:49:00Z</dcterms:created>
  <dcterms:modified xsi:type="dcterms:W3CDTF">2017-02-07T02:49:00Z</dcterms:modified>
</cp:coreProperties>
</file>